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59264" behindDoc="1" locked="0" layoutInCell="1" allowOverlap="1">
            <wp:simplePos x="0" y="0"/>
            <wp:positionH relativeFrom="margin">
              <wp:posOffset>-2969260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：唐山市开平区开平镇人民政府(本级)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w:t>
      </w:r>
      <w:r>
        <w:rPr>
          <w:rFonts w:hint="eastAsia" w:ascii="黑体" w:hAnsi="黑体" w:eastAsia="黑体" w:cs="黑体"/>
          <w:b/>
          <w:bCs/>
          <w:sz w:val="72"/>
          <w:szCs w:val="96"/>
          <w:lang w:val="en-US" w:eastAsia="zh-CN"/>
        </w:rPr>
        <w:t>部门</w:t>
      </w:r>
      <w:r>
        <w:rPr>
          <w:rFonts w:hint="eastAsia" w:ascii="黑体" w:hAnsi="黑体" w:eastAsia="黑体" w:cs="黑体"/>
          <w:b/>
          <w:bCs/>
          <w:sz w:val="72"/>
          <w:szCs w:val="96"/>
        </w:rPr>
        <w:t>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开平镇人民政府</w:t>
      </w:r>
    </w:p>
    <w:p>
      <w:pPr>
        <w:snapToGrid w:val="0"/>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tabs>
          <w:tab w:val="left" w:pos="2728"/>
        </w:tabs>
        <w:jc w:val="both"/>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val="en-US"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ind w:firstLine="643" w:firstLineChars="200"/>
        <w:rPr>
          <w:rFonts w:hint="eastAsia" w:ascii="黑体" w:hAnsi="黑体" w:eastAsia="黑体" w:cs="黑体"/>
          <w:b/>
          <w:sz w:val="32"/>
          <w:szCs w:val="32"/>
        </w:rPr>
      </w:pPr>
      <w:r>
        <w:rPr>
          <w:rFonts w:hint="eastAsia" w:ascii="黑体" w:hAnsi="黑体" w:eastAsia="黑体" w:cs="黑体"/>
          <w:b/>
          <w:sz w:val="32"/>
          <w:szCs w:val="32"/>
        </w:rPr>
        <w:t>（一）、部门职责</w:t>
      </w:r>
    </w:p>
    <w:p>
      <w:pPr>
        <w:ind w:firstLine="640" w:firstLineChars="200"/>
        <w:rPr>
          <w:rFonts w:hint="eastAsia" w:ascii="仿宋_GB2312" w:eastAsia="仿宋_GB2312" w:cs="Times New Roman"/>
          <w:sz w:val="32"/>
          <w:szCs w:val="32"/>
        </w:rPr>
      </w:pPr>
      <w:r>
        <w:rPr>
          <w:rFonts w:hint="eastAsia" w:ascii="仿宋_GB2312" w:eastAsia="仿宋_GB2312"/>
          <w:sz w:val="32"/>
          <w:szCs w:val="32"/>
        </w:rPr>
        <w:t>1、宣传和贯彻执行党的路线、方针、政策和上级党组织及本镇党委(或党员大会)的决议。</w:t>
      </w:r>
    </w:p>
    <w:p>
      <w:pPr>
        <w:ind w:firstLine="640" w:firstLineChars="200"/>
        <w:rPr>
          <w:rFonts w:hint="eastAsia" w:ascii="仿宋_GB2312" w:eastAsia="仿宋_GB2312"/>
          <w:sz w:val="32"/>
          <w:szCs w:val="32"/>
        </w:rPr>
      </w:pPr>
      <w:r>
        <w:rPr>
          <w:rFonts w:hint="eastAsia" w:ascii="仿宋_GB2312" w:eastAsia="仿宋_GB2312"/>
          <w:sz w:val="32"/>
          <w:szCs w:val="32"/>
        </w:rPr>
        <w:t>2、领导镇政府机关和群众组织，支持和保证这些机关和组织依照国家法律法规及各自章程充分行使职权。</w:t>
      </w:r>
    </w:p>
    <w:p>
      <w:pPr>
        <w:ind w:firstLine="640" w:firstLineChars="200"/>
        <w:rPr>
          <w:rFonts w:hint="eastAsia" w:ascii="仿宋_GB2312" w:eastAsia="仿宋_GB2312"/>
          <w:sz w:val="32"/>
          <w:szCs w:val="32"/>
        </w:rPr>
      </w:pPr>
      <w:r>
        <w:rPr>
          <w:rFonts w:hint="eastAsia" w:ascii="仿宋_GB2312" w:eastAsia="仿宋_GB2312"/>
          <w:sz w:val="32"/>
          <w:szCs w:val="32"/>
        </w:rPr>
        <w:t>3、加强党委自身建设和以党支部为核心的村级组织建设。</w:t>
      </w:r>
    </w:p>
    <w:p>
      <w:pPr>
        <w:ind w:firstLine="640" w:firstLineChars="200"/>
        <w:rPr>
          <w:rFonts w:hint="eastAsia" w:ascii="仿宋_GB2312" w:eastAsia="仿宋_GB2312"/>
          <w:sz w:val="32"/>
          <w:szCs w:val="32"/>
        </w:rPr>
      </w:pPr>
      <w:r>
        <w:rPr>
          <w:rFonts w:hint="eastAsia" w:ascii="仿宋_GB2312" w:eastAsia="仿宋_GB2312"/>
          <w:sz w:val="32"/>
          <w:szCs w:val="32"/>
        </w:rPr>
        <w:t>4、密切联系群众，经常了解群众对镇村党员干部工作的批评和意见，维护群众的正当权利和利益。</w:t>
      </w:r>
    </w:p>
    <w:p>
      <w:pPr>
        <w:ind w:firstLine="640" w:firstLineChars="200"/>
        <w:rPr>
          <w:rFonts w:hint="eastAsia" w:ascii="仿宋_GB2312" w:eastAsia="仿宋_GB2312"/>
          <w:sz w:val="32"/>
          <w:szCs w:val="32"/>
        </w:rPr>
      </w:pPr>
      <w:r>
        <w:rPr>
          <w:rFonts w:hint="eastAsia" w:ascii="仿宋_GB2312" w:eastAsia="仿宋_GB2312"/>
          <w:sz w:val="32"/>
          <w:szCs w:val="32"/>
        </w:rPr>
        <w:t>5、对要求入党的积极分子进行教育和培养，做好经常性的发展党员工作，重视在农村基层工作的青年和妇女中发展党员。</w:t>
      </w:r>
    </w:p>
    <w:p>
      <w:pPr>
        <w:ind w:firstLine="640" w:firstLineChars="200"/>
        <w:rPr>
          <w:rFonts w:hint="eastAsia" w:ascii="仿宋_GB2312" w:eastAsia="仿宋_GB2312"/>
          <w:sz w:val="32"/>
          <w:szCs w:val="32"/>
        </w:rPr>
      </w:pPr>
      <w:r>
        <w:rPr>
          <w:rFonts w:hint="eastAsia" w:ascii="仿宋_GB2312" w:eastAsia="仿宋_GB2312"/>
          <w:sz w:val="32"/>
          <w:szCs w:val="32"/>
        </w:rPr>
        <w:t>6、做好社会治安综合治理及计划生育、环境保护、维护稳定等工作。对本镇重大的突发性事件，迅速反应、及时处置，并立即向上级党委报告情况。</w:t>
      </w:r>
    </w:p>
    <w:p>
      <w:pPr>
        <w:ind w:firstLine="640" w:firstLineChars="200"/>
        <w:rPr>
          <w:rFonts w:hint="eastAsia" w:ascii="仿宋_GB2312" w:eastAsia="仿宋_GB2312"/>
          <w:sz w:val="32"/>
          <w:szCs w:val="32"/>
        </w:rPr>
      </w:pPr>
      <w:r>
        <w:rPr>
          <w:rFonts w:hint="eastAsia" w:ascii="仿宋_GB2312" w:eastAsia="仿宋_GB2312"/>
          <w:sz w:val="32"/>
          <w:szCs w:val="32"/>
        </w:rPr>
        <w:t>7、制定并落实本行政区域的经济计划和措施，促进产业结构调整及其他经济保持平衡协调发展，全面提高人民群众的生活水平和生活质量。</w:t>
      </w:r>
    </w:p>
    <w:p>
      <w:pPr>
        <w:ind w:firstLine="640" w:firstLineChars="200"/>
        <w:rPr>
          <w:rFonts w:hint="eastAsia" w:ascii="仿宋_GB2312" w:eastAsia="仿宋_GB2312"/>
          <w:sz w:val="32"/>
          <w:szCs w:val="32"/>
        </w:rPr>
      </w:pPr>
      <w:r>
        <w:rPr>
          <w:rFonts w:hint="eastAsia" w:ascii="仿宋_GB2312" w:eastAsia="仿宋_GB2312"/>
          <w:sz w:val="32"/>
          <w:szCs w:val="32"/>
        </w:rPr>
        <w:t>8、开展社会主义民主和法制的宣传教育，保障公民的权利;制定社会治安综合治理工作规划并组织实施;加强社区管理工作，依法管理外来流动人口，处理人民来信来访，调解民间纠纷，打击违法犯罪，维护社会稳定。</w:t>
      </w:r>
    </w:p>
    <w:p>
      <w:pPr>
        <w:ind w:firstLine="640" w:firstLineChars="200"/>
        <w:rPr>
          <w:rFonts w:hint="eastAsia" w:ascii="仿宋_GB2312" w:eastAsia="仿宋_GB2312"/>
          <w:sz w:val="32"/>
          <w:szCs w:val="32"/>
        </w:rPr>
      </w:pPr>
      <w:r>
        <w:rPr>
          <w:rFonts w:hint="eastAsia" w:ascii="仿宋_GB2312" w:eastAsia="仿宋_GB2312"/>
          <w:sz w:val="32"/>
          <w:szCs w:val="32"/>
        </w:rPr>
        <w:t>9、制定社会各项事业发展计划，发展教育、卫生、科技、民政、广播电视、文化、体育事业;组织实施义务教育和其他各类教育;加强计划生育工作;推进社会保障、社会福利事业和养老保险工作;做好劳动管理、科普、老龄及宗教、侨务等工作。</w:t>
      </w:r>
    </w:p>
    <w:p>
      <w:pPr>
        <w:ind w:firstLine="640" w:firstLineChars="200"/>
        <w:rPr>
          <w:rFonts w:hint="eastAsia" w:ascii="仿宋_GB2312" w:eastAsia="仿宋_GB2312"/>
          <w:sz w:val="32"/>
          <w:szCs w:val="32"/>
        </w:rPr>
      </w:pPr>
      <w:r>
        <w:rPr>
          <w:rFonts w:hint="eastAsia" w:ascii="仿宋_GB2312" w:eastAsia="仿宋_GB2312"/>
          <w:sz w:val="32"/>
          <w:szCs w:val="32"/>
        </w:rPr>
        <w:t>10、加强镇级财政的监督和管理，按计划组织、管理镇财政收入和支出，执行国家有关财经纪律和政策，保证国家财政收入的完成;做好统计工作。</w:t>
      </w:r>
    </w:p>
    <w:p>
      <w:pPr>
        <w:ind w:firstLine="640" w:firstLineChars="200"/>
        <w:rPr>
          <w:rFonts w:hint="eastAsia" w:ascii="仿宋_GB2312" w:eastAsia="仿宋_GB2312"/>
          <w:sz w:val="32"/>
          <w:szCs w:val="32"/>
        </w:rPr>
      </w:pPr>
      <w:r>
        <w:rPr>
          <w:rFonts w:hint="eastAsia" w:ascii="仿宋_GB2312" w:eastAsia="仿宋_GB2312"/>
          <w:sz w:val="32"/>
          <w:szCs w:val="32"/>
        </w:rPr>
        <w:t>11、指导、支持、帮助村(居)民委员会的组织制度建设和业务建设，促进村(居)民委员会民主自治。</w:t>
      </w:r>
    </w:p>
    <w:p>
      <w:pPr>
        <w:ind w:firstLine="640" w:firstLineChars="200"/>
        <w:rPr>
          <w:rFonts w:hint="eastAsia" w:ascii="仿宋_GB2312" w:eastAsia="仿宋_GB2312"/>
          <w:sz w:val="32"/>
          <w:szCs w:val="32"/>
        </w:rPr>
      </w:pPr>
      <w:r>
        <w:rPr>
          <w:rFonts w:hint="eastAsia" w:ascii="仿宋_GB2312" w:eastAsia="仿宋_GB2312"/>
          <w:sz w:val="32"/>
          <w:szCs w:val="32"/>
        </w:rPr>
        <w:t>12、制定和组织实施镇村建设规划;加强公用、市政设施、水利建设和管理以及房屋土地管理和环境综合整治工作，保护和改善生活环境和生态环境。</w:t>
      </w:r>
    </w:p>
    <w:p>
      <w:pPr>
        <w:ind w:firstLine="640" w:firstLineChars="200"/>
        <w:rPr>
          <w:rFonts w:hint="eastAsia" w:ascii="仿宋_GB2312" w:eastAsia="仿宋_GB2312"/>
          <w:b w:val="0"/>
          <w:bCs w:val="0"/>
          <w:sz w:val="32"/>
          <w:szCs w:val="32"/>
        </w:rPr>
      </w:pPr>
      <w:r>
        <w:rPr>
          <w:rFonts w:hint="eastAsia" w:ascii="仿宋_GB2312" w:eastAsia="仿宋_GB2312"/>
          <w:b w:val="0"/>
          <w:bCs w:val="0"/>
          <w:sz w:val="32"/>
          <w:szCs w:val="32"/>
        </w:rPr>
        <w:t>13、承办区人民政府交办的其它事项</w:t>
      </w:r>
    </w:p>
    <w:p>
      <w:pPr>
        <w:numPr>
          <w:ilvl w:val="0"/>
          <w:numId w:val="0"/>
        </w:numPr>
        <w:rPr>
          <w:rFonts w:hint="default" w:eastAsiaTheme="minorEastAsia"/>
          <w:lang w:val="en-US" w:eastAsia="zh-CN"/>
        </w:rPr>
      </w:pPr>
    </w:p>
    <w:p>
      <w:pPr>
        <w:keepNext/>
        <w:keepLines/>
        <w:numPr>
          <w:ilvl w:val="0"/>
          <w:numId w:val="0"/>
        </w:numPr>
        <w:spacing w:line="580" w:lineRule="exact"/>
        <w:jc w:val="left"/>
        <w:outlineLvl w:val="0"/>
        <w:rPr>
          <w:rFonts w:hint="eastAsia" w:ascii="黑体" w:hAnsi="Calibri" w:eastAsia="黑体" w:cs="黑体"/>
          <w:kern w:val="0"/>
          <w:sz w:val="32"/>
          <w:szCs w:val="32"/>
        </w:rPr>
      </w:pPr>
      <w:r>
        <w:rPr>
          <w:rFonts w:hint="eastAsia" w:ascii="黑体" w:hAnsi="Calibri" w:eastAsia="黑体" w:cs="黑体"/>
          <w:kern w:val="0"/>
          <w:sz w:val="32"/>
          <w:szCs w:val="32"/>
          <w:lang w:val="en-US" w:eastAsia="zh-CN"/>
        </w:rPr>
        <w:t>二、</w:t>
      </w:r>
      <w:r>
        <w:rPr>
          <w:rFonts w:hint="eastAsia" w:ascii="黑体" w:hAnsi="Calibri" w:eastAsia="黑体" w:cs="黑体"/>
          <w:kern w:val="0"/>
          <w:sz w:val="32"/>
          <w:szCs w:val="32"/>
        </w:rPr>
        <w:t>机构设置</w:t>
      </w:r>
    </w:p>
    <w:p>
      <w:pPr>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从决算编报单位构成看，纳入202</w:t>
      </w:r>
      <w:r>
        <w:rPr>
          <w:rFonts w:hint="eastAsia" w:ascii="仿宋_GB2312" w:eastAsia="仿宋_GB2312" w:cs="Arial Black"/>
          <w:kern w:val="0"/>
          <w:sz w:val="32"/>
          <w:szCs w:val="32"/>
          <w:lang w:val="en-US" w:eastAsia="zh-CN"/>
        </w:rPr>
        <w:t>3</w:t>
      </w:r>
      <w:r>
        <w:rPr>
          <w:rFonts w:hint="eastAsia" w:ascii="仿宋_GB2312" w:eastAsia="仿宋_GB2312" w:cs="Arial Black"/>
          <w:kern w:val="0"/>
          <w:sz w:val="32"/>
          <w:szCs w:val="32"/>
        </w:rPr>
        <w:t>年度本部门决算汇编范围的独立核算单位（以下简称“单位”）共</w:t>
      </w:r>
      <w:r>
        <w:rPr>
          <w:rFonts w:hint="eastAsia" w:ascii="仿宋_GB2312" w:eastAsia="仿宋_GB2312" w:cs="Arial Black"/>
          <w:kern w:val="0"/>
          <w:sz w:val="32"/>
          <w:szCs w:val="32"/>
          <w:lang w:val="en-US" w:eastAsia="zh-CN"/>
        </w:rPr>
        <w:t>1</w:t>
      </w:r>
      <w:r>
        <w:rPr>
          <w:rFonts w:hint="eastAsia" w:ascii="仿宋_GB2312" w:eastAsia="仿宋_GB2312" w:cs="Arial Black"/>
          <w:kern w:val="0"/>
          <w:sz w:val="32"/>
          <w:szCs w:val="32"/>
        </w:rPr>
        <w:t>个，具体情况如下：</w:t>
      </w:r>
    </w:p>
    <w:p>
      <w:pPr>
        <w:spacing w:line="580" w:lineRule="exact"/>
        <w:rPr>
          <w:rFonts w:hint="eastAsia" w:ascii="仿宋_GB2312" w:eastAsia="仿宋_GB2312" w:cs="Arial Black"/>
          <w:kern w:val="0"/>
          <w:sz w:val="32"/>
          <w:szCs w:val="32"/>
        </w:rPr>
      </w:pPr>
    </w:p>
    <w:p>
      <w:pPr>
        <w:spacing w:line="580" w:lineRule="exact"/>
        <w:rPr>
          <w:rFonts w:hint="eastAsia" w:ascii="仿宋_GB2312" w:eastAsia="仿宋_GB2312" w:cs="Arial Black"/>
          <w:kern w:val="0"/>
          <w:sz w:val="32"/>
          <w:szCs w:val="32"/>
        </w:rPr>
      </w:pPr>
    </w:p>
    <w:p>
      <w:pPr>
        <w:spacing w:line="580" w:lineRule="exact"/>
        <w:ind w:firstLine="640" w:firstLineChars="200"/>
        <w:jc w:val="center"/>
        <w:rPr>
          <w:rFonts w:hint="eastAsia" w:ascii="仿宋_GB2312" w:eastAsia="仿宋_GB2312" w:cs="Arial Black"/>
          <w:kern w:val="0"/>
          <w:sz w:val="32"/>
          <w:szCs w:val="32"/>
        </w:rPr>
      </w:pPr>
      <w:r>
        <w:rPr>
          <w:rFonts w:hint="eastAsia" w:ascii="Times New Roman" w:hAnsi="Times New Roman" w:eastAsia="方正小标宋_GBK" w:cs="Times New Roman"/>
          <w:sz w:val="32"/>
        </w:rPr>
        <w:t>部门机构设置情况</w:t>
      </w:r>
    </w:p>
    <w:p>
      <w:pPr>
        <w:keepNext/>
        <w:keepLines/>
        <w:numPr>
          <w:ilvl w:val="0"/>
          <w:numId w:val="0"/>
        </w:numPr>
        <w:spacing w:line="580" w:lineRule="exact"/>
        <w:jc w:val="left"/>
        <w:outlineLvl w:val="0"/>
        <w:rPr>
          <w:rFonts w:hint="eastAsia" w:ascii="黑体" w:hAnsi="Calibri" w:eastAsia="黑体" w:cs="黑体"/>
          <w:kern w:val="0"/>
          <w:sz w:val="32"/>
          <w:szCs w:val="32"/>
        </w:rPr>
      </w:pPr>
    </w:p>
    <w:tbl>
      <w:tblPr>
        <w:tblStyle w:val="11"/>
        <w:tblW w:w="83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88"/>
        <w:gridCol w:w="1135"/>
        <w:gridCol w:w="1385"/>
        <w:gridCol w:w="25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blHeader/>
          <w:jc w:val="center"/>
        </w:trPr>
        <w:tc>
          <w:tcPr>
            <w:tcW w:w="3288" w:type="dxa"/>
            <w:vMerge w:val="restart"/>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b/>
                <w:szCs w:val="24"/>
              </w:rPr>
            </w:pPr>
            <w:r>
              <w:rPr>
                <w:rFonts w:hint="eastAsia" w:ascii="Times New Roman" w:hAnsi="Times New Roman" w:eastAsia="方正书宋_GBK" w:cs="Times New Roman"/>
                <w:b/>
              </w:rPr>
              <w:t>单位名称</w:t>
            </w:r>
          </w:p>
        </w:tc>
        <w:tc>
          <w:tcPr>
            <w:tcW w:w="1135" w:type="dxa"/>
            <w:vMerge w:val="restart"/>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b/>
                <w:szCs w:val="24"/>
              </w:rPr>
            </w:pPr>
            <w:r>
              <w:rPr>
                <w:rFonts w:hint="eastAsia" w:ascii="Times New Roman" w:hAnsi="Times New Roman" w:eastAsia="方正书宋_GBK" w:cs="Times New Roman"/>
                <w:b/>
              </w:rPr>
              <w:t>单位性质</w:t>
            </w:r>
          </w:p>
        </w:tc>
        <w:tc>
          <w:tcPr>
            <w:tcW w:w="1385" w:type="dxa"/>
            <w:vMerge w:val="restart"/>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b/>
                <w:szCs w:val="24"/>
              </w:rPr>
            </w:pPr>
            <w:r>
              <w:rPr>
                <w:rFonts w:hint="eastAsia" w:ascii="Times New Roman" w:hAnsi="Times New Roman" w:eastAsia="方正书宋_GBK" w:cs="Times New Roman"/>
                <w:b/>
              </w:rPr>
              <w:t>单位规格</w:t>
            </w:r>
          </w:p>
        </w:tc>
        <w:tc>
          <w:tcPr>
            <w:tcW w:w="2509" w:type="dxa"/>
            <w:vMerge w:val="restart"/>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b/>
                <w:szCs w:val="24"/>
              </w:rPr>
            </w:pPr>
            <w:r>
              <w:rPr>
                <w:rFonts w:hint="eastAsia" w:ascii="Times New Roman" w:hAnsi="Times New Roman" w:eastAsia="方正书宋_GBK" w:cs="Times New Roman"/>
                <w:b/>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3288"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ascii="Times New Roman" w:hAnsi="Times New Roman" w:eastAsia="方正书宋_GBK" w:cs="Times New Roman"/>
                <w:b/>
                <w:szCs w:val="24"/>
              </w:rPr>
            </w:pPr>
          </w:p>
        </w:tc>
        <w:tc>
          <w:tcPr>
            <w:tcW w:w="1135"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ascii="Times New Roman" w:hAnsi="Times New Roman" w:eastAsia="方正书宋_GBK" w:cs="Times New Roman"/>
                <w:b/>
                <w:szCs w:val="24"/>
              </w:rPr>
            </w:pPr>
          </w:p>
        </w:tc>
        <w:tc>
          <w:tcPr>
            <w:tcW w:w="1385"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ascii="Times New Roman" w:hAnsi="Times New Roman" w:eastAsia="方正书宋_GBK" w:cs="Times New Roman"/>
                <w:b/>
                <w:szCs w:val="24"/>
              </w:rPr>
            </w:pPr>
          </w:p>
        </w:tc>
        <w:tc>
          <w:tcPr>
            <w:tcW w:w="2509"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ascii="Times New Roman" w:hAnsi="Times New Roman" w:eastAsia="方正书宋_GBK" w:cs="Times New Roman"/>
                <w:b/>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288" w:type="dxa"/>
            <w:tcBorders>
              <w:top w:val="single" w:color="000000" w:sz="6" w:space="0"/>
              <w:left w:val="single" w:color="000000" w:sz="6" w:space="0"/>
              <w:bottom w:val="single" w:color="000000" w:sz="6" w:space="0"/>
              <w:right w:val="single" w:color="000000" w:sz="6" w:space="0"/>
            </w:tcBorders>
            <w:noWrap/>
            <w:vAlign w:val="center"/>
          </w:tcPr>
          <w:p>
            <w:pPr>
              <w:spacing w:line="300" w:lineRule="exact"/>
              <w:jc w:val="left"/>
              <w:rPr>
                <w:rFonts w:hint="default" w:ascii="Times New Roman" w:hAnsi="Times New Roman" w:eastAsia="方正书宋_GBK" w:cs="Times New Roman"/>
                <w:szCs w:val="21"/>
                <w:lang w:val="en-US" w:eastAsia="zh-CN"/>
              </w:rPr>
            </w:pPr>
            <w:r>
              <w:rPr>
                <w:rFonts w:hint="eastAsia" w:ascii="Times New Roman" w:hAnsi="Times New Roman" w:eastAsia="方正书宋_GBK" w:cs="Times New Roman"/>
                <w:szCs w:val="21"/>
                <w:lang w:val="en-US" w:eastAsia="zh-CN"/>
              </w:rPr>
              <w:t>唐山市开平区开平镇人民政府</w:t>
            </w:r>
          </w:p>
        </w:tc>
        <w:tc>
          <w:tcPr>
            <w:tcW w:w="1135" w:type="dxa"/>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szCs w:val="21"/>
              </w:rPr>
            </w:pPr>
            <w:r>
              <w:rPr>
                <w:rFonts w:hint="eastAsia" w:ascii="方正书宋_GBK" w:eastAsia="方正书宋_GBK"/>
                <w:szCs w:val="21"/>
              </w:rPr>
              <w:t>行政</w:t>
            </w:r>
          </w:p>
        </w:tc>
        <w:tc>
          <w:tcPr>
            <w:tcW w:w="1385" w:type="dxa"/>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hint="default" w:ascii="Times New Roman" w:hAnsi="Times New Roman" w:eastAsia="方正书宋_GBK" w:cs="Times New Roman"/>
                <w:szCs w:val="21"/>
                <w:lang w:val="en-US" w:eastAsia="zh-CN"/>
              </w:rPr>
            </w:pPr>
            <w:r>
              <w:rPr>
                <w:rFonts w:hint="eastAsia" w:ascii="Times New Roman" w:hAnsi="Times New Roman" w:eastAsia="方正书宋_GBK" w:cs="Times New Roman"/>
                <w:szCs w:val="21"/>
                <w:lang w:val="en-US" w:eastAsia="zh-CN"/>
              </w:rPr>
              <w:t>正科级</w:t>
            </w:r>
          </w:p>
        </w:tc>
        <w:tc>
          <w:tcPr>
            <w:tcW w:w="2509" w:type="dxa"/>
            <w:tcBorders>
              <w:top w:val="single" w:color="000000" w:sz="6" w:space="0"/>
              <w:left w:val="single" w:color="000000" w:sz="6" w:space="0"/>
              <w:bottom w:val="single" w:color="000000" w:sz="6" w:space="0"/>
              <w:right w:val="single" w:color="000000" w:sz="6" w:space="0"/>
            </w:tcBorders>
            <w:noWrap/>
            <w:vAlign w:val="center"/>
          </w:tcPr>
          <w:p>
            <w:pPr>
              <w:spacing w:line="300" w:lineRule="exact"/>
              <w:jc w:val="center"/>
              <w:rPr>
                <w:rFonts w:ascii="Times New Roman" w:hAnsi="Times New Roman" w:eastAsia="方正书宋_GBK" w:cs="Times New Roman"/>
                <w:szCs w:val="21"/>
              </w:rPr>
            </w:pPr>
            <w:r>
              <w:rPr>
                <w:rFonts w:hint="eastAsia" w:ascii="方正书宋_GBK" w:eastAsia="方正书宋_GBK"/>
                <w:szCs w:val="21"/>
              </w:rPr>
              <w:t>财政拨款</w:t>
            </w:r>
          </w:p>
        </w:tc>
      </w:tr>
    </w:tbl>
    <w:p>
      <w:pPr>
        <w:keepNext/>
        <w:keepLines/>
        <w:numPr>
          <w:ilvl w:val="0"/>
          <w:numId w:val="0"/>
        </w:numPr>
        <w:spacing w:line="580" w:lineRule="exact"/>
        <w:jc w:val="left"/>
        <w:outlineLvl w:val="0"/>
        <w:rPr>
          <w:rFonts w:hint="eastAsia" w:ascii="黑体" w:hAnsi="Calibri" w:eastAsia="黑体" w:cs="黑体"/>
          <w:kern w:val="0"/>
          <w:sz w:val="32"/>
          <w:szCs w:val="32"/>
        </w:rPr>
      </w:pP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lang w:eastAsia="zh-CN"/>
        </w:rPr>
        <w:t>本</w:t>
      </w:r>
      <w:r>
        <w:rPr>
          <w:rFonts w:hint="eastAsia" w:ascii="仿宋_GB2312" w:eastAsia="仿宋_GB2312" w:cs="Arial Black"/>
          <w:kern w:val="0"/>
          <w:sz w:val="32"/>
          <w:szCs w:val="32"/>
        </w:rPr>
        <w:t>门无二级预算单位，因此，</w:t>
      </w:r>
      <w:r>
        <w:rPr>
          <w:rFonts w:hint="eastAsia" w:ascii="仿宋_GB2312" w:eastAsia="仿宋_GB2312" w:cs="Arial Black"/>
          <w:kern w:val="0"/>
          <w:sz w:val="32"/>
          <w:szCs w:val="32"/>
          <w:lang w:eastAsia="zh-CN"/>
        </w:rPr>
        <w:t>唐山市开平镇人民政府</w:t>
      </w:r>
      <w:r>
        <w:rPr>
          <w:rFonts w:hint="eastAsia" w:ascii="仿宋_GB2312" w:eastAsia="仿宋_GB2312" w:cs="Arial Black"/>
          <w:kern w:val="0"/>
          <w:sz w:val="32"/>
          <w:szCs w:val="32"/>
        </w:rPr>
        <w:t>202</w:t>
      </w:r>
      <w:r>
        <w:rPr>
          <w:rFonts w:hint="eastAsia" w:ascii="仿宋_GB2312" w:eastAsia="仿宋_GB2312" w:cs="Arial Black"/>
          <w:kern w:val="0"/>
          <w:sz w:val="32"/>
          <w:szCs w:val="32"/>
          <w:lang w:val="en-US" w:eastAsia="zh-CN"/>
        </w:rPr>
        <w:t>3</w:t>
      </w:r>
      <w:r>
        <w:rPr>
          <w:rFonts w:hint="eastAsia" w:ascii="仿宋_GB2312" w:eastAsia="仿宋_GB2312" w:cs="Arial Black"/>
          <w:kern w:val="0"/>
          <w:sz w:val="32"/>
          <w:szCs w:val="32"/>
        </w:rPr>
        <w:t>年度部门决算即</w:t>
      </w:r>
      <w:r>
        <w:rPr>
          <w:rFonts w:hint="eastAsia" w:ascii="仿宋_GB2312" w:eastAsia="仿宋_GB2312" w:cs="Arial Black"/>
          <w:kern w:val="0"/>
          <w:sz w:val="32"/>
          <w:szCs w:val="32"/>
          <w:lang w:eastAsia="zh-CN"/>
        </w:rPr>
        <w:t>唐山市开平镇人民政府</w:t>
      </w:r>
      <w:r>
        <w:rPr>
          <w:rFonts w:hint="eastAsia" w:ascii="仿宋_GB2312" w:eastAsia="仿宋_GB2312" w:cs="Arial Black"/>
          <w:kern w:val="0"/>
          <w:sz w:val="32"/>
          <w:szCs w:val="32"/>
        </w:rPr>
        <w:t>本级202</w:t>
      </w:r>
      <w:r>
        <w:rPr>
          <w:rFonts w:hint="eastAsia" w:ascii="仿宋_GB2312" w:eastAsia="仿宋_GB2312" w:cs="Arial Black"/>
          <w:kern w:val="0"/>
          <w:sz w:val="32"/>
          <w:szCs w:val="32"/>
          <w:lang w:val="en-US" w:eastAsia="zh-CN"/>
        </w:rPr>
        <w:t>3</w:t>
      </w:r>
      <w:r>
        <w:rPr>
          <w:rFonts w:hint="eastAsia" w:ascii="仿宋_GB2312" w:eastAsia="仿宋_GB2312" w:cs="Arial Black"/>
          <w:kern w:val="0"/>
          <w:sz w:val="32"/>
          <w:szCs w:val="32"/>
        </w:rPr>
        <w:t>年度决算。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编制部门（单位）：唐山市开平区开平镇人民政府(本级)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1,342.31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1,997.49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58.99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2,056.48</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编制部门（单位）：唐山市开平区开平镇人民政府(本级)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1,997.49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1,997.49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1,087.21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1,087.21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1,087.21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1,087.21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1,062.80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1,062.80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国有资本经营预算支出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解决历史遗留问题及改革成本支出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2230105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国有企业退休人员社会化管理补助支出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编制部门（单位）：唐山市开平区开平镇人民政府(本级)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1,997.49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1,162.41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835.09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1,087.21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179.91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1,087.21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179.91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1,062.80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国有资本经营预算支出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解决历史遗留问题及改革成本支出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2230105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国有企业退休人员社会化管理补助支出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编制部门（单位）：唐山市开平区开平镇人民政府(本级)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1,342.31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1,087.21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1,087.21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1,997.49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1,997.49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1,342.31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654.88</w:t>
            </w: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58.99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58.99</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44.80</w:t>
            </w: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14.19</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44.80</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2,056.48</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2,056.48</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1,356.50</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699.68</w:t>
            </w: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33"/>
        <w:gridCol w:w="3216"/>
        <w:gridCol w:w="1133"/>
        <w:gridCol w:w="762"/>
        <w:gridCol w:w="79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编制部门（单位）：唐山市开平区开平镇人民政府(本级)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1,342.31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1,162.41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1,087.21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1,087.21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1,062.80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907.30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52.75</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编制部门（单位）：唐山市开平区开平镇人民政府(本级)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1,011.08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102.08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230.79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22.45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235.69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72.61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18.23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88.77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169.71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31.18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1,060.33</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编制部门（单位）：唐山市开平区开平镇人民政府(本级)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44.80</w:t>
            </w: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654.88</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654.88</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654.88</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2121301</w:t>
            </w:r>
          </w:p>
        </w:tc>
        <w:tc>
          <w:tcPr>
            <w:tcW w:w="703"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城市公共设施</w:t>
            </w:r>
          </w:p>
        </w:tc>
        <w:tc>
          <w:tcPr>
            <w:tcW w:w="62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654.88</w:t>
            </w: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5"/>
        <w:gridCol w:w="726"/>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3"/>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编制部门（单位）：唐山市开平区开平镇人民政府(本级)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4"/>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3"/>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0.30</w:t>
            </w: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223</w:t>
            </w:r>
          </w:p>
        </w:tc>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国有资本经营预算支出</w:t>
            </w:r>
          </w:p>
        </w:tc>
        <w:tc>
          <w:tcPr>
            <w:tcW w:w="828" w:type="pct"/>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c>
          <w:tcPr>
            <w:tcW w:w="828" w:type="pct"/>
            <w:gridSpan w:val="3"/>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22301</w:t>
            </w:r>
          </w:p>
        </w:tc>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解决历史遗留问题及改革成本支出</w:t>
            </w:r>
          </w:p>
        </w:tc>
        <w:tc>
          <w:tcPr>
            <w:tcW w:w="828" w:type="pct"/>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c>
          <w:tcPr>
            <w:tcW w:w="828" w:type="pct"/>
            <w:gridSpan w:val="3"/>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2230105</w:t>
            </w:r>
          </w:p>
        </w:tc>
        <w:tc>
          <w:tcPr>
            <w:tcW w:w="1257"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国有企业退休人员社会化管理补助支出</w:t>
            </w:r>
          </w:p>
        </w:tc>
        <w:tc>
          <w:tcPr>
            <w:tcW w:w="828" w:type="pct"/>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c>
          <w:tcPr>
            <w:tcW w:w="828" w:type="pct"/>
            <w:gridSpan w:val="3"/>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编制部门（单位）：唐山市开平区开平镇人民政府(本级)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3.99</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3.99</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3.99</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2,056.48</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2616.43</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56</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大气污染环境治理及人员变动且本年度没有疫情防控经费的支出</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1,997.49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，其中：财政拨款收入1,997.49万元，占100%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1,997.49万元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1,162.41万元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占58.19%；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835.09万元</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年度财政拨款本年收入1,997.49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2616.44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56.71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大气污染环境治理及人员变动</w:t>
      </w:r>
      <w:r>
        <w:rPr>
          <w:rFonts w:hint="default" w:ascii="Times New Roman" w:hAnsi="Times New Roman" w:eastAsia="仿宋_GB2312" w:cs="Times New Roman"/>
          <w:color w:val="auto"/>
          <w:kern w:val="2"/>
          <w:sz w:val="32"/>
          <w:szCs w:val="32"/>
          <w:lang w:val="zh-CN" w:eastAsia="zh-CN" w:bidi="ar-SA"/>
        </w:rPr>
        <w:t>；本年支出 1,997.49万元，比上年减少</w:t>
      </w:r>
      <w:r>
        <w:rPr>
          <w:rFonts w:hint="eastAsia" w:ascii="Times New Roman" w:hAnsi="Times New Roman" w:eastAsia="仿宋_GB2312" w:cs="Times New Roman"/>
          <w:color w:val="auto"/>
          <w:kern w:val="2"/>
          <w:sz w:val="32"/>
          <w:szCs w:val="32"/>
          <w:lang w:val="en-US" w:eastAsia="zh-CN" w:bidi="ar-SA"/>
        </w:rPr>
        <w:t>2616.44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56.71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大气污染环境治理及人员变动</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一般公共预算财政拨款本年收入1,342.31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44.12</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人员变动</w:t>
      </w:r>
      <w:r>
        <w:rPr>
          <w:rFonts w:hint="default" w:ascii="Times New Roman" w:hAnsi="Times New Roman" w:eastAsia="仿宋_GB2312" w:cs="Times New Roman"/>
          <w:kern w:val="2"/>
          <w:sz w:val="32"/>
          <w:szCs w:val="32"/>
          <w:lang w:val="zh-CN"/>
        </w:rPr>
        <w:t>；本年支出 1,342.31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44.12</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3.4</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人员变动</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政府性基金预算财政拨款本年收入654.88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2660.86</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80.25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大气污染生态环境治理且本年度没有疫情防控经费的支出</w:t>
      </w:r>
      <w:r>
        <w:rPr>
          <w:rFonts w:hint="default" w:ascii="Times New Roman" w:hAnsi="Times New Roman" w:eastAsia="仿宋_GB2312" w:cs="Times New Roman"/>
          <w:kern w:val="2"/>
          <w:sz w:val="32"/>
          <w:szCs w:val="32"/>
          <w:lang w:val="zh-CN"/>
        </w:rPr>
        <w:t>；本年支出 654.88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2660.86</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80.25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大气污染生态环境治理且本年度没有疫情防控经费的支出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0.3</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本年度增加了国有企业退休人员社会化管理经费</w:t>
      </w:r>
      <w:r>
        <w:rPr>
          <w:rFonts w:hint="default" w:ascii="Times New Roman" w:hAnsi="Times New Roman" w:eastAsia="仿宋_GB2312" w:cs="Times New Roman"/>
          <w:kern w:val="2"/>
          <w:sz w:val="32"/>
          <w:szCs w:val="32"/>
          <w:lang w:val="zh-CN"/>
        </w:rPr>
        <w:t>；本年支出0.3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0.3</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本年度增加了国有企业退休人员社会化管理经费</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年度财政拨款本年收入1,997.49万元，完成年初预算的81.7%，比年初预算减少</w:t>
      </w:r>
      <w:r>
        <w:rPr>
          <w:rFonts w:hint="eastAsia" w:ascii="Times New Roman" w:hAnsi="Times New Roman" w:eastAsia="仿宋_GB2312" w:cs="Times New Roman"/>
          <w:color w:val="auto"/>
          <w:kern w:val="2"/>
          <w:sz w:val="32"/>
          <w:szCs w:val="32"/>
          <w:lang w:val="en-US" w:eastAsia="zh-CN" w:bidi="ar-SA"/>
        </w:rPr>
        <w:t>444.12</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kern w:val="2"/>
          <w:sz w:val="32"/>
          <w:szCs w:val="32"/>
          <w:lang w:val="en-US" w:eastAsia="zh-CN"/>
        </w:rPr>
        <w:t>大气污染环境治理及人员变动且本年度没有疫情防控经费的支出</w:t>
      </w:r>
      <w:r>
        <w:rPr>
          <w:rFonts w:hint="default" w:ascii="Times New Roman" w:hAnsi="Times New Roman" w:eastAsia="仿宋_GB2312" w:cs="Times New Roman"/>
          <w:color w:val="auto"/>
          <w:kern w:val="2"/>
          <w:sz w:val="32"/>
          <w:szCs w:val="32"/>
          <w:lang w:val="zh-CN" w:eastAsia="zh-CN" w:bidi="ar-SA"/>
        </w:rPr>
        <w:t>；本年支出1,997.49万元，完成年初预算的81.7%，比年初预算减少</w:t>
      </w:r>
      <w:r>
        <w:rPr>
          <w:rFonts w:hint="eastAsia" w:ascii="Times New Roman" w:hAnsi="Times New Roman" w:eastAsia="仿宋_GB2312" w:cs="Times New Roman"/>
          <w:color w:val="auto"/>
          <w:kern w:val="2"/>
          <w:sz w:val="32"/>
          <w:szCs w:val="32"/>
          <w:lang w:val="en-US" w:eastAsia="zh-CN" w:bidi="ar-SA"/>
        </w:rPr>
        <w:t>444.12</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大气污染环境治理及人员变动且本年度没有疫情防控经费的支出，支出减少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收入1,342.31万元，完成年初预算的 97.79%，比年初预算减少</w:t>
      </w:r>
      <w:r>
        <w:rPr>
          <w:rFonts w:hint="eastAsia" w:ascii="Times New Roman" w:hAnsi="Times New Roman" w:eastAsia="仿宋_GB2312" w:cs="Times New Roman"/>
          <w:kern w:val="2"/>
          <w:sz w:val="32"/>
          <w:szCs w:val="32"/>
          <w:lang w:val="en-US" w:eastAsia="zh-CN"/>
        </w:rPr>
        <w:t>30.33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大气污染环境治理及人员变动</w:t>
      </w:r>
      <w:r>
        <w:rPr>
          <w:rFonts w:hint="default" w:ascii="Times New Roman" w:hAnsi="Times New Roman" w:eastAsia="仿宋_GB2312" w:cs="Times New Roman"/>
          <w:kern w:val="2"/>
          <w:sz w:val="32"/>
          <w:szCs w:val="32"/>
          <w:lang w:val="zh-CN"/>
        </w:rPr>
        <w:t>；本年支出1,342.31万元，完成年初预算的97.79%，比年初预算减少</w:t>
      </w:r>
      <w:r>
        <w:rPr>
          <w:rFonts w:hint="eastAsia" w:ascii="Times New Roman" w:hAnsi="Times New Roman" w:eastAsia="仿宋_GB2312" w:cs="Times New Roman"/>
          <w:kern w:val="2"/>
          <w:sz w:val="32"/>
          <w:szCs w:val="32"/>
          <w:lang w:val="en-US" w:eastAsia="zh-CN"/>
        </w:rPr>
        <w:t>30.33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大气污染环境治理及人员变动</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政府性基金预算财政拨款本年收入654.88万元，完成年初预算的61.07%，比年初预算减少</w:t>
      </w:r>
      <w:r>
        <w:rPr>
          <w:rFonts w:hint="eastAsia" w:ascii="Times New Roman" w:hAnsi="Times New Roman" w:eastAsia="仿宋_GB2312" w:cs="Times New Roman"/>
          <w:kern w:val="2"/>
          <w:sz w:val="32"/>
          <w:szCs w:val="32"/>
          <w:lang w:val="en-US" w:eastAsia="zh-CN"/>
        </w:rPr>
        <w:t>417.39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大气污染环境治理及本年度没有疫情防控经费的支出</w:t>
      </w:r>
      <w:r>
        <w:rPr>
          <w:rFonts w:hint="default" w:ascii="Times New Roman" w:hAnsi="Times New Roman" w:eastAsia="仿宋_GB2312" w:cs="Times New Roman"/>
          <w:kern w:val="2"/>
          <w:sz w:val="32"/>
          <w:szCs w:val="32"/>
          <w:lang w:val="zh-CN"/>
        </w:rPr>
        <w:t>；本年支出654.88万元，完成年初预算的61.07%，比年初预算减少</w:t>
      </w:r>
      <w:r>
        <w:rPr>
          <w:rFonts w:hint="eastAsia" w:ascii="Times New Roman" w:hAnsi="Times New Roman" w:eastAsia="仿宋_GB2312" w:cs="Times New Roman"/>
          <w:kern w:val="2"/>
          <w:sz w:val="32"/>
          <w:szCs w:val="32"/>
          <w:lang w:val="en-US" w:eastAsia="zh-CN"/>
        </w:rPr>
        <w:t>417.39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大气污染环境治理及本年度没有疫情防控经费的支出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国有资本经营预算财政拨款本年收入0.3万元，比</w:t>
      </w:r>
      <w:r>
        <w:rPr>
          <w:rFonts w:hint="eastAsia" w:ascii="Times New Roman" w:hAnsi="Times New Roman" w:eastAsia="仿宋_GB2312" w:cs="Times New Roman"/>
          <w:kern w:val="2"/>
          <w:sz w:val="32"/>
          <w:szCs w:val="32"/>
          <w:lang w:val="zh-CN"/>
        </w:rPr>
        <w:t>上</w:t>
      </w:r>
      <w:r>
        <w:rPr>
          <w:rFonts w:hint="default" w:ascii="Times New Roman" w:hAnsi="Times New Roman" w:eastAsia="仿宋_GB2312" w:cs="Times New Roman"/>
          <w:kern w:val="2"/>
          <w:sz w:val="32"/>
          <w:szCs w:val="32"/>
          <w:lang w:val="zh-CN"/>
        </w:rPr>
        <w:t>年增加</w:t>
      </w:r>
      <w:r>
        <w:rPr>
          <w:rFonts w:hint="eastAsia" w:ascii="Times New Roman" w:hAnsi="Times New Roman" w:eastAsia="仿宋_GB2312" w:cs="Times New Roman"/>
          <w:kern w:val="2"/>
          <w:sz w:val="32"/>
          <w:szCs w:val="32"/>
          <w:lang w:val="en-US" w:eastAsia="zh-CN"/>
        </w:rPr>
        <w:t>0.3万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增长了</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本年度增加了国有企业退休人员社会化管理经费</w:t>
      </w:r>
      <w:r>
        <w:rPr>
          <w:rFonts w:hint="default" w:ascii="Times New Roman" w:hAnsi="Times New Roman" w:eastAsia="仿宋_GB2312" w:cs="Times New Roman"/>
          <w:kern w:val="2"/>
          <w:sz w:val="32"/>
          <w:szCs w:val="32"/>
          <w:lang w:val="zh-CN"/>
        </w:rPr>
        <w:t>；本年支出0.3万元，比</w:t>
      </w:r>
      <w:r>
        <w:rPr>
          <w:rFonts w:hint="eastAsia" w:ascii="Times New Roman" w:hAnsi="Times New Roman" w:eastAsia="仿宋_GB2312" w:cs="Times New Roman"/>
          <w:kern w:val="2"/>
          <w:sz w:val="32"/>
          <w:szCs w:val="32"/>
          <w:lang w:val="zh-CN"/>
        </w:rPr>
        <w:t>上年</w:t>
      </w:r>
      <w:r>
        <w:rPr>
          <w:rFonts w:hint="default" w:ascii="Times New Roman" w:hAnsi="Times New Roman" w:eastAsia="仿宋_GB2312" w:cs="Times New Roman"/>
          <w:kern w:val="2"/>
          <w:sz w:val="32"/>
          <w:szCs w:val="32"/>
          <w:lang w:val="zh-CN"/>
        </w:rPr>
        <w:t>增加</w:t>
      </w:r>
      <w:r>
        <w:rPr>
          <w:rFonts w:hint="eastAsia" w:ascii="Times New Roman" w:hAnsi="Times New Roman" w:eastAsia="仿宋_GB2312" w:cs="Times New Roman"/>
          <w:kern w:val="2"/>
          <w:sz w:val="32"/>
          <w:szCs w:val="32"/>
          <w:lang w:val="en-US" w:eastAsia="zh-CN"/>
        </w:rPr>
        <w:t>0.3</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增长了</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本年度增加了国有企业退休人员社会化管理经费</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年度财政拨款支出1,997.49万元，主要用于以下方面：</w:t>
      </w:r>
      <w:r>
        <w:rPr>
          <w:rFonts w:hint="default" w:ascii="Times New Roman" w:hAnsi="Times New Roman" w:eastAsia="仿宋_GB2312" w:cs="Times New Roman"/>
          <w:color w:val="auto"/>
          <w:kern w:val="2"/>
          <w:sz w:val="32"/>
          <w:szCs w:val="32"/>
          <w:lang w:val="zh-CN" w:eastAsia="zh-CN" w:bidi="ar-SA"/>
        </w:rPr>
        <w:t>一般公共服务（类）支出1,087.21万元，占54.43%；社会保障和就业 （类）支出52.75万元，占2.64%；卫生健康（类）支出130.36万元，占6.53%；城乡社区（类）支出654.88万元，占32.79%；住房保障（类）支出72万元，占3.6%；国有资本经营预算支出0.3万元，占0.02%。</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年度财政拨款基本支出1,162.41万元，其中：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1,060.33万元，主要包括基本工资、津贴补贴、奖金、绩效工资、机关事业部门基本养老保险缴费、职业年金缴费、职工基本医疗保险缴费、公务员医疗补助缴费、住房公积金、其他社会保障缴费、其他工资福利支出、退休费、 抚恤金、生活补助、医疗费补助、其他对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公用经费102.08万元，主要包括办公费、</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水费、邮电费、取暖费、物业管理费、工会经费、福利费、公务用车运行维护费、其他交通费用、其他商品和服务支出。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年度“三公”经费财政拨款支出预算为4万元，支出决算为 3.99万元，完成预算的 99.84%，较预算减少</w:t>
      </w:r>
      <w:r>
        <w:rPr>
          <w:rFonts w:hint="eastAsia" w:ascii="Times New Roman" w:hAnsi="Times New Roman" w:eastAsia="仿宋_GB2312" w:cs="Times New Roman"/>
          <w:color w:val="auto"/>
          <w:kern w:val="2"/>
          <w:sz w:val="32"/>
          <w:szCs w:val="32"/>
          <w:lang w:val="en-US" w:eastAsia="zh-CN" w:bidi="ar-SA"/>
        </w:rPr>
        <w:t>0.01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0.25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rPr>
        <w:t>财政缩减预算</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0.35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9.62</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财政拨款增加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adjustRightInd w:val="0"/>
        <w:snapToGrid w:val="0"/>
        <w:spacing w:line="580" w:lineRule="exact"/>
        <w:ind w:firstLine="643" w:firstLineChars="200"/>
        <w:rPr>
          <w:rFonts w:hint="eastAsia" w:ascii="Times New Roman" w:hAnsi="Times New Roman" w:eastAsia="楷体_GB2312" w:cs="Times New Roman"/>
          <w:b w:val="0"/>
          <w:bCs w:val="0"/>
          <w:kern w:val="2"/>
          <w:sz w:val="32"/>
          <w:szCs w:val="32"/>
          <w:lang w:val="en-US" w:eastAsia="zh-CN" w:bidi="ar-SA"/>
        </w:rPr>
      </w:pPr>
      <w:r>
        <w:rPr>
          <w:rFonts w:hint="eastAsia" w:ascii="Times New Roman" w:hAnsi="Times New Roman" w:eastAsia="楷体_GB2312" w:cs="Times New Roman"/>
          <w:b/>
          <w:bCs/>
          <w:kern w:val="2"/>
          <w:sz w:val="32"/>
          <w:szCs w:val="32"/>
          <w:lang w:val="en-US" w:eastAsia="zh-CN" w:bidi="ar-SA"/>
        </w:rPr>
        <w:t>1.因公出国（境）费支出情况。</w:t>
      </w:r>
      <w:r>
        <w:rPr>
          <w:rFonts w:hint="eastAsia" w:ascii="Times New Roman" w:hAnsi="Times New Roman" w:eastAsia="楷体_GB2312" w:cs="Times New Roman"/>
          <w:b w:val="0"/>
          <w:bCs w:val="0"/>
          <w:kern w:val="2"/>
          <w:sz w:val="32"/>
          <w:szCs w:val="32"/>
          <w:lang w:val="en-US" w:eastAsia="zh-CN" w:bidi="ar-SA"/>
        </w:rPr>
        <w:t>本</w:t>
      </w:r>
      <w:r>
        <w:rPr>
          <w:rFonts w:hint="eastAsia" w:ascii="Times New Roman" w:hAnsi="Times New Roman" w:eastAsia="仿宋_GB2312" w:cs="Times New Roman"/>
          <w:color w:val="auto"/>
          <w:kern w:val="2"/>
          <w:sz w:val="32"/>
          <w:szCs w:val="32"/>
          <w:lang w:val="en-US" w:eastAsia="zh-CN" w:bidi="ar-SA"/>
        </w:rPr>
        <w:t>部门2023年度因公出国（境）费支出预算为0万元，支出决算0万元，完成预算的0%。因公出国（境）费支出较预算增加0万元，增长0%,主要是年初没有进行预算；较上年增加0万元，增长0%,主要是没有此项支出。其中因公出国（境）团组0个、共0人、参加其他单位组织的因公出国（境）团组0个、共0人/无本单位组织的出国（境）团组。</w:t>
      </w:r>
      <w:r>
        <w:rPr>
          <w:rFonts w:hint="eastAsia" w:ascii="仿宋_GB2312" w:hAnsi="Times New Roman" w:eastAsia="仿宋_GB2312" w:cs="DengXian-Regular"/>
          <w:sz w:val="32"/>
          <w:szCs w:val="32"/>
        </w:rPr>
        <w:t>因公出国（境）费支出</w:t>
      </w:r>
      <w:r>
        <w:rPr>
          <w:rFonts w:hint="eastAsia" w:ascii="仿宋_GB2312" w:hAnsi="Times New Roman" w:eastAsia="仿宋_GB2312" w:cs="DengXian-Regular"/>
          <w:sz w:val="32"/>
          <w:szCs w:val="32"/>
          <w:lang w:eastAsia="zh-CN"/>
        </w:rPr>
        <w:t>与年初预算持平，与</w:t>
      </w:r>
      <w:r>
        <w:rPr>
          <w:rFonts w:hint="eastAsia" w:ascii="仿宋_GB2312" w:hAnsi="Times New Roman" w:eastAsia="仿宋_GB2312" w:cs="DengXian-Regular"/>
          <w:sz w:val="32"/>
          <w:szCs w:val="32"/>
          <w:lang w:val="en-US" w:eastAsia="zh-CN"/>
        </w:rPr>
        <w:t>2023年度决算支出持平</w:t>
      </w:r>
      <w:r>
        <w:rPr>
          <w:rFonts w:hint="eastAsia" w:ascii="仿宋_GB2312" w:hAnsi="Times New Roman" w:eastAsia="仿宋_GB2312" w:cs="DengXian-Regular"/>
          <w:sz w:val="32"/>
          <w:szCs w:val="32"/>
          <w:lang w:eastAsia="zh-CN"/>
        </w:rPr>
        <w:t>。</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年度公务用车购置及运行维护费预算为4万元，支出决算 3.99万元，完成预算的99.84%,较预算减少</w:t>
      </w:r>
      <w:r>
        <w:rPr>
          <w:rFonts w:hint="eastAsia" w:ascii="Times New Roman" w:hAnsi="Times New Roman" w:eastAsia="仿宋_GB2312" w:cs="Times New Roman"/>
          <w:color w:val="auto"/>
          <w:kern w:val="2"/>
          <w:sz w:val="32"/>
          <w:szCs w:val="32"/>
          <w:lang w:val="en-US" w:eastAsia="zh-CN" w:bidi="ar-SA"/>
        </w:rPr>
        <w:t>0.01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0.25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rPr>
        <w:t>财政缩减预算</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0.35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9.62</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财政拨款增加</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eastAsia" w:ascii="Times New Roman" w:hAnsi="Times New Roman" w:eastAsia="仿宋_GB2312" w:cs="Times New Roman"/>
          <w:b/>
          <w:sz w:val="32"/>
          <w:szCs w:val="32"/>
        </w:rPr>
        <w:t>万元：</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年初没有进行公车购置费用的预算支出</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年初没有进行公车购置费用的预算支出</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公务用车购置费支出</w:t>
      </w:r>
      <w:r>
        <w:rPr>
          <w:rFonts w:hint="eastAsia" w:ascii="仿宋_GB2312" w:hAnsi="Times New Roman" w:eastAsia="仿宋_GB2312" w:cs="Wingdings"/>
          <w:color w:val="000000"/>
          <w:sz w:val="32"/>
          <w:szCs w:val="32"/>
          <w:highlight w:val="none"/>
        </w:rPr>
        <w:t>与年初预算持平、与20</w:t>
      </w:r>
      <w:r>
        <w:rPr>
          <w:rFonts w:hint="eastAsia" w:ascii="仿宋_GB2312" w:hAnsi="Times New Roman" w:eastAsia="仿宋_GB2312" w:cs="Wingdings"/>
          <w:color w:val="000000"/>
          <w:sz w:val="32"/>
          <w:szCs w:val="32"/>
          <w:highlight w:val="none"/>
          <w:lang w:val="en-US" w:eastAsia="zh-CN"/>
        </w:rPr>
        <w:t>23</w:t>
      </w:r>
      <w:r>
        <w:rPr>
          <w:rFonts w:hint="eastAsia" w:ascii="仿宋_GB2312" w:hAnsi="Times New Roman" w:eastAsia="仿宋_GB2312" w:cs="Wingdings"/>
          <w:color w:val="000000"/>
          <w:sz w:val="32"/>
          <w:szCs w:val="32"/>
          <w:highlight w:val="none"/>
        </w:rPr>
        <w:t>年度决算支出持平</w:t>
      </w:r>
      <w:r>
        <w:rPr>
          <w:rFonts w:hint="eastAsia" w:ascii="仿宋_GB2312" w:hAnsi="Times New Roman" w:eastAsia="仿宋_GB2312" w:cs="Wingdings"/>
          <w:color w:val="000000"/>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3.99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年度单位公务用车保有量2辆，发生运行维护费支出3.99万元。公车运行维护费支出较预算减少</w:t>
      </w:r>
      <w:r>
        <w:rPr>
          <w:rFonts w:hint="eastAsia" w:ascii="Times New Roman" w:hAnsi="Times New Roman" w:eastAsia="仿宋_GB2312" w:cs="Times New Roman"/>
          <w:color w:val="auto"/>
          <w:kern w:val="2"/>
          <w:sz w:val="32"/>
          <w:szCs w:val="32"/>
          <w:lang w:val="en-US" w:eastAsia="zh-CN" w:bidi="ar-SA"/>
        </w:rPr>
        <w:t>0.01</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降低</w:t>
      </w:r>
      <w:r>
        <w:rPr>
          <w:rFonts w:hint="eastAsia" w:ascii="Times New Roman" w:hAnsi="Times New Roman" w:eastAsia="仿宋_GB2312" w:cs="Times New Roman"/>
          <w:color w:val="auto"/>
          <w:kern w:val="2"/>
          <w:sz w:val="32"/>
          <w:szCs w:val="32"/>
          <w:lang w:val="en-US" w:eastAsia="zh-CN" w:bidi="ar-SA"/>
        </w:rPr>
        <w:t>0.25</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rPr>
        <w:t>财政缩减预算</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0.35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9.62</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财政拨款增加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600" w:lineRule="exact"/>
        <w:ind w:firstLine="643" w:firstLineChars="200"/>
        <w:rPr>
          <w:rFonts w:ascii="仿宋_GB2312" w:hAnsi="Times New Roman" w:eastAsia="仿宋_GB2312" w:cs="Wingdings"/>
          <w:b/>
          <w:sz w:val="32"/>
          <w:szCs w:val="32"/>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_GB2312" w:hAnsi="Times New Roman" w:eastAsia="仿宋_GB2312" w:cs="DengXian-Regular"/>
          <w:sz w:val="32"/>
          <w:szCs w:val="32"/>
        </w:rPr>
        <w:t>本部门2022年度公务接待费支出预算为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%。公务接待费支出较预算增加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年初没有进行</w:t>
      </w:r>
      <w:r>
        <w:rPr>
          <w:rFonts w:hint="eastAsia" w:ascii="仿宋_GB2312" w:hAnsi="Times New Roman" w:eastAsia="仿宋_GB2312" w:cs="DengXian-Regular"/>
          <w:sz w:val="32"/>
          <w:szCs w:val="32"/>
          <w:lang w:val="en-US" w:eastAsia="zh-CN"/>
        </w:rPr>
        <w:t>公务接待</w:t>
      </w:r>
      <w:r>
        <w:rPr>
          <w:rFonts w:hint="eastAsia" w:ascii="仿宋_GB2312" w:hAnsi="Times New Roman" w:eastAsia="仿宋_GB2312" w:cs="DengXian-Regular"/>
          <w:sz w:val="32"/>
          <w:szCs w:val="32"/>
          <w:lang w:eastAsia="zh-CN"/>
        </w:rPr>
        <w:t>费用的预算支出</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年初没有进行</w:t>
      </w:r>
      <w:r>
        <w:rPr>
          <w:rFonts w:hint="eastAsia" w:ascii="仿宋_GB2312" w:hAnsi="Times New Roman" w:eastAsia="仿宋_GB2312" w:cs="DengXian-Regular"/>
          <w:sz w:val="32"/>
          <w:szCs w:val="32"/>
          <w:lang w:val="en-US" w:eastAsia="zh-CN"/>
        </w:rPr>
        <w:t>公务接待</w:t>
      </w:r>
      <w:r>
        <w:rPr>
          <w:rFonts w:hint="eastAsia" w:ascii="仿宋_GB2312" w:hAnsi="Times New Roman" w:eastAsia="仿宋_GB2312" w:cs="DengXian-Regular"/>
          <w:sz w:val="32"/>
          <w:szCs w:val="32"/>
          <w:lang w:eastAsia="zh-CN"/>
        </w:rPr>
        <w:t>费用的预算支出</w:t>
      </w:r>
      <w:r>
        <w:rPr>
          <w:rFonts w:hint="eastAsia" w:ascii="仿宋_GB2312" w:hAnsi="Times New Roman" w:eastAsia="仿宋_GB2312" w:cs="DengXian-Regular"/>
          <w:sz w:val="32"/>
          <w:szCs w:val="32"/>
        </w:rPr>
        <w:t>。本年度共发生公务接待</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r>
        <w:rPr>
          <w:rFonts w:hint="eastAsia" w:ascii="仿宋_GB2312" w:hAnsi="Times New Roman" w:eastAsia="仿宋_GB2312" w:cs="Wingdings"/>
          <w:sz w:val="32"/>
          <w:szCs w:val="32"/>
        </w:rPr>
        <w:t>公务接待费支出</w:t>
      </w:r>
      <w:r>
        <w:rPr>
          <w:rFonts w:hint="eastAsia" w:ascii="仿宋_GB2312" w:hAnsi="Times New Roman" w:eastAsia="仿宋_GB2312" w:cs="Wingdings"/>
          <w:color w:val="000000"/>
          <w:sz w:val="32"/>
          <w:szCs w:val="32"/>
          <w:highlight w:val="none"/>
        </w:rPr>
        <w:t>与年初预算持平、与</w:t>
      </w:r>
      <w:r>
        <w:rPr>
          <w:rFonts w:hint="eastAsia" w:ascii="仿宋_GB2312" w:hAnsi="Times New Roman" w:eastAsia="仿宋_GB2312" w:cs="Wingdings"/>
          <w:color w:val="000000"/>
          <w:sz w:val="32"/>
          <w:szCs w:val="32"/>
          <w:highlight w:val="none"/>
          <w:lang w:val="en-US" w:eastAsia="zh-CN"/>
        </w:rPr>
        <w:t>2023</w:t>
      </w:r>
      <w:r>
        <w:rPr>
          <w:rFonts w:hint="eastAsia" w:ascii="仿宋_GB2312" w:hAnsi="Times New Roman" w:eastAsia="仿宋_GB2312" w:cs="Wingdings"/>
          <w:color w:val="000000"/>
          <w:sz w:val="32"/>
          <w:szCs w:val="32"/>
          <w:highlight w:val="none"/>
        </w:rPr>
        <w:t>年度决算支出持平</w:t>
      </w:r>
      <w:r>
        <w:rPr>
          <w:rFonts w:hint="eastAsia" w:ascii="仿宋_GB2312" w:hAnsi="Times New Roman" w:eastAsia="仿宋_GB2312" w:cs="Wingdings"/>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年度机关运行经费支出102.08万元，较2022年度增加</w:t>
      </w:r>
      <w:r>
        <w:rPr>
          <w:rFonts w:hint="eastAsia" w:ascii="Times New Roman" w:hAnsi="Times New Roman" w:eastAsia="仿宋_GB2312" w:cs="Times New Roman"/>
          <w:color w:val="auto"/>
          <w:kern w:val="2"/>
          <w:sz w:val="32"/>
          <w:szCs w:val="32"/>
          <w:lang w:val="en-US" w:eastAsia="zh-CN" w:bidi="ar-SA"/>
        </w:rPr>
        <w:t>102.08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增加了以下支出：</w:t>
      </w:r>
      <w:r>
        <w:rPr>
          <w:rFonts w:hint="default" w:ascii="Times New Roman" w:hAnsi="Times New Roman" w:eastAsia="仿宋_GB2312" w:cs="Times New Roman"/>
          <w:color w:val="auto"/>
          <w:kern w:val="2"/>
          <w:sz w:val="32"/>
          <w:szCs w:val="32"/>
          <w:lang w:val="zh-CN" w:eastAsia="zh-CN" w:bidi="ar-SA"/>
        </w:rPr>
        <w:t>公费、</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水费、邮电费、取暖费、物业管理费、工会经费、福利费、公务用车运行维护费、其他交通费用、其他商品和服务支出。</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辆，主要是</w:t>
      </w:r>
      <w:r>
        <w:rPr>
          <w:rFonts w:hint="eastAsia" w:ascii="仿宋_GB2312" w:hAnsi="Times New Roman" w:eastAsia="仿宋_GB2312" w:cs="Wingdings"/>
          <w:color w:val="000000"/>
          <w:sz w:val="32"/>
          <w:szCs w:val="32"/>
          <w:highlight w:val="none"/>
        </w:rPr>
        <w:t>与年初预算持平、与</w:t>
      </w:r>
      <w:r>
        <w:rPr>
          <w:rFonts w:hint="eastAsia" w:ascii="仿宋_GB2312" w:hAnsi="Times New Roman" w:eastAsia="仿宋_GB2312" w:cs="Wingdings"/>
          <w:color w:val="000000"/>
          <w:sz w:val="32"/>
          <w:szCs w:val="32"/>
          <w:highlight w:val="none"/>
          <w:lang w:val="en-US" w:eastAsia="zh-CN"/>
        </w:rPr>
        <w:t>2022</w:t>
      </w:r>
      <w:r>
        <w:rPr>
          <w:rFonts w:hint="eastAsia" w:ascii="仿宋_GB2312" w:hAnsi="Times New Roman" w:eastAsia="仿宋_GB2312" w:cs="Wingdings"/>
          <w:color w:val="000000"/>
          <w:sz w:val="32"/>
          <w:szCs w:val="32"/>
          <w:highlight w:val="none"/>
        </w:rPr>
        <w:t>年度决算支出持平</w:t>
      </w:r>
      <w:r>
        <w:rPr>
          <w:rFonts w:hint="default" w:ascii="Times New Roman" w:hAnsi="Times New Roman" w:eastAsia="仿宋_GB2312" w:cs="Times New Roman"/>
          <w:color w:val="auto"/>
          <w:kern w:val="2"/>
          <w:sz w:val="32"/>
          <w:szCs w:val="32"/>
          <w:lang w:val="zh-CN" w:eastAsia="zh-CN" w:bidi="ar-SA"/>
        </w:rPr>
        <w:t>。其中，副部（省）级及以上领导用车本单位共有车辆2辆辆，主要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辆，执法执勤用车0辆，特种专业技术用车0辆，离退休干部用车0辆，其他用车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bookmarkStart w:id="0" w:name="_GoBack"/>
      <w:bookmarkEnd w:id="0"/>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179.91</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zh-CN" w:eastAsia="zh-CN" w:bidi="ar-SA"/>
        </w:rPr>
        <w:t>唐河治理工程生态景观绿化土地租金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654.88</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Times New Roman" w:hAnsi="Times New Roman" w:eastAsia="仿宋_GB2312" w:cs="Times New Roman"/>
          <w:color w:val="auto"/>
          <w:kern w:val="2"/>
          <w:sz w:val="32"/>
          <w:szCs w:val="32"/>
          <w:lang w:val="zh-CN" w:eastAsia="zh-CN" w:bidi="ar-SA"/>
        </w:rPr>
        <w:t>开平镇五、六街租地款</w:t>
      </w:r>
      <w:r>
        <w:rPr>
          <w:rFonts w:hint="eastAsia" w:ascii="仿宋_GB2312" w:hAnsi="仿宋_GB2312" w:eastAsia="仿宋_GB2312" w:cs="仿宋_GB2312"/>
          <w:sz w:val="32"/>
          <w:szCs w:val="32"/>
          <w:lang w:eastAsia="zh-CN"/>
        </w:rPr>
        <w:t>、唐河治理租地款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个一级项目开展了重点评价，涉及政府性基金预算支出</w:t>
      </w:r>
      <w:r>
        <w:rPr>
          <w:rFonts w:hint="eastAsia" w:ascii="仿宋_GB2312" w:hAnsi="仿宋_GB2312" w:eastAsia="仿宋_GB2312" w:cs="仿宋_GB2312"/>
          <w:sz w:val="32"/>
          <w:szCs w:val="32"/>
          <w:lang w:val="en-US" w:eastAsia="zh-CN"/>
        </w:rPr>
        <w:t>440.8</w:t>
      </w:r>
      <w:r>
        <w:rPr>
          <w:rFonts w:hint="eastAsia" w:ascii="仿宋_GB2312" w:hAnsi="仿宋_GB2312" w:eastAsia="仿宋_GB2312" w:cs="仿宋_GB2312"/>
          <w:sz w:val="32"/>
          <w:szCs w:val="32"/>
        </w:rPr>
        <w:t>万元。从评价情况来看，一是组织领导到位。成立专门工作小组，组织绩效管理工作；二是制定适合本单位的预算绩效管理工作计划，按规定编制绩效目标，对项目预算资金进行绩效跟踪，扎实开展预算绩效自评工作；三是规范项目管理。严格按照有关规定与我单位财务规定执行，专项经费实行项目管理、专项核算、专款专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项目及</w:t>
      </w:r>
      <w:r>
        <w:rPr>
          <w:rFonts w:hint="eastAsia" w:ascii="仿宋_GB2312" w:hAnsi="仿宋_GB2312" w:eastAsia="仿宋_GB2312" w:cs="仿宋_GB2312"/>
          <w:sz w:val="32"/>
          <w:szCs w:val="32"/>
          <w:lang w:eastAsia="zh-CN"/>
        </w:rPr>
        <w:t>唐河治理租地款</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pPr>
        <w:numPr>
          <w:ilvl w:val="0"/>
          <w:numId w:val="3"/>
        </w:num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唐河治理租地款</w:t>
      </w:r>
      <w:r>
        <w:rPr>
          <w:rFonts w:hint="eastAsia" w:ascii="仿宋_GB2312" w:hAnsi="仿宋_GB2312" w:eastAsia="仿宋_GB2312" w:cs="仿宋_GB2312"/>
          <w:sz w:val="32"/>
          <w:szCs w:val="32"/>
          <w:lang w:val="en-US" w:eastAsia="zh-CN"/>
        </w:rPr>
        <w:t>项目</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eastAsia="zh-CN"/>
        </w:rPr>
        <w:t>唐河治理租地款</w:t>
      </w:r>
      <w:r>
        <w:rPr>
          <w:rFonts w:hint="eastAsia" w:ascii="仿宋_GB2312" w:hAnsi="仿宋_GB2312" w:eastAsia="仿宋_GB2312" w:cs="仿宋_GB2312"/>
          <w:sz w:val="32"/>
          <w:szCs w:val="32"/>
        </w:rPr>
        <w:t>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315.74</w:t>
      </w:r>
      <w:r>
        <w:rPr>
          <w:rFonts w:hint="eastAsia" w:ascii="仿宋_GB2312" w:hAnsi="仿宋_GB2312" w:eastAsia="仿宋_GB2312" w:cs="仿宋_GB2312"/>
          <w:sz w:val="32"/>
          <w:szCs w:val="32"/>
        </w:rPr>
        <w:t>元，执行数为</w:t>
      </w:r>
      <w:r>
        <w:rPr>
          <w:rFonts w:hint="eastAsia" w:ascii="仿宋_GB2312" w:hAnsi="仿宋_GB2312" w:eastAsia="仿宋_GB2312" w:cs="仿宋_GB2312"/>
          <w:sz w:val="32"/>
          <w:szCs w:val="32"/>
          <w:lang w:val="en-US" w:eastAsia="zh-CN"/>
        </w:rPr>
        <w:t>315.74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。项目绩效目标完成情况：通过项目实施，改善唐河周边生态环境，维护社会稳定，保障农民生活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完成了年初设定的各项绩效目标，完成</w:t>
      </w:r>
      <w:r>
        <w:rPr>
          <w:rFonts w:hint="eastAsia" w:ascii="仿宋_GB2312" w:hAnsi="仿宋_GB2312" w:eastAsia="仿宋_GB2312" w:cs="仿宋_GB2312"/>
          <w:sz w:val="32"/>
          <w:szCs w:val="32"/>
          <w:lang w:val="en-US" w:eastAsia="zh-CN"/>
        </w:rPr>
        <w:t>315.74</w:t>
      </w:r>
      <w:r>
        <w:rPr>
          <w:rFonts w:hint="eastAsia" w:ascii="仿宋_GB2312" w:hAnsi="仿宋_GB2312" w:eastAsia="仿宋_GB2312" w:cs="仿宋_GB2312"/>
          <w:sz w:val="32"/>
          <w:szCs w:val="32"/>
        </w:rPr>
        <w:t>万元;未发现问题。</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rPr>
      </w:pPr>
    </w:p>
    <w:p>
      <w:pPr>
        <w:widowControl w:val="0"/>
        <w:numPr>
          <w:ilvl w:val="0"/>
          <w:numId w:val="0"/>
        </w:numPr>
        <w:adjustRightInd w:val="0"/>
        <w:snapToGrid w:val="0"/>
        <w:spacing w:line="580" w:lineRule="exact"/>
        <w:ind w:firstLine="960" w:firstLineChars="3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唐河治理租地款</w:t>
      </w:r>
      <w:r>
        <w:rPr>
          <w:rFonts w:hint="eastAsia" w:ascii="仿宋_GB2312" w:hAnsi="仿宋_GB2312" w:eastAsia="仿宋_GB2312" w:cs="仿宋_GB2312"/>
          <w:sz w:val="32"/>
          <w:szCs w:val="32"/>
        </w:rPr>
        <w:t>项目绩效自评</w:t>
      </w:r>
      <w:r>
        <w:rPr>
          <w:rFonts w:hint="eastAsia" w:ascii="仿宋_GB2312" w:hAnsi="仿宋_GB2312" w:eastAsia="仿宋_GB2312" w:cs="仿宋_GB2312"/>
          <w:sz w:val="32"/>
          <w:szCs w:val="32"/>
          <w:lang w:val="en-US" w:eastAsia="zh-CN"/>
        </w:rPr>
        <w:t>表</w:t>
      </w: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（2023年度）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本级开平镇唐河治理工程生态景观绿化土地租金</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农财</w:t>
            </w:r>
            <w:r>
              <w:rPr>
                <w:rFonts w:ascii="宋体" w:hAnsi="宋体" w:cs="宋体"/>
                <w:kern w:val="0"/>
                <w:sz w:val="18"/>
                <w:szCs w:val="18"/>
              </w:rPr>
              <w:t>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宋体" w:hAnsi="宋体" w:cs="宋体"/>
                <w:kern w:val="0"/>
                <w:sz w:val="18"/>
                <w:szCs w:val="18"/>
              </w:rPr>
              <w:t>开平镇人民政府</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315.74</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改善唐河周边生态环境，维护社会稳定，保障农民生活</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改善唐河周边生态环境，维护社会稳定，保障农民生活</w:t>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1"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租地款涉及村</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6</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6</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受益人数</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当年完成率</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100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44"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补助标准</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1000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1000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7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受益人口数</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4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受益人口满意度</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改善水环境</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受益群众满意度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w:t>
      </w: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项目</w:t>
      </w:r>
      <w:r>
        <w:rPr>
          <w:rFonts w:hint="eastAsia" w:ascii="仿宋_GB2312" w:hAnsi="仿宋_GB2312" w:eastAsia="仿宋_GB2312" w:cs="仿宋_GB2312"/>
          <w:sz w:val="32"/>
          <w:szCs w:val="32"/>
        </w:rPr>
        <w:t>自评综述：根据年初设定的绩效目标，</w:t>
      </w: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项目</w:t>
      </w:r>
      <w:r>
        <w:rPr>
          <w:rFonts w:hint="eastAsia" w:ascii="仿宋_GB2312" w:hAnsi="仿宋_GB2312" w:eastAsia="仿宋_GB2312" w:cs="仿宋_GB2312"/>
          <w:sz w:val="32"/>
          <w:szCs w:val="32"/>
        </w:rPr>
        <w:t>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125.06</w:t>
      </w:r>
      <w:r>
        <w:rPr>
          <w:rFonts w:hint="eastAsia" w:ascii="仿宋_GB2312" w:hAnsi="仿宋_GB2312" w:eastAsia="仿宋_GB2312" w:cs="仿宋_GB2312"/>
          <w:sz w:val="32"/>
          <w:szCs w:val="32"/>
        </w:rPr>
        <w:t>元，执行数为</w:t>
      </w:r>
      <w:r>
        <w:rPr>
          <w:rFonts w:hint="eastAsia" w:ascii="仿宋_GB2312" w:hAnsi="仿宋_GB2312" w:eastAsia="仿宋_GB2312" w:cs="仿宋_GB2312"/>
          <w:sz w:val="32"/>
          <w:szCs w:val="32"/>
          <w:lang w:val="en-US" w:eastAsia="zh-CN"/>
        </w:rPr>
        <w:t>125.06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。项目绩效目标完成情况：通过项目实施，改善居住和生态环境，提升我区绿化景观档次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完成了年初设定的各项绩效目标，完成</w:t>
      </w:r>
      <w:r>
        <w:rPr>
          <w:rFonts w:hint="eastAsia" w:ascii="仿宋_GB2312" w:hAnsi="仿宋_GB2312" w:eastAsia="仿宋_GB2312" w:cs="仿宋_GB2312"/>
          <w:sz w:val="32"/>
          <w:szCs w:val="32"/>
          <w:lang w:val="en-US" w:eastAsia="zh-CN"/>
        </w:rPr>
        <w:t>125.06</w:t>
      </w:r>
      <w:r>
        <w:rPr>
          <w:rFonts w:hint="eastAsia" w:ascii="仿宋_GB2312" w:hAnsi="仿宋_GB2312" w:eastAsia="仿宋_GB2312" w:cs="仿宋_GB2312"/>
          <w:sz w:val="32"/>
          <w:szCs w:val="32"/>
        </w:rPr>
        <w:t>万元;未发现问题。</w:t>
      </w:r>
    </w:p>
    <w:p>
      <w:pPr>
        <w:numPr>
          <w:ilvl w:val="0"/>
          <w:numId w:val="0"/>
        </w:numPr>
        <w:adjustRightInd w:val="0"/>
        <w:snapToGrid w:val="0"/>
        <w:spacing w:line="580" w:lineRule="exact"/>
        <w:ind w:firstLine="960" w:firstLineChars="3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en-US" w:eastAsia="zh-CN" w:bidi="ar-SA"/>
        </w:rPr>
        <w:t>绩效自评表</w:t>
      </w:r>
    </w:p>
    <w:tbl>
      <w:tblPr>
        <w:tblStyle w:val="11"/>
        <w:tblW w:w="9080" w:type="dxa"/>
        <w:jc w:val="center"/>
        <w:tblLayout w:type="fixed"/>
        <w:tblCellMar>
          <w:top w:w="0" w:type="dxa"/>
          <w:left w:w="108" w:type="dxa"/>
          <w:bottom w:w="0" w:type="dxa"/>
          <w:right w:w="108" w:type="dxa"/>
        </w:tblCellMar>
      </w:tblPr>
      <w:tblGrid>
        <w:gridCol w:w="588"/>
        <w:gridCol w:w="980"/>
        <w:gridCol w:w="1112"/>
        <w:gridCol w:w="730"/>
        <w:gridCol w:w="1134"/>
        <w:gridCol w:w="284"/>
        <w:gridCol w:w="850"/>
        <w:gridCol w:w="851"/>
        <w:gridCol w:w="283"/>
        <w:gridCol w:w="284"/>
        <w:gridCol w:w="425"/>
        <w:gridCol w:w="142"/>
        <w:gridCol w:w="709"/>
        <w:gridCol w:w="708"/>
      </w:tblGrid>
      <w:tr>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noWrap/>
            <w:vAlign w:val="center"/>
          </w:tcPr>
          <w:p>
            <w:pPr>
              <w:widowControl/>
              <w:spacing w:line="320" w:lineRule="exact"/>
              <w:jc w:val="center"/>
              <w:rPr>
                <w:rFonts w:ascii="宋体" w:hAnsi="宋体" w:cs="宋体"/>
                <w:b/>
                <w:bCs/>
                <w:kern w:val="0"/>
                <w:szCs w:val="32"/>
              </w:rPr>
            </w:pPr>
            <w:r>
              <w:rPr>
                <w:rFonts w:hint="eastAsia" w:ascii="宋体" w:hAnsi="宋体" w:cs="宋体"/>
                <w:b/>
                <w:bCs/>
                <w:kern w:val="0"/>
                <w:szCs w:val="32"/>
              </w:rPr>
              <w:t>项目支出绩效自评表</w:t>
            </w:r>
          </w:p>
        </w:tc>
      </w:tr>
      <w:tr>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noWrap/>
          </w:tcPr>
          <w:p>
            <w:pPr>
              <w:widowControl/>
              <w:jc w:val="center"/>
              <w:rPr>
                <w:rFonts w:ascii="宋体" w:hAnsi="宋体" w:cs="宋体"/>
                <w:kern w:val="0"/>
                <w:sz w:val="22"/>
                <w:szCs w:val="22"/>
              </w:rPr>
            </w:pPr>
            <w:r>
              <w:rPr>
                <w:rFonts w:hint="eastAsia" w:ascii="宋体" w:hAnsi="宋体" w:cs="宋体"/>
                <w:kern w:val="0"/>
                <w:sz w:val="22"/>
                <w:szCs w:val="22"/>
              </w:rPr>
              <w:t>（2023年度）</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512" w:type="dxa"/>
            <w:gridSpan w:val="1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本级开平镇五、六街租地款</w:t>
            </w:r>
          </w:p>
        </w:tc>
      </w:tr>
      <w:tr>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10"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农财</w:t>
            </w:r>
            <w:r>
              <w:rPr>
                <w:rFonts w:ascii="宋体" w:hAnsi="宋体" w:cs="宋体"/>
                <w:kern w:val="0"/>
                <w:sz w:val="18"/>
                <w:szCs w:val="18"/>
              </w:rPr>
              <w:t>中心</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ascii="宋体" w:hAnsi="宋体" w:cs="宋体"/>
                <w:kern w:val="0"/>
                <w:sz w:val="18"/>
                <w:szCs w:val="18"/>
              </w:rPr>
              <w:t>开平镇人民政府</w:t>
            </w:r>
          </w:p>
        </w:tc>
      </w:tr>
      <w:tr>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125.06</w:t>
            </w: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842"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 xml:space="preserve">  其他资金</w:t>
            </w:r>
          </w:p>
        </w:tc>
        <w:tc>
          <w:tcPr>
            <w:tcW w:w="1134"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w:t>
            </w:r>
          </w:p>
        </w:tc>
      </w:tr>
      <w:tr>
        <w:tblPrEx>
          <w:tblCellMar>
            <w:top w:w="0" w:type="dxa"/>
            <w:left w:w="108" w:type="dxa"/>
            <w:bottom w:w="0" w:type="dxa"/>
            <w:right w:w="108" w:type="dxa"/>
          </w:tblCellMar>
        </w:tblPrEx>
        <w:trPr>
          <w:trHeight w:val="507" w:hRule="exact"/>
          <w:jc w:val="center"/>
        </w:trPr>
        <w:tc>
          <w:tcPr>
            <w:tcW w:w="588"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改善居住和生态环境，提升我区绿化景观档次</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tc>
        <w:tc>
          <w:tcPr>
            <w:tcW w:w="3402" w:type="dxa"/>
            <w:gridSpan w:val="7"/>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改善居住和生态环境，提升我区绿化景观档次</w:t>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ab/>
            </w:r>
          </w:p>
        </w:tc>
      </w:tr>
      <w:tr>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noWrap/>
            <w:vAlign w:val="center"/>
          </w:tcPr>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98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112"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tblPrEx>
          <w:tblCellMar>
            <w:top w:w="0" w:type="dxa"/>
            <w:left w:w="108" w:type="dxa"/>
            <w:bottom w:w="0" w:type="dxa"/>
            <w:right w:w="108" w:type="dxa"/>
          </w:tblCellMar>
        </w:tblPrEx>
        <w:trPr>
          <w:trHeight w:val="311"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资金拨付及时率</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15"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补贴发放标准达标率</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服务的完成度</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44"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亩均补助标准准确率</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=100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2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restart"/>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确保国家惠民政策落实，促进社会</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资金使用效益</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noWrap/>
          </w:tcPr>
          <w:p>
            <w:pPr>
              <w:rPr>
                <w:rFonts w:ascii="Calibri" w:hAnsi="Calibri" w:cs="Calibri"/>
                <w:color w:val="000000"/>
                <w:sz w:val="22"/>
                <w:szCs w:val="22"/>
              </w:rPr>
            </w:pPr>
            <w:r>
              <w:rPr>
                <w:rFonts w:ascii="Calibri" w:hAnsi="Calibri" w:cs="Calibri"/>
                <w:color w:val="000000"/>
                <w:sz w:val="22"/>
                <w:szCs w:val="22"/>
              </w:rPr>
              <w:t>城乡规划、土地整治规划对土地资</w:t>
            </w:r>
          </w:p>
        </w:tc>
        <w:tc>
          <w:tcPr>
            <w:tcW w:w="850"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851" w:type="dxa"/>
            <w:tcBorders>
              <w:top w:val="nil"/>
              <w:left w:val="nil"/>
              <w:bottom w:val="single" w:color="auto" w:sz="4" w:space="0"/>
              <w:right w:val="single" w:color="auto" w:sz="4" w:space="0"/>
            </w:tcBorders>
            <w:noWrap/>
          </w:tcPr>
          <w:p>
            <w:pPr>
              <w:rPr>
                <w:rFonts w:ascii="Calibri" w:hAnsi="Calibri" w:cs="Calibri"/>
                <w:color w:val="000000"/>
                <w:sz w:val="22"/>
                <w:szCs w:val="22"/>
              </w:rPr>
            </w:pPr>
            <w:r>
              <w:rPr>
                <w:rFonts w:hint="eastAsia" w:ascii="Calibri" w:hAnsi="Calibri" w:cs="Calibri"/>
                <w:color w:val="000000"/>
                <w:sz w:val="22"/>
                <w:szCs w:val="22"/>
              </w:rPr>
              <w:t>≥</w:t>
            </w:r>
            <w:r>
              <w:rPr>
                <w:rFonts w:ascii="Calibri" w:hAnsi="Calibri" w:cs="Calibri"/>
                <w:color w:val="000000"/>
                <w:sz w:val="22"/>
                <w:szCs w:val="22"/>
              </w:rPr>
              <w:t>90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vMerge w:val="continue"/>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588" w:type="dxa"/>
            <w:vMerge w:val="continue"/>
            <w:tcBorders>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c>
          <w:tcPr>
            <w:tcW w:w="980" w:type="dxa"/>
            <w:tcBorders>
              <w:top w:val="nil"/>
              <w:left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112" w:type="dxa"/>
            <w:tcBorders>
              <w:top w:val="nil"/>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受益群众满意度</w:t>
            </w:r>
          </w:p>
        </w:tc>
        <w:tc>
          <w:tcPr>
            <w:tcW w:w="850"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Calibri" w:hAnsi="Calibri" w:cs="Calibri"/>
                <w:color w:val="000000"/>
                <w:sz w:val="22"/>
                <w:szCs w:val="22"/>
              </w:rPr>
              <w:t>≥</w:t>
            </w:r>
            <w:r>
              <w:rPr>
                <w:rFonts w:ascii="Calibri" w:hAnsi="Calibri" w:cs="Calibri"/>
                <w:color w:val="000000"/>
                <w:sz w:val="22"/>
                <w:szCs w:val="22"/>
              </w:rPr>
              <w:t>95</w:t>
            </w:r>
          </w:p>
        </w:tc>
        <w:tc>
          <w:tcPr>
            <w:tcW w:w="851"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Calibri" w:hAnsi="Calibri" w:cs="Calibri"/>
                <w:color w:val="000000"/>
                <w:sz w:val="22"/>
                <w:szCs w:val="22"/>
              </w:rPr>
              <w:t>≥</w:t>
            </w:r>
            <w:r>
              <w:rPr>
                <w:rFonts w:ascii="Calibri" w:hAnsi="Calibri" w:cs="Calibri"/>
                <w:color w:val="000000"/>
                <w:sz w:val="22"/>
                <w:szCs w:val="22"/>
              </w:rPr>
              <w:t>95</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r>
        <w:tblPrEx>
          <w:tblCellMar>
            <w:top w:w="0" w:type="dxa"/>
            <w:left w:w="108" w:type="dxa"/>
            <w:bottom w:w="0" w:type="dxa"/>
            <w:right w:w="108" w:type="dxa"/>
          </w:tblCellMar>
        </w:tblPrEx>
        <w:trPr>
          <w:trHeight w:val="300" w:hRule="exact"/>
          <w:jc w:val="center"/>
        </w:trPr>
        <w:tc>
          <w:tcPr>
            <w:tcW w:w="6529" w:type="dxa"/>
            <w:gridSpan w:val="8"/>
            <w:tcBorders>
              <w:top w:val="single" w:color="auto" w:sz="4" w:space="0"/>
              <w:left w:val="single" w:color="auto" w:sz="4" w:space="0"/>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noWrap/>
            <w:vAlign w:val="center"/>
          </w:tcPr>
          <w:p>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1417" w:type="dxa"/>
            <w:gridSpan w:val="2"/>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cs="宋体"/>
                <w:kern w:val="0"/>
                <w:sz w:val="18"/>
                <w:szCs w:val="18"/>
              </w:rPr>
            </w:pPr>
          </w:p>
        </w:tc>
      </w:tr>
    </w:tbl>
    <w:p>
      <w:pPr>
        <w:numPr>
          <w:ilvl w:val="0"/>
          <w:numId w:val="0"/>
        </w:numPr>
        <w:adjustRightInd w:val="0"/>
        <w:snapToGrid w:val="0"/>
        <w:spacing w:line="580" w:lineRule="exact"/>
        <w:ind w:firstLine="960" w:firstLineChars="300"/>
        <w:rPr>
          <w:rFonts w:hint="default" w:ascii="Times New Roman" w:hAnsi="Times New Roman" w:eastAsia="仿宋_GB2312" w:cs="Times New Roman"/>
          <w:color w:val="auto"/>
          <w:kern w:val="2"/>
          <w:sz w:val="32"/>
          <w:szCs w:val="32"/>
          <w:lang w:val="en-US" w:eastAsia="zh-CN" w:bidi="ar-SA"/>
        </w:rPr>
      </w:pPr>
    </w:p>
    <w:p>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tbl>
      <w:tblPr>
        <w:tblStyle w:val="11"/>
        <w:tblpPr w:leftFromText="180" w:rightFromText="180" w:vertAnchor="text" w:horzAnchor="page" w:tblpX="1637" w:tblpY="573"/>
        <w:tblOverlap w:val="never"/>
        <w:tblW w:w="8804" w:type="dxa"/>
        <w:tblInd w:w="0" w:type="dxa"/>
        <w:tblLayout w:type="fixed"/>
        <w:tblCellMar>
          <w:top w:w="0" w:type="dxa"/>
          <w:left w:w="108" w:type="dxa"/>
          <w:bottom w:w="0" w:type="dxa"/>
          <w:right w:w="108" w:type="dxa"/>
        </w:tblCellMar>
      </w:tblPr>
      <w:tblGrid>
        <w:gridCol w:w="2205"/>
        <w:gridCol w:w="1695"/>
        <w:gridCol w:w="935"/>
        <w:gridCol w:w="1560"/>
        <w:gridCol w:w="1276"/>
        <w:gridCol w:w="1133"/>
      </w:tblGrid>
      <w:tr>
        <w:tblPrEx>
          <w:tblCellMar>
            <w:top w:w="0" w:type="dxa"/>
            <w:left w:w="108" w:type="dxa"/>
            <w:bottom w:w="0" w:type="dxa"/>
            <w:right w:w="108" w:type="dxa"/>
          </w:tblCellMar>
        </w:tblPrEx>
        <w:trPr>
          <w:trHeight w:val="630" w:hRule="atLeast"/>
        </w:trPr>
        <w:tc>
          <w:tcPr>
            <w:tcW w:w="8804" w:type="dxa"/>
            <w:gridSpan w:val="6"/>
            <w:noWrap/>
            <w:vAlign w:val="center"/>
          </w:tcPr>
          <w:p>
            <w:pPr>
              <w:widowControl/>
              <w:spacing w:line="320" w:lineRule="exact"/>
              <w:jc w:val="center"/>
              <w:rPr>
                <w:rFonts w:ascii="宋体" w:hAnsi="宋体"/>
                <w:color w:val="000000"/>
                <w:kern w:val="0"/>
                <w:sz w:val="48"/>
                <w:szCs w:val="48"/>
              </w:rPr>
            </w:pPr>
            <w:r>
              <w:rPr>
                <w:rFonts w:hint="eastAsia" w:ascii="宋体" w:hAnsi="宋体"/>
                <w:b/>
                <w:bCs/>
                <w:kern w:val="0"/>
                <w:szCs w:val="32"/>
              </w:rPr>
              <w:t>项目支出绩效自评核查结果表</w:t>
            </w:r>
          </w:p>
        </w:tc>
      </w:tr>
      <w:tr>
        <w:tblPrEx>
          <w:tblCellMar>
            <w:top w:w="0" w:type="dxa"/>
            <w:left w:w="108" w:type="dxa"/>
            <w:bottom w:w="0" w:type="dxa"/>
            <w:right w:w="108" w:type="dxa"/>
          </w:tblCellMar>
        </w:tblPrEx>
        <w:trPr>
          <w:trHeight w:val="405" w:hRule="atLeast"/>
        </w:trPr>
        <w:tc>
          <w:tcPr>
            <w:tcW w:w="220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项目名称</w:t>
            </w:r>
          </w:p>
        </w:tc>
        <w:tc>
          <w:tcPr>
            <w:tcW w:w="169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自评部门</w:t>
            </w:r>
          </w:p>
        </w:tc>
        <w:tc>
          <w:tcPr>
            <w:tcW w:w="9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自评结果</w:t>
            </w:r>
          </w:p>
        </w:tc>
        <w:tc>
          <w:tcPr>
            <w:tcW w:w="156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科室核查结果</w:t>
            </w:r>
          </w:p>
        </w:tc>
        <w:tc>
          <w:tcPr>
            <w:tcW w:w="127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督促整改情况</w:t>
            </w:r>
          </w:p>
        </w:tc>
        <w:tc>
          <w:tcPr>
            <w:tcW w:w="113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olor w:val="000000"/>
                <w:kern w:val="0"/>
                <w:sz w:val="28"/>
                <w:szCs w:val="28"/>
              </w:rPr>
            </w:pPr>
            <w:r>
              <w:rPr>
                <w:rFonts w:hint="eastAsia" w:ascii="宋体" w:hAnsi="宋体"/>
                <w:color w:val="000000"/>
                <w:kern w:val="0"/>
                <w:sz w:val="28"/>
                <w:szCs w:val="28"/>
              </w:rPr>
              <w:t>未完成原因</w:t>
            </w:r>
          </w:p>
        </w:tc>
      </w:tr>
      <w:tr>
        <w:tblPrEx>
          <w:tblCellMar>
            <w:top w:w="0" w:type="dxa"/>
            <w:left w:w="108" w:type="dxa"/>
            <w:bottom w:w="0" w:type="dxa"/>
            <w:right w:w="108" w:type="dxa"/>
          </w:tblCellMar>
        </w:tblPrEx>
        <w:trPr>
          <w:trHeight w:val="640" w:hRule="atLeast"/>
        </w:trPr>
        <w:tc>
          <w:tcPr>
            <w:tcW w:w="2205" w:type="dxa"/>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color w:val="000000"/>
                <w:kern w:val="0"/>
                <w:sz w:val="24"/>
                <w:szCs w:val="24"/>
                <w:lang w:val="en-US"/>
              </w:rPr>
            </w:pPr>
            <w:r>
              <w:rPr>
                <w:rFonts w:hint="eastAsia" w:ascii="仿宋_GB2312" w:hAnsi="仿宋_GB2312" w:eastAsia="仿宋_GB2312" w:cs="仿宋_GB2312"/>
                <w:sz w:val="28"/>
                <w:szCs w:val="28"/>
                <w:lang w:eastAsia="zh-CN"/>
              </w:rPr>
              <w:t>唐河治理租地款</w:t>
            </w:r>
            <w:r>
              <w:rPr>
                <w:rFonts w:hint="eastAsia" w:ascii="仿宋_GB2312" w:hAnsi="仿宋_GB2312" w:eastAsia="仿宋_GB2312" w:cs="仿宋_GB2312"/>
                <w:sz w:val="28"/>
                <w:szCs w:val="28"/>
                <w:lang w:val="en-US" w:eastAsia="zh-CN"/>
              </w:rPr>
              <w:t>项目</w:t>
            </w:r>
          </w:p>
        </w:tc>
        <w:tc>
          <w:tcPr>
            <w:tcW w:w="1695" w:type="dxa"/>
            <w:tcBorders>
              <w:top w:val="nil"/>
              <w:left w:val="nil"/>
              <w:bottom w:val="single" w:color="auto" w:sz="4" w:space="0"/>
              <w:right w:val="single" w:color="auto" w:sz="4" w:space="0"/>
            </w:tcBorders>
            <w:noWrap/>
            <w:vAlign w:val="center"/>
          </w:tcPr>
          <w:p>
            <w:pPr>
              <w:widowControl/>
              <w:jc w:val="center"/>
              <w:rPr>
                <w:rFonts w:ascii="宋体" w:hAnsi="宋体"/>
                <w:color w:val="000000"/>
                <w:kern w:val="0"/>
                <w:sz w:val="24"/>
                <w:szCs w:val="24"/>
              </w:rPr>
            </w:pPr>
            <w:r>
              <w:rPr>
                <w:rFonts w:hint="eastAsia" w:ascii="宋体" w:hAnsi="宋体"/>
                <w:color w:val="000000"/>
                <w:kern w:val="0"/>
                <w:sz w:val="24"/>
              </w:rPr>
              <w:t>开平镇人民政府</w:t>
            </w:r>
          </w:p>
        </w:tc>
        <w:tc>
          <w:tcPr>
            <w:tcW w:w="935" w:type="dxa"/>
            <w:tcBorders>
              <w:top w:val="nil"/>
              <w:left w:val="nil"/>
              <w:bottom w:val="single" w:color="auto" w:sz="4" w:space="0"/>
              <w:right w:val="single" w:color="auto" w:sz="4" w:space="0"/>
            </w:tcBorders>
            <w:noWrap/>
            <w:vAlign w:val="center"/>
          </w:tcPr>
          <w:p>
            <w:pPr>
              <w:widowControl/>
              <w:jc w:val="center"/>
              <w:rPr>
                <w:rFonts w:ascii="宋体" w:hAnsi="宋体"/>
                <w:color w:val="000000"/>
                <w:kern w:val="0"/>
                <w:sz w:val="24"/>
                <w:szCs w:val="24"/>
              </w:rPr>
            </w:pPr>
            <w:r>
              <w:rPr>
                <w:rFonts w:hint="eastAsia" w:ascii="宋体" w:hAnsi="宋体"/>
                <w:color w:val="000000"/>
                <w:kern w:val="0"/>
                <w:sz w:val="24"/>
              </w:rPr>
              <w:t>优</w:t>
            </w:r>
          </w:p>
        </w:tc>
        <w:tc>
          <w:tcPr>
            <w:tcW w:w="1560"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p>
        </w:tc>
        <w:tc>
          <w:tcPr>
            <w:tcW w:w="1276"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p>
        </w:tc>
      </w:tr>
      <w:tr>
        <w:tblPrEx>
          <w:tblCellMar>
            <w:top w:w="0" w:type="dxa"/>
            <w:left w:w="108" w:type="dxa"/>
            <w:bottom w:w="0" w:type="dxa"/>
            <w:right w:w="108" w:type="dxa"/>
          </w:tblCellMar>
        </w:tblPrEx>
        <w:trPr>
          <w:trHeight w:val="405" w:hRule="atLeast"/>
        </w:trPr>
        <w:tc>
          <w:tcPr>
            <w:tcW w:w="2205"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Times New Roman" w:hAnsi="Times New Roman" w:eastAsia="仿宋_GB2312" w:cs="Times New Roman"/>
                <w:color w:val="auto"/>
                <w:kern w:val="2"/>
                <w:sz w:val="32"/>
                <w:szCs w:val="32"/>
                <w:lang w:val="zh-CN" w:eastAsia="zh-CN" w:bidi="ar-SA"/>
              </w:rPr>
              <w:t>开平镇五、六街租地款</w:t>
            </w:r>
            <w:r>
              <w:rPr>
                <w:rFonts w:hint="default" w:ascii="Times New Roman" w:hAnsi="Times New Roman" w:eastAsia="仿宋_GB2312" w:cs="Times New Roman"/>
                <w:color w:val="auto"/>
                <w:kern w:val="2"/>
                <w:sz w:val="32"/>
                <w:szCs w:val="32"/>
                <w:lang w:val="zh-CN" w:eastAsia="zh-CN" w:bidi="ar-SA"/>
              </w:rPr>
              <w:t>项目</w:t>
            </w:r>
          </w:p>
        </w:tc>
        <w:tc>
          <w:tcPr>
            <w:tcW w:w="1695" w:type="dxa"/>
            <w:tcBorders>
              <w:top w:val="nil"/>
              <w:left w:val="nil"/>
              <w:bottom w:val="single" w:color="auto" w:sz="4" w:space="0"/>
              <w:right w:val="single" w:color="auto" w:sz="4" w:space="0"/>
            </w:tcBorders>
            <w:noWrap/>
            <w:vAlign w:val="bottom"/>
          </w:tcPr>
          <w:p>
            <w:pPr>
              <w:widowControl/>
              <w:jc w:val="center"/>
              <w:rPr>
                <w:rFonts w:ascii="宋体" w:hAnsi="宋体"/>
                <w:color w:val="000000"/>
                <w:kern w:val="0"/>
                <w:sz w:val="28"/>
                <w:szCs w:val="28"/>
              </w:rPr>
            </w:pPr>
            <w:r>
              <w:rPr>
                <w:rFonts w:hint="eastAsia" w:ascii="宋体" w:hAnsi="宋体"/>
                <w:color w:val="000000"/>
                <w:kern w:val="0"/>
                <w:sz w:val="24"/>
              </w:rPr>
              <w:t>开平镇人民政府</w:t>
            </w:r>
          </w:p>
        </w:tc>
        <w:tc>
          <w:tcPr>
            <w:tcW w:w="935" w:type="dxa"/>
            <w:tcBorders>
              <w:top w:val="nil"/>
              <w:left w:val="nil"/>
              <w:bottom w:val="single" w:color="auto" w:sz="4" w:space="0"/>
              <w:right w:val="single" w:color="auto" w:sz="4" w:space="0"/>
            </w:tcBorders>
            <w:noWrap/>
            <w:vAlign w:val="bottom"/>
          </w:tcPr>
          <w:p>
            <w:pPr>
              <w:widowControl/>
              <w:jc w:val="center"/>
              <w:rPr>
                <w:rFonts w:ascii="宋体" w:hAnsi="宋体"/>
                <w:color w:val="000000"/>
                <w:kern w:val="0"/>
                <w:sz w:val="28"/>
                <w:szCs w:val="28"/>
              </w:rPr>
            </w:pPr>
            <w:r>
              <w:rPr>
                <w:rFonts w:hint="eastAsia" w:ascii="宋体" w:hAnsi="宋体"/>
                <w:color w:val="000000"/>
                <w:kern w:val="0"/>
                <w:sz w:val="24"/>
              </w:rPr>
              <w:t>优</w:t>
            </w:r>
          </w:p>
        </w:tc>
        <w:tc>
          <w:tcPr>
            <w:tcW w:w="1560"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c>
          <w:tcPr>
            <w:tcW w:w="1276"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r>
      <w:tr>
        <w:tblPrEx>
          <w:tblCellMar>
            <w:top w:w="0" w:type="dxa"/>
            <w:left w:w="108" w:type="dxa"/>
            <w:bottom w:w="0" w:type="dxa"/>
            <w:right w:w="108" w:type="dxa"/>
          </w:tblCellMar>
        </w:tblPrEx>
        <w:trPr>
          <w:trHeight w:val="405" w:hRule="atLeast"/>
        </w:trPr>
        <w:tc>
          <w:tcPr>
            <w:tcW w:w="2205"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olor w:val="000000"/>
                <w:kern w:val="0"/>
                <w:sz w:val="28"/>
                <w:szCs w:val="28"/>
              </w:rPr>
            </w:pPr>
          </w:p>
        </w:tc>
        <w:tc>
          <w:tcPr>
            <w:tcW w:w="1695" w:type="dxa"/>
            <w:tcBorders>
              <w:top w:val="nil"/>
              <w:left w:val="nil"/>
              <w:bottom w:val="single" w:color="auto" w:sz="4" w:space="0"/>
              <w:right w:val="single" w:color="auto" w:sz="4" w:space="0"/>
            </w:tcBorders>
            <w:noWrap/>
            <w:vAlign w:val="bottom"/>
          </w:tcPr>
          <w:p>
            <w:pPr>
              <w:widowControl/>
              <w:jc w:val="center"/>
              <w:rPr>
                <w:rFonts w:ascii="宋体" w:hAnsi="宋体"/>
                <w:color w:val="000000"/>
                <w:kern w:val="0"/>
                <w:sz w:val="28"/>
                <w:szCs w:val="28"/>
              </w:rPr>
            </w:pPr>
          </w:p>
        </w:tc>
        <w:tc>
          <w:tcPr>
            <w:tcW w:w="935" w:type="dxa"/>
            <w:tcBorders>
              <w:top w:val="nil"/>
              <w:left w:val="nil"/>
              <w:bottom w:val="single" w:color="auto" w:sz="4" w:space="0"/>
              <w:right w:val="single" w:color="auto" w:sz="4" w:space="0"/>
            </w:tcBorders>
            <w:noWrap/>
            <w:vAlign w:val="bottom"/>
          </w:tcPr>
          <w:p>
            <w:pPr>
              <w:widowControl/>
              <w:jc w:val="center"/>
              <w:rPr>
                <w:rFonts w:ascii="宋体" w:hAnsi="宋体"/>
                <w:color w:val="000000"/>
                <w:kern w:val="0"/>
                <w:sz w:val="28"/>
                <w:szCs w:val="28"/>
              </w:rPr>
            </w:pPr>
          </w:p>
        </w:tc>
        <w:tc>
          <w:tcPr>
            <w:tcW w:w="1560"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c>
          <w:tcPr>
            <w:tcW w:w="1276"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c>
          <w:tcPr>
            <w:tcW w:w="1133" w:type="dxa"/>
            <w:tcBorders>
              <w:top w:val="nil"/>
              <w:left w:val="nil"/>
              <w:bottom w:val="single" w:color="auto" w:sz="4" w:space="0"/>
              <w:right w:val="single" w:color="auto" w:sz="4" w:space="0"/>
            </w:tcBorders>
            <w:noWrap/>
            <w:vAlign w:val="bottom"/>
          </w:tcPr>
          <w:p>
            <w:pPr>
              <w:widowControl/>
              <w:jc w:val="left"/>
              <w:rPr>
                <w:rFonts w:ascii="宋体" w:hAnsi="宋体"/>
                <w:color w:val="000000"/>
                <w:kern w:val="0"/>
                <w:sz w:val="28"/>
                <w:szCs w:val="28"/>
              </w:rPr>
            </w:pPr>
            <w:r>
              <w:rPr>
                <w:rFonts w:hint="eastAsia" w:ascii="宋体" w:hAnsi="宋体"/>
                <w:color w:val="000000"/>
                <w:kern w:val="0"/>
                <w:sz w:val="28"/>
                <w:szCs w:val="28"/>
              </w:rPr>
              <w:t>　</w:t>
            </w:r>
          </w:p>
        </w:tc>
      </w:tr>
    </w:tbl>
    <w:p>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1. 本部门202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年度未发生国有资金经营预算收支及结转结余情况，</w:t>
      </w:r>
      <w:r>
        <w:rPr>
          <w:rFonts w:hint="eastAsia" w:ascii="仿宋_GB2312" w:hAnsi="Times New Roman" w:eastAsia="仿宋_GB2312" w:cs="DengXian-Regular"/>
          <w:sz w:val="32"/>
          <w:szCs w:val="32"/>
        </w:rPr>
        <w:t>故国有资本经营预算财政拨款支出决算表以空表列示。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FCD5ED-07F5-4EF8-8AE8-55C1B9D97A2A}"/>
  </w:font>
  <w:font w:name="Arial">
    <w:panose1 w:val="020B0604020202020204"/>
    <w:charset w:val="01"/>
    <w:family w:val="swiss"/>
    <w:pitch w:val="default"/>
    <w:sig w:usb0="E0002EFF" w:usb1="C000785B" w:usb2="00000009" w:usb3="00000000" w:csb0="400001FF" w:csb1="FFFF0000"/>
    <w:embedRegular r:id="rId2" w:fontKey="{02F9CBF5-B6B9-4780-BFD3-95A780965EDD}"/>
  </w:font>
  <w:font w:name="黑体">
    <w:panose1 w:val="02010609060101010101"/>
    <w:charset w:val="86"/>
    <w:family w:val="auto"/>
    <w:pitch w:val="default"/>
    <w:sig w:usb0="800002BF" w:usb1="38CF7CFA" w:usb2="00000016" w:usb3="00000000" w:csb0="00040001" w:csb1="00000000"/>
    <w:embedRegular r:id="rId3" w:fontKey="{B5882A5A-BD48-4B05-81FD-A83535C824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9D7CA3F-4A7C-4657-B3CC-7BA91CA73418}"/>
  </w:font>
  <w:font w:name="仿宋">
    <w:panose1 w:val="02010609060101010101"/>
    <w:charset w:val="86"/>
    <w:family w:val="modern"/>
    <w:pitch w:val="default"/>
    <w:sig w:usb0="800002BF" w:usb1="38CF7CFA" w:usb2="00000016" w:usb3="00000000" w:csb0="00040001" w:csb1="00000000"/>
    <w:embedRegular r:id="rId5" w:fontKey="{CECF24E6-17BC-4406-97DB-183553878717}"/>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27312D04-5B4C-42BE-8693-261FC0CF4826}"/>
  </w:font>
  <w:font w:name="微软雅黑">
    <w:panose1 w:val="020B0503020204020204"/>
    <w:charset w:val="86"/>
    <w:family w:val="auto"/>
    <w:pitch w:val="default"/>
    <w:sig w:usb0="80000287" w:usb1="2ACF3C50"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7" w:fontKey="{704E7AE5-8115-4EBC-87E0-2527D8F5D9A3}"/>
  </w:font>
  <w:font w:name="楷体_GB2312">
    <w:panose1 w:val="02010609030101010101"/>
    <w:charset w:val="86"/>
    <w:family w:val="auto"/>
    <w:pitch w:val="default"/>
    <w:sig w:usb0="00000001" w:usb1="080E0000" w:usb2="00000000" w:usb3="00000000" w:csb0="00040000" w:csb1="00000000"/>
    <w:embedRegular r:id="rId8" w:fontKey="{EAAFCCFC-39B0-4435-875A-39AC2762026B}"/>
  </w:font>
  <w:font w:name="仿宋_GB2312">
    <w:panose1 w:val="02010609030101010101"/>
    <w:charset w:val="86"/>
    <w:family w:val="auto"/>
    <w:pitch w:val="default"/>
    <w:sig w:usb0="00000001" w:usb1="080E0000" w:usb2="00000000" w:usb3="00000000" w:csb0="00040000" w:csb1="00000000"/>
    <w:embedRegular r:id="rId9" w:fontKey="{8805CBEE-A25B-4FC8-A1DA-51B3624EB630}"/>
  </w:font>
  <w:font w:name="Arial Black">
    <w:panose1 w:val="020B0A04020102020204"/>
    <w:charset w:val="00"/>
    <w:family w:val="swiss"/>
    <w:pitch w:val="default"/>
    <w:sig w:usb0="A00002AF" w:usb1="400078FB" w:usb2="00000000" w:usb3="00000000" w:csb0="6000009F" w:csb1="DFD70000"/>
    <w:embedRegular r:id="rId10" w:fontKey="{63889366-2668-4E9C-B0C0-8330F32B9735}"/>
  </w:font>
  <w:font w:name="方正小标宋_GBK">
    <w:altName w:val="微软雅黑"/>
    <w:panose1 w:val="00000000000000000000"/>
    <w:charset w:val="86"/>
    <w:family w:val="script"/>
    <w:pitch w:val="default"/>
    <w:sig w:usb0="00000000" w:usb1="00000000" w:usb2="00000010" w:usb3="00000000" w:csb0="00040000" w:csb1="00000000"/>
    <w:embedRegular r:id="rId11" w:fontKey="{537D7F35-7D69-4AA1-95ED-91781687C218}"/>
  </w:font>
  <w:font w:name="方正书宋_GBK">
    <w:altName w:val="微软雅黑"/>
    <w:panose1 w:val="00000000000000000000"/>
    <w:charset w:val="86"/>
    <w:family w:val="script"/>
    <w:pitch w:val="default"/>
    <w:sig w:usb0="00000000" w:usb1="00000000" w:usb2="00000010" w:usb3="00000000" w:csb0="00040000" w:csb1="00000000"/>
    <w:embedRegular r:id="rId12" w:fontKey="{72B3E1D7-EF46-45B6-A126-9E56DADC6675}"/>
  </w:font>
  <w:font w:name="方正仿宋_GB2312">
    <w:panose1 w:val="02000000000000000000"/>
    <w:charset w:val="86"/>
    <w:family w:val="auto"/>
    <w:pitch w:val="default"/>
    <w:sig w:usb0="A00002BF" w:usb1="184F6CFA" w:usb2="00000012" w:usb3="00000000" w:csb0="00040001" w:csb1="00000000"/>
    <w:embedRegular r:id="rId13" w:fontKey="{F7C2409D-61A8-4C3B-8067-77AC1EF8973C}"/>
  </w:font>
  <w:font w:name="DengXian-Regular">
    <w:altName w:val="宋体"/>
    <w:panose1 w:val="00000000000000000000"/>
    <w:charset w:val="86"/>
    <w:family w:val="auto"/>
    <w:pitch w:val="default"/>
    <w:sig w:usb0="00000000" w:usb1="00000000" w:usb2="00000010" w:usb3="00000000" w:csb0="00040001" w:csb1="00000000"/>
    <w:embedRegular r:id="rId14" w:fontKey="{A80ABCFC-D9B0-4969-86B1-64FCACC20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DC7A43"/>
    <w:multiLevelType w:val="singleLevel"/>
    <w:tmpl w:val="D0DC7A43"/>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F222FFA"/>
    <w:multiLevelType w:val="singleLevel"/>
    <w:tmpl w:val="5F222FFA"/>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AsImhkaWQiOiI3Nzg5MjczZmQ2ODU3ZjNiNmZmYTI2YTBmZDdmYjYwYyIsInVzZXJDb3VudCI6MX0="/>
  </w:docVars>
  <w:rsids>
    <w:rsidRoot w:val="00000000"/>
    <w:rsid w:val="00086151"/>
    <w:rsid w:val="00236F8C"/>
    <w:rsid w:val="00822154"/>
    <w:rsid w:val="00C65689"/>
    <w:rsid w:val="00CC2C8E"/>
    <w:rsid w:val="00E500A3"/>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8BD1A2A"/>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5D6D73"/>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9607D6"/>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5C5ED6"/>
    <w:rsid w:val="346A2989"/>
    <w:rsid w:val="348865E9"/>
    <w:rsid w:val="348F70D5"/>
    <w:rsid w:val="349D2BAD"/>
    <w:rsid w:val="34B25886"/>
    <w:rsid w:val="34C334FC"/>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66D24"/>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A5EBB"/>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45FD5"/>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1448E1"/>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10928</Words>
  <Characters>13464</Characters>
  <Lines>86</Lines>
  <Paragraphs>24</Paragraphs>
  <TotalTime>6</TotalTime>
  <ScaleCrop>false</ScaleCrop>
  <LinksUpToDate>false</LinksUpToDate>
  <CharactersWithSpaces>14104</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2025-09-10T07:46:01Z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701A3F93A40745E1B3A32111842CA120_13</vt:lpwstr>
  </property>
  <property fmtid="{D5CDD505-2E9C-101B-9397-08002B2CF9AE}" pid="4" name="KSOTemplateUUID">
    <vt:lpwstr>v1.0_mb_S7ajbG3IpAnL1wSthNCxfw==</vt:lpwstr>
  </property>
</Properties>
</file>