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一、唐山市开平区双桥镇人民政府本级收支预算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一、唐山市开平区双桥镇人民政府本级收支预算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973.97</w:t>
            </w:r>
          </w:p>
        </w:tc>
        <w:tc>
          <w:tcPr>
            <w:tcW w:w="4535" w:type="dxa"/>
            <w:vAlign w:val="center"/>
          </w:tcPr>
          <w:p>
            <w:pPr>
              <w:pStyle w:val="12"/>
            </w:pPr>
            <w:r>
              <w:t>一、一般公共服务支出</w:t>
            </w:r>
          </w:p>
        </w:tc>
        <w:tc>
          <w:tcPr>
            <w:tcW w:w="2126" w:type="dxa"/>
            <w:vAlign w:val="center"/>
          </w:tcPr>
          <w:p>
            <w:pPr>
              <w:pStyle w:val="11"/>
            </w:pPr>
            <w:r>
              <w:t>805.79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637.99</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1611.96</w:t>
            </w:r>
          </w:p>
        </w:tc>
        <w:tc>
          <w:tcPr>
            <w:tcW w:w="4535" w:type="dxa"/>
            <w:vAlign w:val="center"/>
          </w:tcPr>
          <w:p>
            <w:pPr>
              <w:pStyle w:val="14"/>
            </w:pPr>
            <w:r>
              <w:t>本年支出合计</w:t>
            </w:r>
          </w:p>
        </w:tc>
        <w:tc>
          <w:tcPr>
            <w:tcW w:w="2126" w:type="dxa"/>
            <w:vAlign w:val="center"/>
          </w:tcPr>
          <w:p>
            <w:pPr>
              <w:pStyle w:val="15"/>
            </w:pPr>
            <w:r>
              <w:t>1611.96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1611.96</w:t>
            </w:r>
          </w:p>
        </w:tc>
        <w:tc>
          <w:tcPr>
            <w:tcW w:w="4535" w:type="dxa"/>
            <w:vAlign w:val="center"/>
          </w:tcPr>
          <w:p>
            <w:pPr>
              <w:pStyle w:val="14"/>
            </w:pPr>
            <w:r>
              <w:t>支出总计</w:t>
            </w:r>
          </w:p>
        </w:tc>
        <w:tc>
          <w:tcPr>
            <w:tcW w:w="2126" w:type="dxa"/>
            <w:vAlign w:val="center"/>
          </w:tcPr>
          <w:p>
            <w:pPr>
              <w:pStyle w:val="15"/>
            </w:pPr>
            <w:r>
              <w:t>1611.96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1611.96</w:t>
            </w:r>
          </w:p>
        </w:tc>
        <w:tc>
          <w:tcPr>
            <w:tcW w:w="1134" w:type="dxa"/>
            <w:vAlign w:val="center"/>
          </w:tcPr>
          <w:p>
            <w:pPr>
              <w:pStyle w:val="15"/>
            </w:pPr>
            <w:r>
              <w:t>1611.96</w:t>
            </w:r>
          </w:p>
        </w:tc>
        <w:tc>
          <w:tcPr>
            <w:tcW w:w="1134" w:type="dxa"/>
            <w:vAlign w:val="center"/>
          </w:tcPr>
          <w:p>
            <w:pPr>
              <w:pStyle w:val="15"/>
            </w:pPr>
            <w:r>
              <w:t>1611.96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805.79</w:t>
            </w:r>
          </w:p>
        </w:tc>
        <w:tc>
          <w:tcPr>
            <w:tcW w:w="1134" w:type="dxa"/>
            <w:vAlign w:val="center"/>
          </w:tcPr>
          <w:p>
            <w:pPr>
              <w:pStyle w:val="11"/>
            </w:pPr>
            <w:r>
              <w:t>805.79</w:t>
            </w:r>
          </w:p>
        </w:tc>
        <w:tc>
          <w:tcPr>
            <w:tcW w:w="1134" w:type="dxa"/>
            <w:vAlign w:val="center"/>
          </w:tcPr>
          <w:p>
            <w:pPr>
              <w:pStyle w:val="11"/>
            </w:pPr>
            <w:r>
              <w:t>805.79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805.79</w:t>
            </w:r>
          </w:p>
        </w:tc>
        <w:tc>
          <w:tcPr>
            <w:tcW w:w="1134" w:type="dxa"/>
            <w:vAlign w:val="center"/>
          </w:tcPr>
          <w:p>
            <w:pPr>
              <w:pStyle w:val="11"/>
            </w:pPr>
            <w:r>
              <w:t>805.79</w:t>
            </w:r>
          </w:p>
        </w:tc>
        <w:tc>
          <w:tcPr>
            <w:tcW w:w="1134" w:type="dxa"/>
            <w:vAlign w:val="center"/>
          </w:tcPr>
          <w:p>
            <w:pPr>
              <w:pStyle w:val="11"/>
            </w:pPr>
            <w:r>
              <w:t>805.79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793.79</w:t>
            </w:r>
          </w:p>
        </w:tc>
        <w:tc>
          <w:tcPr>
            <w:tcW w:w="1134" w:type="dxa"/>
            <w:vAlign w:val="center"/>
          </w:tcPr>
          <w:p>
            <w:pPr>
              <w:pStyle w:val="11"/>
            </w:pPr>
            <w:r>
              <w:t>793.79</w:t>
            </w:r>
          </w:p>
        </w:tc>
        <w:tc>
          <w:tcPr>
            <w:tcW w:w="1134" w:type="dxa"/>
            <w:vAlign w:val="center"/>
          </w:tcPr>
          <w:p>
            <w:pPr>
              <w:pStyle w:val="11"/>
            </w:pPr>
            <w:r>
              <w:t>793.79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31.73</w:t>
            </w:r>
          </w:p>
        </w:tc>
        <w:tc>
          <w:tcPr>
            <w:tcW w:w="1134" w:type="dxa"/>
            <w:vAlign w:val="center"/>
          </w:tcPr>
          <w:p>
            <w:pPr>
              <w:pStyle w:val="11"/>
            </w:pPr>
            <w:r>
              <w:t>31.73</w:t>
            </w:r>
          </w:p>
        </w:tc>
        <w:tc>
          <w:tcPr>
            <w:tcW w:w="1134" w:type="dxa"/>
            <w:vAlign w:val="center"/>
          </w:tcPr>
          <w:p>
            <w:pPr>
              <w:pStyle w:val="11"/>
            </w:pPr>
            <w:r>
              <w:t>31.73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31.73</w:t>
            </w:r>
          </w:p>
        </w:tc>
        <w:tc>
          <w:tcPr>
            <w:tcW w:w="1134" w:type="dxa"/>
            <w:vAlign w:val="center"/>
          </w:tcPr>
          <w:p>
            <w:pPr>
              <w:pStyle w:val="11"/>
            </w:pPr>
            <w:r>
              <w:t>31.73</w:t>
            </w:r>
          </w:p>
        </w:tc>
        <w:tc>
          <w:tcPr>
            <w:tcW w:w="1134" w:type="dxa"/>
            <w:vAlign w:val="center"/>
          </w:tcPr>
          <w:p>
            <w:pPr>
              <w:pStyle w:val="11"/>
            </w:pPr>
            <w:r>
              <w:t>31.73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31.73</w:t>
            </w:r>
          </w:p>
        </w:tc>
        <w:tc>
          <w:tcPr>
            <w:tcW w:w="1134" w:type="dxa"/>
            <w:vAlign w:val="center"/>
          </w:tcPr>
          <w:p>
            <w:pPr>
              <w:pStyle w:val="11"/>
            </w:pPr>
            <w:r>
              <w:t>31.73</w:t>
            </w:r>
          </w:p>
        </w:tc>
        <w:tc>
          <w:tcPr>
            <w:tcW w:w="1134" w:type="dxa"/>
            <w:vAlign w:val="center"/>
          </w:tcPr>
          <w:p>
            <w:pPr>
              <w:pStyle w:val="11"/>
            </w:pPr>
            <w:r>
              <w:t>31.73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82.08</w:t>
            </w:r>
          </w:p>
        </w:tc>
        <w:tc>
          <w:tcPr>
            <w:tcW w:w="1134" w:type="dxa"/>
            <w:vAlign w:val="center"/>
          </w:tcPr>
          <w:p>
            <w:pPr>
              <w:pStyle w:val="11"/>
            </w:pPr>
            <w:r>
              <w:t>82.08</w:t>
            </w:r>
          </w:p>
        </w:tc>
        <w:tc>
          <w:tcPr>
            <w:tcW w:w="1134" w:type="dxa"/>
            <w:vAlign w:val="center"/>
          </w:tcPr>
          <w:p>
            <w:pPr>
              <w:pStyle w:val="11"/>
            </w:pPr>
            <w:r>
              <w:t>82.08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81.18</w:t>
            </w:r>
          </w:p>
        </w:tc>
        <w:tc>
          <w:tcPr>
            <w:tcW w:w="1134" w:type="dxa"/>
            <w:vAlign w:val="center"/>
          </w:tcPr>
          <w:p>
            <w:pPr>
              <w:pStyle w:val="11"/>
            </w:pPr>
            <w:r>
              <w:t>81.18</w:t>
            </w:r>
          </w:p>
        </w:tc>
        <w:tc>
          <w:tcPr>
            <w:tcW w:w="1134" w:type="dxa"/>
            <w:vAlign w:val="center"/>
          </w:tcPr>
          <w:p>
            <w:pPr>
              <w:pStyle w:val="11"/>
            </w:pPr>
            <w:r>
              <w:t>81.18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81.18</w:t>
            </w:r>
          </w:p>
        </w:tc>
        <w:tc>
          <w:tcPr>
            <w:tcW w:w="1134" w:type="dxa"/>
            <w:vAlign w:val="center"/>
          </w:tcPr>
          <w:p>
            <w:pPr>
              <w:pStyle w:val="11"/>
            </w:pPr>
            <w:r>
              <w:t>81.18</w:t>
            </w:r>
          </w:p>
        </w:tc>
        <w:tc>
          <w:tcPr>
            <w:tcW w:w="1134" w:type="dxa"/>
            <w:vAlign w:val="center"/>
          </w:tcPr>
          <w:p>
            <w:pPr>
              <w:pStyle w:val="11"/>
            </w:pPr>
            <w:r>
              <w:t>81.18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637.99</w:t>
            </w:r>
          </w:p>
        </w:tc>
        <w:tc>
          <w:tcPr>
            <w:tcW w:w="1134" w:type="dxa"/>
            <w:vAlign w:val="center"/>
          </w:tcPr>
          <w:p>
            <w:pPr>
              <w:pStyle w:val="11"/>
            </w:pPr>
            <w:r>
              <w:t>637.99</w:t>
            </w:r>
          </w:p>
        </w:tc>
        <w:tc>
          <w:tcPr>
            <w:tcW w:w="1134" w:type="dxa"/>
            <w:vAlign w:val="center"/>
          </w:tcPr>
          <w:p>
            <w:pPr>
              <w:pStyle w:val="11"/>
            </w:pPr>
            <w:r>
              <w:t>637.99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560.00</w:t>
            </w:r>
          </w:p>
        </w:tc>
        <w:tc>
          <w:tcPr>
            <w:tcW w:w="1134" w:type="dxa"/>
            <w:vAlign w:val="center"/>
          </w:tcPr>
          <w:p>
            <w:pPr>
              <w:pStyle w:val="11"/>
            </w:pPr>
            <w:r>
              <w:t>560.00</w:t>
            </w:r>
          </w:p>
        </w:tc>
        <w:tc>
          <w:tcPr>
            <w:tcW w:w="1134" w:type="dxa"/>
            <w:vAlign w:val="center"/>
          </w:tcPr>
          <w:p>
            <w:pPr>
              <w:pStyle w:val="11"/>
            </w:pPr>
            <w:r>
              <w:t>560.00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560.00</w:t>
            </w:r>
          </w:p>
        </w:tc>
        <w:tc>
          <w:tcPr>
            <w:tcW w:w="1134" w:type="dxa"/>
            <w:vAlign w:val="center"/>
          </w:tcPr>
          <w:p>
            <w:pPr>
              <w:pStyle w:val="11"/>
            </w:pPr>
            <w:r>
              <w:t>560.00</w:t>
            </w:r>
          </w:p>
        </w:tc>
        <w:tc>
          <w:tcPr>
            <w:tcW w:w="1134" w:type="dxa"/>
            <w:vAlign w:val="center"/>
          </w:tcPr>
          <w:p>
            <w:pPr>
              <w:pStyle w:val="11"/>
            </w:pPr>
            <w:r>
              <w:t>560.00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21210</w:t>
            </w:r>
          </w:p>
        </w:tc>
        <w:tc>
          <w:tcPr>
            <w:tcW w:w="1559" w:type="dxa"/>
            <w:vAlign w:val="center"/>
          </w:tcPr>
          <w:p>
            <w:pPr>
              <w:pStyle w:val="12"/>
            </w:pPr>
            <w:r>
              <w:t>国有土地收益基金安排的支出</w:t>
            </w:r>
          </w:p>
        </w:tc>
        <w:tc>
          <w:tcPr>
            <w:tcW w:w="1134" w:type="dxa"/>
            <w:vAlign w:val="center"/>
          </w:tcPr>
          <w:p>
            <w:pPr>
              <w:pStyle w:val="11"/>
            </w:pPr>
            <w:r>
              <w:t>77.99</w:t>
            </w:r>
          </w:p>
        </w:tc>
        <w:tc>
          <w:tcPr>
            <w:tcW w:w="1134" w:type="dxa"/>
            <w:vAlign w:val="center"/>
          </w:tcPr>
          <w:p>
            <w:pPr>
              <w:pStyle w:val="11"/>
            </w:pPr>
            <w:r>
              <w:t>77.99</w:t>
            </w:r>
          </w:p>
        </w:tc>
        <w:tc>
          <w:tcPr>
            <w:tcW w:w="1134" w:type="dxa"/>
            <w:vAlign w:val="center"/>
          </w:tcPr>
          <w:p>
            <w:pPr>
              <w:pStyle w:val="11"/>
            </w:pPr>
            <w:r>
              <w:t>77.99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2121001</w:t>
            </w:r>
          </w:p>
        </w:tc>
        <w:tc>
          <w:tcPr>
            <w:tcW w:w="1559" w:type="dxa"/>
            <w:vAlign w:val="center"/>
          </w:tcPr>
          <w:p>
            <w:pPr>
              <w:pStyle w:val="12"/>
            </w:pPr>
            <w:r>
              <w:t>征地和拆迁补偿支出</w:t>
            </w:r>
          </w:p>
        </w:tc>
        <w:tc>
          <w:tcPr>
            <w:tcW w:w="1134" w:type="dxa"/>
            <w:vAlign w:val="center"/>
          </w:tcPr>
          <w:p>
            <w:pPr>
              <w:pStyle w:val="11"/>
            </w:pPr>
            <w:r>
              <w:t>77.99</w:t>
            </w:r>
          </w:p>
        </w:tc>
        <w:tc>
          <w:tcPr>
            <w:tcW w:w="1134" w:type="dxa"/>
            <w:vAlign w:val="center"/>
          </w:tcPr>
          <w:p>
            <w:pPr>
              <w:pStyle w:val="11"/>
            </w:pPr>
            <w:r>
              <w:t>77.99</w:t>
            </w:r>
          </w:p>
        </w:tc>
        <w:tc>
          <w:tcPr>
            <w:tcW w:w="1134" w:type="dxa"/>
            <w:vAlign w:val="center"/>
          </w:tcPr>
          <w:p>
            <w:pPr>
              <w:pStyle w:val="11"/>
            </w:pPr>
            <w:r>
              <w:t>77.99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1611.96</w:t>
            </w:r>
          </w:p>
        </w:tc>
        <w:tc>
          <w:tcPr>
            <w:tcW w:w="1361" w:type="dxa"/>
            <w:vAlign w:val="center"/>
          </w:tcPr>
          <w:p>
            <w:pPr>
              <w:pStyle w:val="15"/>
            </w:pPr>
            <w:r>
              <w:t>956.87</w:t>
            </w:r>
          </w:p>
        </w:tc>
        <w:tc>
          <w:tcPr>
            <w:tcW w:w="1361" w:type="dxa"/>
            <w:vAlign w:val="center"/>
          </w:tcPr>
          <w:p>
            <w:pPr>
              <w:pStyle w:val="15"/>
            </w:pPr>
            <w:r>
              <w:t>655.09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p>
        </w:tc>
        <w:tc>
          <w:tcPr>
            <w:tcW w:w="4535" w:type="dxa"/>
            <w:vAlign w:val="center"/>
          </w:tcPr>
          <w:p>
            <w:pPr>
              <w:pStyle w:val="12"/>
            </w:pPr>
            <w:r>
              <w:t>合计</w:t>
            </w:r>
          </w:p>
        </w:tc>
        <w:tc>
          <w:tcPr>
            <w:tcW w:w="1361" w:type="dxa"/>
            <w:vAlign w:val="center"/>
          </w:tcPr>
          <w:p>
            <w:pPr>
              <w:pStyle w:val="11"/>
            </w:pPr>
            <w:r>
              <w:t>1611.96</w:t>
            </w:r>
          </w:p>
        </w:tc>
        <w:tc>
          <w:tcPr>
            <w:tcW w:w="1361" w:type="dxa"/>
            <w:vAlign w:val="center"/>
          </w:tcPr>
          <w:p>
            <w:pPr>
              <w:pStyle w:val="11"/>
            </w:pPr>
            <w:r>
              <w:t>956.87</w:t>
            </w:r>
          </w:p>
        </w:tc>
        <w:tc>
          <w:tcPr>
            <w:tcW w:w="1361" w:type="dxa"/>
            <w:vAlign w:val="center"/>
          </w:tcPr>
          <w:p>
            <w:pPr>
              <w:pStyle w:val="11"/>
            </w:pPr>
            <w:r>
              <w:t>655.09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805.79</w:t>
            </w:r>
          </w:p>
        </w:tc>
        <w:tc>
          <w:tcPr>
            <w:tcW w:w="1361" w:type="dxa"/>
            <w:vAlign w:val="center"/>
          </w:tcPr>
          <w:p>
            <w:pPr>
              <w:pStyle w:val="11"/>
            </w:pPr>
            <w:r>
              <w:t>789.59</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805.79</w:t>
            </w:r>
          </w:p>
        </w:tc>
        <w:tc>
          <w:tcPr>
            <w:tcW w:w="1361" w:type="dxa"/>
            <w:vAlign w:val="center"/>
          </w:tcPr>
          <w:p>
            <w:pPr>
              <w:pStyle w:val="11"/>
            </w:pPr>
            <w:r>
              <w:t>789.59</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805.79</w:t>
            </w:r>
          </w:p>
        </w:tc>
        <w:tc>
          <w:tcPr>
            <w:tcW w:w="1361" w:type="dxa"/>
            <w:vAlign w:val="center"/>
          </w:tcPr>
          <w:p>
            <w:pPr>
              <w:pStyle w:val="11"/>
            </w:pPr>
            <w:r>
              <w:t>789.59</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805.79</w:t>
            </w:r>
          </w:p>
        </w:tc>
        <w:tc>
          <w:tcPr>
            <w:tcW w:w="1361" w:type="dxa"/>
            <w:vAlign w:val="center"/>
          </w:tcPr>
          <w:p>
            <w:pPr>
              <w:pStyle w:val="11"/>
            </w:pPr>
            <w:r>
              <w:t>789.59</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793.79</w:t>
            </w:r>
          </w:p>
        </w:tc>
        <w:tc>
          <w:tcPr>
            <w:tcW w:w="1361" w:type="dxa"/>
            <w:vAlign w:val="center"/>
          </w:tcPr>
          <w:p>
            <w:pPr>
              <w:pStyle w:val="11"/>
            </w:pPr>
            <w:r>
              <w:t>789.59</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793.79</w:t>
            </w:r>
          </w:p>
        </w:tc>
        <w:tc>
          <w:tcPr>
            <w:tcW w:w="1361" w:type="dxa"/>
            <w:vAlign w:val="center"/>
          </w:tcPr>
          <w:p>
            <w:pPr>
              <w:pStyle w:val="11"/>
            </w:pPr>
            <w:r>
              <w:t>789.59</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31.73</w:t>
            </w:r>
          </w:p>
        </w:tc>
        <w:tc>
          <w:tcPr>
            <w:tcW w:w="1361" w:type="dxa"/>
            <w:vAlign w:val="center"/>
          </w:tcPr>
          <w:p>
            <w:pPr>
              <w:pStyle w:val="11"/>
            </w:pPr>
            <w:r>
              <w:t>31.73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31.73</w:t>
            </w:r>
          </w:p>
        </w:tc>
        <w:tc>
          <w:tcPr>
            <w:tcW w:w="1361" w:type="dxa"/>
            <w:vAlign w:val="center"/>
          </w:tcPr>
          <w:p>
            <w:pPr>
              <w:pStyle w:val="11"/>
            </w:pPr>
            <w:r>
              <w:t>31.73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31.73</w:t>
            </w:r>
          </w:p>
        </w:tc>
        <w:tc>
          <w:tcPr>
            <w:tcW w:w="1361" w:type="dxa"/>
            <w:vAlign w:val="center"/>
          </w:tcPr>
          <w:p>
            <w:pPr>
              <w:pStyle w:val="11"/>
            </w:pPr>
            <w:r>
              <w:t>31.73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31.73</w:t>
            </w:r>
          </w:p>
        </w:tc>
        <w:tc>
          <w:tcPr>
            <w:tcW w:w="1361" w:type="dxa"/>
            <w:vAlign w:val="center"/>
          </w:tcPr>
          <w:p>
            <w:pPr>
              <w:pStyle w:val="11"/>
            </w:pPr>
            <w:r>
              <w:t>31.73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31.73</w:t>
            </w:r>
          </w:p>
        </w:tc>
        <w:tc>
          <w:tcPr>
            <w:tcW w:w="1361" w:type="dxa"/>
            <w:vAlign w:val="center"/>
          </w:tcPr>
          <w:p>
            <w:pPr>
              <w:pStyle w:val="11"/>
            </w:pPr>
            <w:r>
              <w:t>31.73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31.73</w:t>
            </w:r>
          </w:p>
        </w:tc>
        <w:tc>
          <w:tcPr>
            <w:tcW w:w="1361" w:type="dxa"/>
            <w:vAlign w:val="center"/>
          </w:tcPr>
          <w:p>
            <w:pPr>
              <w:pStyle w:val="11"/>
            </w:pPr>
            <w:r>
              <w:t>31.73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82.08</w:t>
            </w:r>
          </w:p>
        </w:tc>
        <w:tc>
          <w:tcPr>
            <w:tcW w:w="1361" w:type="dxa"/>
            <w:vAlign w:val="center"/>
          </w:tcPr>
          <w:p>
            <w:pPr>
              <w:pStyle w:val="11"/>
            </w:pPr>
            <w:r>
              <w:t>81.18</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82.08</w:t>
            </w:r>
          </w:p>
        </w:tc>
        <w:tc>
          <w:tcPr>
            <w:tcW w:w="1361" w:type="dxa"/>
            <w:vAlign w:val="center"/>
          </w:tcPr>
          <w:p>
            <w:pPr>
              <w:pStyle w:val="11"/>
            </w:pPr>
            <w:r>
              <w:t>81.18</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81.18</w:t>
            </w:r>
          </w:p>
        </w:tc>
        <w:tc>
          <w:tcPr>
            <w:tcW w:w="1361" w:type="dxa"/>
            <w:vAlign w:val="center"/>
          </w:tcPr>
          <w:p>
            <w:pPr>
              <w:pStyle w:val="11"/>
            </w:pPr>
            <w:r>
              <w:t>81.18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81.18</w:t>
            </w:r>
          </w:p>
        </w:tc>
        <w:tc>
          <w:tcPr>
            <w:tcW w:w="1361" w:type="dxa"/>
            <w:vAlign w:val="center"/>
          </w:tcPr>
          <w:p>
            <w:pPr>
              <w:pStyle w:val="11"/>
            </w:pPr>
            <w:r>
              <w:t>81.18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81.18</w:t>
            </w:r>
          </w:p>
        </w:tc>
        <w:tc>
          <w:tcPr>
            <w:tcW w:w="1361" w:type="dxa"/>
            <w:vAlign w:val="center"/>
          </w:tcPr>
          <w:p>
            <w:pPr>
              <w:pStyle w:val="11"/>
            </w:pPr>
            <w:r>
              <w:t>81.18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81.18</w:t>
            </w:r>
          </w:p>
        </w:tc>
        <w:tc>
          <w:tcPr>
            <w:tcW w:w="1361" w:type="dxa"/>
            <w:vAlign w:val="center"/>
          </w:tcPr>
          <w:p>
            <w:pPr>
              <w:pStyle w:val="11"/>
            </w:pPr>
            <w:r>
              <w:t>81.18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637.99</w:t>
            </w:r>
          </w:p>
        </w:tc>
        <w:tc>
          <w:tcPr>
            <w:tcW w:w="1361" w:type="dxa"/>
            <w:vAlign w:val="center"/>
          </w:tcPr>
          <w:p>
            <w:pPr>
              <w:pStyle w:val="11"/>
            </w:pPr>
          </w:p>
        </w:tc>
        <w:tc>
          <w:tcPr>
            <w:tcW w:w="1361" w:type="dxa"/>
            <w:vAlign w:val="center"/>
          </w:tcPr>
          <w:p>
            <w:pPr>
              <w:pStyle w:val="11"/>
            </w:pPr>
            <w:r>
              <w:t>637.99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637.99</w:t>
            </w:r>
          </w:p>
        </w:tc>
        <w:tc>
          <w:tcPr>
            <w:tcW w:w="1361" w:type="dxa"/>
            <w:vAlign w:val="center"/>
          </w:tcPr>
          <w:p>
            <w:pPr>
              <w:pStyle w:val="11"/>
            </w:pPr>
          </w:p>
        </w:tc>
        <w:tc>
          <w:tcPr>
            <w:tcW w:w="1361" w:type="dxa"/>
            <w:vAlign w:val="center"/>
          </w:tcPr>
          <w:p>
            <w:pPr>
              <w:pStyle w:val="11"/>
            </w:pPr>
            <w:r>
              <w:t>637.99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r>
              <w:t>560.00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21210</w:t>
            </w:r>
          </w:p>
        </w:tc>
        <w:tc>
          <w:tcPr>
            <w:tcW w:w="4535" w:type="dxa"/>
            <w:vAlign w:val="center"/>
          </w:tcPr>
          <w:p>
            <w:pPr>
              <w:pStyle w:val="12"/>
            </w:pPr>
            <w:r>
              <w:t>国有土地收益基金安排的支出</w:t>
            </w: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21210</w:t>
            </w:r>
          </w:p>
        </w:tc>
        <w:tc>
          <w:tcPr>
            <w:tcW w:w="4535" w:type="dxa"/>
            <w:vAlign w:val="center"/>
          </w:tcPr>
          <w:p>
            <w:pPr>
              <w:pStyle w:val="12"/>
            </w:pPr>
            <w:r>
              <w:t>国有土地收益基金安排的支出</w:t>
            </w: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2121001</w:t>
            </w:r>
          </w:p>
        </w:tc>
        <w:tc>
          <w:tcPr>
            <w:tcW w:w="4535" w:type="dxa"/>
            <w:vAlign w:val="center"/>
          </w:tcPr>
          <w:p>
            <w:pPr>
              <w:pStyle w:val="12"/>
            </w:pPr>
            <w:r>
              <w:t>征地和拆迁补偿支出</w:t>
            </w: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2121001</w:t>
            </w:r>
          </w:p>
        </w:tc>
        <w:tc>
          <w:tcPr>
            <w:tcW w:w="4535" w:type="dxa"/>
            <w:vAlign w:val="center"/>
          </w:tcPr>
          <w:p>
            <w:pPr>
              <w:pStyle w:val="12"/>
            </w:pPr>
            <w:r>
              <w:t>征地和拆迁补偿支出</w:t>
            </w: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r>
              <w:t>77.99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973.97</w:t>
            </w:r>
          </w:p>
        </w:tc>
        <w:tc>
          <w:tcPr>
            <w:tcW w:w="3402" w:type="dxa"/>
            <w:vAlign w:val="center"/>
          </w:tcPr>
          <w:p>
            <w:pPr>
              <w:pStyle w:val="12"/>
            </w:pPr>
            <w:r>
              <w:t>一、一般公共服务支出</w:t>
            </w:r>
          </w:p>
        </w:tc>
        <w:tc>
          <w:tcPr>
            <w:tcW w:w="1474" w:type="dxa"/>
            <w:vAlign w:val="center"/>
          </w:tcPr>
          <w:p>
            <w:pPr>
              <w:pStyle w:val="11"/>
            </w:pPr>
            <w:r>
              <w:t>805.79</w:t>
            </w:r>
          </w:p>
        </w:tc>
        <w:tc>
          <w:tcPr>
            <w:tcW w:w="1474" w:type="dxa"/>
            <w:vAlign w:val="center"/>
          </w:tcPr>
          <w:p>
            <w:pPr>
              <w:pStyle w:val="11"/>
            </w:pPr>
            <w:r>
              <w:t>805.79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一、一般公共预算拨款</w:t>
            </w:r>
          </w:p>
        </w:tc>
        <w:tc>
          <w:tcPr>
            <w:tcW w:w="1474" w:type="dxa"/>
            <w:vAlign w:val="center"/>
          </w:tcPr>
          <w:p>
            <w:pPr>
              <w:pStyle w:val="11"/>
            </w:pPr>
            <w:r>
              <w:t>973.97</w:t>
            </w:r>
          </w:p>
        </w:tc>
        <w:tc>
          <w:tcPr>
            <w:tcW w:w="3402" w:type="dxa"/>
            <w:vAlign w:val="center"/>
          </w:tcPr>
          <w:p>
            <w:pPr>
              <w:pStyle w:val="12"/>
            </w:pPr>
            <w:r>
              <w:t>一、一般公共服务支出</w:t>
            </w:r>
          </w:p>
        </w:tc>
        <w:tc>
          <w:tcPr>
            <w:tcW w:w="1474" w:type="dxa"/>
            <w:vAlign w:val="center"/>
          </w:tcPr>
          <w:p>
            <w:pPr>
              <w:pStyle w:val="11"/>
            </w:pPr>
            <w:r>
              <w:t>805.79</w:t>
            </w:r>
          </w:p>
        </w:tc>
        <w:tc>
          <w:tcPr>
            <w:tcW w:w="1474" w:type="dxa"/>
            <w:vAlign w:val="center"/>
          </w:tcPr>
          <w:p>
            <w:pPr>
              <w:pStyle w:val="11"/>
            </w:pPr>
            <w:r>
              <w:t>805.79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二、政府性基金预算拨款</w:t>
            </w:r>
          </w:p>
        </w:tc>
        <w:tc>
          <w:tcPr>
            <w:tcW w:w="1474" w:type="dxa"/>
            <w:vAlign w:val="center"/>
          </w:tcPr>
          <w:p>
            <w:pPr>
              <w:pStyle w:val="11"/>
            </w:pPr>
            <w:r>
              <w:t>637.99</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r>
              <w:t>二、政府性基金预算拨款</w:t>
            </w:r>
          </w:p>
        </w:tc>
        <w:tc>
          <w:tcPr>
            <w:tcW w:w="1474" w:type="dxa"/>
            <w:vAlign w:val="center"/>
          </w:tcPr>
          <w:p>
            <w:pPr>
              <w:pStyle w:val="11"/>
            </w:pPr>
            <w:r>
              <w:t>637.99</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31.73</w:t>
            </w:r>
          </w:p>
        </w:tc>
        <w:tc>
          <w:tcPr>
            <w:tcW w:w="1474" w:type="dxa"/>
            <w:vAlign w:val="center"/>
          </w:tcPr>
          <w:p>
            <w:pPr>
              <w:pStyle w:val="11"/>
            </w:pPr>
            <w:r>
              <w:t>31.73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31.73</w:t>
            </w:r>
          </w:p>
        </w:tc>
        <w:tc>
          <w:tcPr>
            <w:tcW w:w="1474" w:type="dxa"/>
            <w:vAlign w:val="center"/>
          </w:tcPr>
          <w:p>
            <w:pPr>
              <w:pStyle w:val="11"/>
            </w:pPr>
            <w:r>
              <w:t>31.73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82.08</w:t>
            </w:r>
          </w:p>
        </w:tc>
        <w:tc>
          <w:tcPr>
            <w:tcW w:w="1474" w:type="dxa"/>
            <w:vAlign w:val="center"/>
          </w:tcPr>
          <w:p>
            <w:pPr>
              <w:pStyle w:val="11"/>
            </w:pPr>
            <w:r>
              <w:t>82.08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82.08</w:t>
            </w:r>
          </w:p>
        </w:tc>
        <w:tc>
          <w:tcPr>
            <w:tcW w:w="1474" w:type="dxa"/>
            <w:vAlign w:val="center"/>
          </w:tcPr>
          <w:p>
            <w:pPr>
              <w:pStyle w:val="11"/>
            </w:pPr>
            <w:r>
              <w:t>82.08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637.99</w:t>
            </w:r>
          </w:p>
        </w:tc>
        <w:tc>
          <w:tcPr>
            <w:tcW w:w="1474" w:type="dxa"/>
            <w:vAlign w:val="center"/>
          </w:tcPr>
          <w:p>
            <w:pPr>
              <w:pStyle w:val="11"/>
            </w:pPr>
          </w:p>
        </w:tc>
        <w:tc>
          <w:tcPr>
            <w:tcW w:w="1474" w:type="dxa"/>
            <w:vAlign w:val="center"/>
          </w:tcPr>
          <w:p>
            <w:pPr>
              <w:pStyle w:val="11"/>
            </w:pPr>
            <w:r>
              <w:t>637.99</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637.99</w:t>
            </w:r>
          </w:p>
        </w:tc>
        <w:tc>
          <w:tcPr>
            <w:tcW w:w="1474" w:type="dxa"/>
            <w:vAlign w:val="center"/>
          </w:tcPr>
          <w:p>
            <w:pPr>
              <w:pStyle w:val="11"/>
            </w:pPr>
          </w:p>
        </w:tc>
        <w:tc>
          <w:tcPr>
            <w:tcW w:w="1474" w:type="dxa"/>
            <w:vAlign w:val="center"/>
          </w:tcPr>
          <w:p>
            <w:pPr>
              <w:pStyle w:val="11"/>
            </w:pPr>
            <w:r>
              <w:t>637.99</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54.36</w:t>
            </w:r>
          </w:p>
        </w:tc>
        <w:tc>
          <w:tcPr>
            <w:tcW w:w="1474" w:type="dxa"/>
            <w:vAlign w:val="center"/>
          </w:tcPr>
          <w:p>
            <w:pPr>
              <w:pStyle w:val="11"/>
            </w:pPr>
            <w:r>
              <w:t>54.36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54.36</w:t>
            </w:r>
          </w:p>
        </w:tc>
        <w:tc>
          <w:tcPr>
            <w:tcW w:w="1474" w:type="dxa"/>
            <w:vAlign w:val="center"/>
          </w:tcPr>
          <w:p>
            <w:pPr>
              <w:pStyle w:val="11"/>
            </w:pPr>
            <w:r>
              <w:t>54.36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63</w:t>
            </w:r>
          </w:p>
        </w:tc>
        <w:tc>
          <w:tcPr>
            <w:tcW w:w="3402" w:type="dxa"/>
            <w:vAlign w:val="center"/>
          </w:tcPr>
          <w:p>
            <w:pPr>
              <w:pStyle w:val="14"/>
            </w:pPr>
            <w:r>
              <w:t>本年收入合计</w:t>
            </w:r>
          </w:p>
        </w:tc>
        <w:tc>
          <w:tcPr>
            <w:tcW w:w="1474" w:type="dxa"/>
            <w:vAlign w:val="center"/>
          </w:tcPr>
          <w:p>
            <w:pPr>
              <w:pStyle w:val="15"/>
            </w:pPr>
            <w:r>
              <w:t>1611.96</w:t>
            </w:r>
          </w:p>
        </w:tc>
        <w:tc>
          <w:tcPr>
            <w:tcW w:w="3402" w:type="dxa"/>
            <w:vAlign w:val="center"/>
          </w:tcPr>
          <w:p>
            <w:pPr>
              <w:pStyle w:val="14"/>
            </w:pPr>
            <w:r>
              <w:t>本年支出合计</w:t>
            </w:r>
          </w:p>
        </w:tc>
        <w:tc>
          <w:tcPr>
            <w:tcW w:w="1474" w:type="dxa"/>
            <w:vAlign w:val="center"/>
          </w:tcPr>
          <w:p>
            <w:pPr>
              <w:pStyle w:val="15"/>
            </w:pPr>
            <w:r>
              <w:t>1611.96</w:t>
            </w:r>
          </w:p>
        </w:tc>
        <w:tc>
          <w:tcPr>
            <w:tcW w:w="1474" w:type="dxa"/>
            <w:vAlign w:val="center"/>
          </w:tcPr>
          <w:p>
            <w:pPr>
              <w:pStyle w:val="15"/>
            </w:pPr>
            <w:r>
              <w:t>973.97</w:t>
            </w:r>
          </w:p>
        </w:tc>
        <w:tc>
          <w:tcPr>
            <w:tcW w:w="1474" w:type="dxa"/>
            <w:vAlign w:val="center"/>
          </w:tcPr>
          <w:p>
            <w:pPr>
              <w:pStyle w:val="15"/>
            </w:pPr>
            <w:r>
              <w:t>637.99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64</w:t>
            </w:r>
          </w:p>
        </w:tc>
        <w:tc>
          <w:tcPr>
            <w:tcW w:w="3402" w:type="dxa"/>
            <w:vAlign w:val="center"/>
          </w:tcPr>
          <w:p>
            <w:pPr>
              <w:pStyle w:val="14"/>
            </w:pPr>
            <w:r>
              <w:t>本年收入合计</w:t>
            </w:r>
          </w:p>
        </w:tc>
        <w:tc>
          <w:tcPr>
            <w:tcW w:w="1474" w:type="dxa"/>
            <w:vAlign w:val="center"/>
          </w:tcPr>
          <w:p>
            <w:pPr>
              <w:pStyle w:val="15"/>
            </w:pPr>
            <w:r>
              <w:t>1611.96</w:t>
            </w:r>
          </w:p>
        </w:tc>
        <w:tc>
          <w:tcPr>
            <w:tcW w:w="3402" w:type="dxa"/>
            <w:vAlign w:val="center"/>
          </w:tcPr>
          <w:p>
            <w:pPr>
              <w:pStyle w:val="14"/>
            </w:pPr>
            <w:r>
              <w:t>本年支出合计</w:t>
            </w:r>
          </w:p>
        </w:tc>
        <w:tc>
          <w:tcPr>
            <w:tcW w:w="1474" w:type="dxa"/>
            <w:vAlign w:val="center"/>
          </w:tcPr>
          <w:p>
            <w:pPr>
              <w:pStyle w:val="15"/>
            </w:pPr>
            <w:r>
              <w:t>1611.96</w:t>
            </w:r>
          </w:p>
        </w:tc>
        <w:tc>
          <w:tcPr>
            <w:tcW w:w="1474" w:type="dxa"/>
            <w:vAlign w:val="center"/>
          </w:tcPr>
          <w:p>
            <w:pPr>
              <w:pStyle w:val="15"/>
            </w:pPr>
            <w:r>
              <w:t>973.97</w:t>
            </w:r>
          </w:p>
        </w:tc>
        <w:tc>
          <w:tcPr>
            <w:tcW w:w="1474" w:type="dxa"/>
            <w:vAlign w:val="center"/>
          </w:tcPr>
          <w:p>
            <w:pPr>
              <w:pStyle w:val="15"/>
            </w:pPr>
            <w:r>
              <w:t>637.99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65</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66</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67</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68</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69</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70</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71</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72</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73</w:t>
            </w:r>
          </w:p>
        </w:tc>
        <w:tc>
          <w:tcPr>
            <w:tcW w:w="3402" w:type="dxa"/>
            <w:vAlign w:val="center"/>
          </w:tcPr>
          <w:p>
            <w:pPr>
              <w:pStyle w:val="14"/>
            </w:pPr>
            <w:r>
              <w:t>收入总计</w:t>
            </w:r>
          </w:p>
        </w:tc>
        <w:tc>
          <w:tcPr>
            <w:tcW w:w="1474" w:type="dxa"/>
            <w:vAlign w:val="center"/>
          </w:tcPr>
          <w:p>
            <w:pPr>
              <w:pStyle w:val="15"/>
            </w:pPr>
            <w:r>
              <w:t>1611.96</w:t>
            </w:r>
          </w:p>
        </w:tc>
        <w:tc>
          <w:tcPr>
            <w:tcW w:w="3402" w:type="dxa"/>
            <w:vAlign w:val="center"/>
          </w:tcPr>
          <w:p>
            <w:pPr>
              <w:pStyle w:val="14"/>
            </w:pPr>
            <w:r>
              <w:t>支出总计</w:t>
            </w:r>
          </w:p>
        </w:tc>
        <w:tc>
          <w:tcPr>
            <w:tcW w:w="1474" w:type="dxa"/>
            <w:vAlign w:val="center"/>
          </w:tcPr>
          <w:p>
            <w:pPr>
              <w:pStyle w:val="15"/>
            </w:pPr>
            <w:r>
              <w:t>1611.96</w:t>
            </w:r>
          </w:p>
        </w:tc>
        <w:tc>
          <w:tcPr>
            <w:tcW w:w="1474" w:type="dxa"/>
            <w:vAlign w:val="center"/>
          </w:tcPr>
          <w:p>
            <w:pPr>
              <w:pStyle w:val="15"/>
            </w:pPr>
            <w:r>
              <w:t>973.97</w:t>
            </w:r>
          </w:p>
        </w:tc>
        <w:tc>
          <w:tcPr>
            <w:tcW w:w="1474" w:type="dxa"/>
            <w:vAlign w:val="center"/>
          </w:tcPr>
          <w:p>
            <w:pPr>
              <w:pStyle w:val="15"/>
            </w:pPr>
            <w:r>
              <w:t>637.99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74</w:t>
            </w:r>
          </w:p>
        </w:tc>
        <w:tc>
          <w:tcPr>
            <w:tcW w:w="3402" w:type="dxa"/>
            <w:vAlign w:val="center"/>
          </w:tcPr>
          <w:p>
            <w:pPr>
              <w:pStyle w:val="14"/>
            </w:pPr>
            <w:r>
              <w:t>收入总计</w:t>
            </w:r>
          </w:p>
        </w:tc>
        <w:tc>
          <w:tcPr>
            <w:tcW w:w="1474" w:type="dxa"/>
            <w:vAlign w:val="center"/>
          </w:tcPr>
          <w:p>
            <w:pPr>
              <w:pStyle w:val="15"/>
            </w:pPr>
            <w:r>
              <w:t>1611.96</w:t>
            </w:r>
          </w:p>
        </w:tc>
        <w:tc>
          <w:tcPr>
            <w:tcW w:w="3402" w:type="dxa"/>
            <w:vAlign w:val="center"/>
          </w:tcPr>
          <w:p>
            <w:pPr>
              <w:pStyle w:val="14"/>
            </w:pPr>
            <w:r>
              <w:t>支出总计</w:t>
            </w:r>
          </w:p>
        </w:tc>
        <w:tc>
          <w:tcPr>
            <w:tcW w:w="1474" w:type="dxa"/>
            <w:vAlign w:val="center"/>
          </w:tcPr>
          <w:p>
            <w:pPr>
              <w:pStyle w:val="15"/>
            </w:pPr>
            <w:r>
              <w:t>1611.96</w:t>
            </w:r>
          </w:p>
        </w:tc>
        <w:tc>
          <w:tcPr>
            <w:tcW w:w="1474" w:type="dxa"/>
            <w:vAlign w:val="center"/>
          </w:tcPr>
          <w:p>
            <w:pPr>
              <w:pStyle w:val="15"/>
            </w:pPr>
            <w:r>
              <w:t>973.97</w:t>
            </w:r>
          </w:p>
        </w:tc>
        <w:tc>
          <w:tcPr>
            <w:tcW w:w="1474" w:type="dxa"/>
            <w:vAlign w:val="center"/>
          </w:tcPr>
          <w:p>
            <w:pPr>
              <w:pStyle w:val="15"/>
            </w:pPr>
            <w:r>
              <w:t>637.99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973.97</w:t>
            </w:r>
          </w:p>
        </w:tc>
        <w:tc>
          <w:tcPr>
            <w:tcW w:w="2551" w:type="dxa"/>
            <w:vAlign w:val="center"/>
          </w:tcPr>
          <w:p>
            <w:pPr>
              <w:pStyle w:val="15"/>
            </w:pPr>
            <w:r>
              <w:t>956.87</w:t>
            </w:r>
          </w:p>
        </w:tc>
        <w:tc>
          <w:tcPr>
            <w:tcW w:w="2551" w:type="dxa"/>
            <w:vAlign w:val="center"/>
          </w:tcPr>
          <w:p>
            <w:pPr>
              <w:pStyle w:val="15"/>
            </w:pPr>
            <w: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805.79</w:t>
            </w:r>
          </w:p>
        </w:tc>
        <w:tc>
          <w:tcPr>
            <w:tcW w:w="2551" w:type="dxa"/>
            <w:vAlign w:val="center"/>
          </w:tcPr>
          <w:p>
            <w:pPr>
              <w:pStyle w:val="11"/>
            </w:pPr>
            <w:r>
              <w:t>789.59</w:t>
            </w:r>
          </w:p>
        </w:tc>
        <w:tc>
          <w:tcPr>
            <w:tcW w:w="2551" w:type="dxa"/>
            <w:vAlign w:val="center"/>
          </w:tcPr>
          <w:p>
            <w:pPr>
              <w:pStyle w:val="11"/>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805.79</w:t>
            </w:r>
          </w:p>
        </w:tc>
        <w:tc>
          <w:tcPr>
            <w:tcW w:w="2551" w:type="dxa"/>
            <w:vAlign w:val="center"/>
          </w:tcPr>
          <w:p>
            <w:pPr>
              <w:pStyle w:val="11"/>
            </w:pPr>
            <w:r>
              <w:t>789.59</w:t>
            </w:r>
          </w:p>
        </w:tc>
        <w:tc>
          <w:tcPr>
            <w:tcW w:w="2551" w:type="dxa"/>
            <w:vAlign w:val="center"/>
          </w:tcPr>
          <w:p>
            <w:pPr>
              <w:pStyle w:val="11"/>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793.79</w:t>
            </w:r>
          </w:p>
        </w:tc>
        <w:tc>
          <w:tcPr>
            <w:tcW w:w="2551" w:type="dxa"/>
            <w:vAlign w:val="center"/>
          </w:tcPr>
          <w:p>
            <w:pPr>
              <w:pStyle w:val="11"/>
            </w:pPr>
            <w:r>
              <w:t>789.59</w:t>
            </w: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31.73</w:t>
            </w:r>
          </w:p>
        </w:tc>
        <w:tc>
          <w:tcPr>
            <w:tcW w:w="2551" w:type="dxa"/>
            <w:vAlign w:val="center"/>
          </w:tcPr>
          <w:p>
            <w:pPr>
              <w:pStyle w:val="11"/>
            </w:pPr>
            <w:r>
              <w:t>31.73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31.73</w:t>
            </w:r>
          </w:p>
        </w:tc>
        <w:tc>
          <w:tcPr>
            <w:tcW w:w="2551" w:type="dxa"/>
            <w:vAlign w:val="center"/>
          </w:tcPr>
          <w:p>
            <w:pPr>
              <w:pStyle w:val="11"/>
            </w:pPr>
            <w:r>
              <w:t>31.73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31.73</w:t>
            </w:r>
          </w:p>
        </w:tc>
        <w:tc>
          <w:tcPr>
            <w:tcW w:w="2551" w:type="dxa"/>
            <w:vAlign w:val="center"/>
          </w:tcPr>
          <w:p>
            <w:pPr>
              <w:pStyle w:val="11"/>
            </w:pPr>
            <w:r>
              <w:t>31.73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82.08</w:t>
            </w:r>
          </w:p>
        </w:tc>
        <w:tc>
          <w:tcPr>
            <w:tcW w:w="2551" w:type="dxa"/>
            <w:vAlign w:val="center"/>
          </w:tcPr>
          <w:p>
            <w:pPr>
              <w:pStyle w:val="11"/>
            </w:pPr>
            <w:r>
              <w:t>81.18</w:t>
            </w: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81.18</w:t>
            </w:r>
          </w:p>
        </w:tc>
        <w:tc>
          <w:tcPr>
            <w:tcW w:w="2551" w:type="dxa"/>
            <w:vAlign w:val="center"/>
          </w:tcPr>
          <w:p>
            <w:pPr>
              <w:pStyle w:val="11"/>
            </w:pPr>
            <w:r>
              <w:t>81.18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81.18</w:t>
            </w:r>
          </w:p>
        </w:tc>
        <w:tc>
          <w:tcPr>
            <w:tcW w:w="2551" w:type="dxa"/>
            <w:vAlign w:val="center"/>
          </w:tcPr>
          <w:p>
            <w:pPr>
              <w:pStyle w:val="11"/>
            </w:pPr>
            <w:r>
              <w:t>81.18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956.87</w:t>
            </w:r>
          </w:p>
        </w:tc>
        <w:tc>
          <w:tcPr>
            <w:tcW w:w="2551" w:type="dxa"/>
            <w:vAlign w:val="center"/>
          </w:tcPr>
          <w:p>
            <w:pPr>
              <w:pStyle w:val="15"/>
            </w:pPr>
            <w:r>
              <w:t>888.61</w:t>
            </w:r>
          </w:p>
        </w:tc>
        <w:tc>
          <w:tcPr>
            <w:tcW w:w="2551" w:type="dxa"/>
            <w:vAlign w:val="center"/>
          </w:tcPr>
          <w:p>
            <w:pPr>
              <w:pStyle w:val="15"/>
              <w:rPr>
                <w:rFonts w:hint="eastAsia" w:eastAsia="方正书宋_GBK"/>
                <w:lang w:eastAsia="zh-CN"/>
              </w:rPr>
            </w:pPr>
            <w:r>
              <w:t>68.2</w:t>
            </w: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854.85</w:t>
            </w:r>
          </w:p>
        </w:tc>
        <w:tc>
          <w:tcPr>
            <w:tcW w:w="2551" w:type="dxa"/>
            <w:vAlign w:val="center"/>
          </w:tcPr>
          <w:p>
            <w:pPr>
              <w:pStyle w:val="11"/>
            </w:pPr>
            <w:r>
              <w:t>854.85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281.94</w:t>
            </w:r>
          </w:p>
        </w:tc>
        <w:tc>
          <w:tcPr>
            <w:tcW w:w="2551" w:type="dxa"/>
            <w:vAlign w:val="center"/>
          </w:tcPr>
          <w:p>
            <w:pPr>
              <w:pStyle w:val="11"/>
            </w:pPr>
            <w:r>
              <w:t>281.94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172.75</w:t>
            </w:r>
          </w:p>
        </w:tc>
        <w:tc>
          <w:tcPr>
            <w:tcW w:w="2551" w:type="dxa"/>
            <w:vAlign w:val="center"/>
          </w:tcPr>
          <w:p>
            <w:pPr>
              <w:pStyle w:val="11"/>
            </w:pPr>
            <w:r>
              <w:t>172.75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25.49</w:t>
            </w:r>
          </w:p>
        </w:tc>
        <w:tc>
          <w:tcPr>
            <w:tcW w:w="2551" w:type="dxa"/>
            <w:vAlign w:val="center"/>
          </w:tcPr>
          <w:p>
            <w:pPr>
              <w:pStyle w:val="11"/>
            </w:pPr>
            <w:r>
              <w:t>25.49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100.16</w:t>
            </w:r>
          </w:p>
        </w:tc>
        <w:tc>
          <w:tcPr>
            <w:tcW w:w="2551" w:type="dxa"/>
            <w:vAlign w:val="center"/>
          </w:tcPr>
          <w:p>
            <w:pPr>
              <w:pStyle w:val="11"/>
            </w:pPr>
            <w:r>
              <w:t>100.16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60.63</w:t>
            </w:r>
          </w:p>
        </w:tc>
        <w:tc>
          <w:tcPr>
            <w:tcW w:w="2551" w:type="dxa"/>
            <w:vAlign w:val="center"/>
          </w:tcPr>
          <w:p>
            <w:pPr>
              <w:pStyle w:val="11"/>
            </w:pPr>
            <w:r>
              <w:t>60.63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71.31</w:t>
            </w:r>
          </w:p>
        </w:tc>
        <w:tc>
          <w:tcPr>
            <w:tcW w:w="2551" w:type="dxa"/>
            <w:vAlign w:val="center"/>
          </w:tcPr>
          <w:p>
            <w:pPr>
              <w:pStyle w:val="11"/>
            </w:pPr>
            <w:r>
              <w:t>71.31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47.00</w:t>
            </w:r>
          </w:p>
        </w:tc>
        <w:tc>
          <w:tcPr>
            <w:tcW w:w="2551" w:type="dxa"/>
            <w:vAlign w:val="center"/>
          </w:tcPr>
          <w:p>
            <w:pPr>
              <w:pStyle w:val="11"/>
            </w:pPr>
            <w:r>
              <w:t>47.00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91.51</w:t>
            </w:r>
          </w:p>
        </w:tc>
        <w:tc>
          <w:tcPr>
            <w:tcW w:w="2551" w:type="dxa"/>
            <w:vAlign w:val="center"/>
          </w:tcPr>
          <w:p>
            <w:pPr>
              <w:pStyle w:val="11"/>
            </w:pPr>
            <w:r>
              <w:t>91.51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68.25</w:t>
            </w:r>
          </w:p>
        </w:tc>
        <w:tc>
          <w:tcPr>
            <w:tcW w:w="2551" w:type="dxa"/>
            <w:vAlign w:val="center"/>
          </w:tcPr>
          <w:p>
            <w:pPr>
              <w:pStyle w:val="11"/>
            </w:pPr>
          </w:p>
        </w:tc>
        <w:tc>
          <w:tcPr>
            <w:tcW w:w="2551" w:type="dxa"/>
            <w:vAlign w:val="center"/>
          </w:tcPr>
          <w:p>
            <w:pPr>
              <w:pStyle w:val="11"/>
              <w:rPr>
                <w:rFonts w:hint="eastAsia" w:eastAsia="方正书宋_GBK"/>
                <w:lang w:eastAsia="zh-CN"/>
              </w:rPr>
            </w:pPr>
            <w:r>
              <w:t>68.2</w:t>
            </w: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12.43</w:t>
            </w:r>
          </w:p>
        </w:tc>
        <w:tc>
          <w:tcPr>
            <w:tcW w:w="2551" w:type="dxa"/>
            <w:vAlign w:val="center"/>
          </w:tcPr>
          <w:p>
            <w:pPr>
              <w:pStyle w:val="11"/>
            </w:pPr>
          </w:p>
        </w:tc>
        <w:tc>
          <w:tcPr>
            <w:tcW w:w="2551" w:type="dxa"/>
            <w:vAlign w:val="center"/>
          </w:tcPr>
          <w:p>
            <w:pPr>
              <w:pStyle w:val="11"/>
            </w:pPr>
            <w:r>
              <w:t>12.43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3.64</w:t>
            </w:r>
          </w:p>
        </w:tc>
        <w:tc>
          <w:tcPr>
            <w:tcW w:w="2551" w:type="dxa"/>
            <w:vAlign w:val="center"/>
          </w:tcPr>
          <w:p>
            <w:pPr>
              <w:pStyle w:val="11"/>
            </w:pPr>
          </w:p>
        </w:tc>
        <w:tc>
          <w:tcPr>
            <w:tcW w:w="2551" w:type="dxa"/>
            <w:vAlign w:val="center"/>
          </w:tcPr>
          <w:p>
            <w:pPr>
              <w:pStyle w:val="11"/>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4.56</w:t>
            </w:r>
          </w:p>
        </w:tc>
        <w:tc>
          <w:tcPr>
            <w:tcW w:w="2551" w:type="dxa"/>
            <w:vAlign w:val="center"/>
          </w:tcPr>
          <w:p>
            <w:pPr>
              <w:pStyle w:val="11"/>
            </w:pPr>
          </w:p>
        </w:tc>
        <w:tc>
          <w:tcPr>
            <w:tcW w:w="2551" w:type="dxa"/>
            <w:vAlign w:val="center"/>
          </w:tcPr>
          <w:p>
            <w:pPr>
              <w:pStyle w:val="11"/>
              <w:rPr>
                <w:rFonts w:hint="eastAsia" w:eastAsia="方正书宋_GBK"/>
                <w:lang w:eastAsia="zh-CN"/>
              </w:rPr>
            </w:pPr>
            <w:r>
              <w:t>4.5</w:t>
            </w:r>
            <w:r>
              <w:rPr>
                <w:rFonts w:hint="eastAsia"/>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27.72</w:t>
            </w:r>
          </w:p>
        </w:tc>
        <w:tc>
          <w:tcPr>
            <w:tcW w:w="2551" w:type="dxa"/>
            <w:vAlign w:val="center"/>
          </w:tcPr>
          <w:p>
            <w:pPr>
              <w:pStyle w:val="11"/>
            </w:pPr>
          </w:p>
        </w:tc>
        <w:tc>
          <w:tcPr>
            <w:tcW w:w="2551" w:type="dxa"/>
            <w:vAlign w:val="center"/>
          </w:tcPr>
          <w:p>
            <w:pPr>
              <w:pStyle w:val="11"/>
            </w:pPr>
            <w:r>
              <w:t>27.72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33.76</w:t>
            </w:r>
          </w:p>
        </w:tc>
        <w:tc>
          <w:tcPr>
            <w:tcW w:w="2551" w:type="dxa"/>
            <w:vAlign w:val="center"/>
          </w:tcPr>
          <w:p>
            <w:pPr>
              <w:pStyle w:val="11"/>
            </w:pPr>
            <w:r>
              <w:t>33.76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29.83</w:t>
            </w:r>
          </w:p>
        </w:tc>
        <w:tc>
          <w:tcPr>
            <w:tcW w:w="2551" w:type="dxa"/>
            <w:vAlign w:val="center"/>
          </w:tcPr>
          <w:p>
            <w:pPr>
              <w:pStyle w:val="11"/>
            </w:pPr>
            <w:r>
              <w:t>29.83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637.99</w:t>
            </w:r>
          </w:p>
        </w:tc>
        <w:tc>
          <w:tcPr>
            <w:tcW w:w="2551" w:type="dxa"/>
            <w:vAlign w:val="center"/>
          </w:tcPr>
          <w:p>
            <w:pPr>
              <w:pStyle w:val="15"/>
            </w:pPr>
          </w:p>
        </w:tc>
        <w:tc>
          <w:tcPr>
            <w:tcW w:w="2551" w:type="dxa"/>
            <w:vAlign w:val="center"/>
          </w:tcPr>
          <w:p>
            <w:pPr>
              <w:pStyle w:val="15"/>
            </w:pPr>
            <w:r>
              <w:t>637.99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637.99</w:t>
            </w:r>
          </w:p>
        </w:tc>
        <w:tc>
          <w:tcPr>
            <w:tcW w:w="2551" w:type="dxa"/>
            <w:vAlign w:val="center"/>
          </w:tcPr>
          <w:p>
            <w:pPr>
              <w:pStyle w:val="11"/>
            </w:pPr>
          </w:p>
        </w:tc>
        <w:tc>
          <w:tcPr>
            <w:tcW w:w="2551" w:type="dxa"/>
            <w:vAlign w:val="center"/>
          </w:tcPr>
          <w:p>
            <w:pPr>
              <w:pStyle w:val="11"/>
            </w:pPr>
            <w:r>
              <w:t>637.99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560.00</w:t>
            </w:r>
          </w:p>
        </w:tc>
        <w:tc>
          <w:tcPr>
            <w:tcW w:w="2551" w:type="dxa"/>
            <w:vAlign w:val="center"/>
          </w:tcPr>
          <w:p>
            <w:pPr>
              <w:pStyle w:val="11"/>
            </w:pPr>
          </w:p>
        </w:tc>
        <w:tc>
          <w:tcPr>
            <w:tcW w:w="2551" w:type="dxa"/>
            <w:vAlign w:val="center"/>
          </w:tcPr>
          <w:p>
            <w:pPr>
              <w:pStyle w:val="11"/>
            </w:pPr>
            <w: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560.00</w:t>
            </w:r>
          </w:p>
        </w:tc>
        <w:tc>
          <w:tcPr>
            <w:tcW w:w="2551" w:type="dxa"/>
            <w:vAlign w:val="center"/>
          </w:tcPr>
          <w:p>
            <w:pPr>
              <w:pStyle w:val="11"/>
            </w:pPr>
          </w:p>
        </w:tc>
        <w:tc>
          <w:tcPr>
            <w:tcW w:w="2551" w:type="dxa"/>
            <w:vAlign w:val="center"/>
          </w:tcPr>
          <w:p>
            <w:pPr>
              <w:pStyle w:val="11"/>
            </w:pPr>
            <w: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21210</w:t>
            </w:r>
          </w:p>
        </w:tc>
        <w:tc>
          <w:tcPr>
            <w:tcW w:w="4535" w:type="dxa"/>
            <w:vAlign w:val="center"/>
          </w:tcPr>
          <w:p>
            <w:pPr>
              <w:pStyle w:val="12"/>
            </w:pPr>
            <w:r>
              <w:t>国有土地收益基金安排的支出</w:t>
            </w:r>
          </w:p>
        </w:tc>
        <w:tc>
          <w:tcPr>
            <w:tcW w:w="2551" w:type="dxa"/>
            <w:vAlign w:val="center"/>
          </w:tcPr>
          <w:p>
            <w:pPr>
              <w:pStyle w:val="11"/>
            </w:pPr>
            <w:r>
              <w:t>77.99</w:t>
            </w:r>
          </w:p>
        </w:tc>
        <w:tc>
          <w:tcPr>
            <w:tcW w:w="2551" w:type="dxa"/>
            <w:vAlign w:val="center"/>
          </w:tcPr>
          <w:p>
            <w:pPr>
              <w:pStyle w:val="11"/>
            </w:pPr>
          </w:p>
        </w:tc>
        <w:tc>
          <w:tcPr>
            <w:tcW w:w="2551" w:type="dxa"/>
            <w:vAlign w:val="center"/>
          </w:tcPr>
          <w:p>
            <w:pPr>
              <w:pStyle w:val="11"/>
            </w:pPr>
            <w:r>
              <w:t>77.99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2121001</w:t>
            </w:r>
          </w:p>
        </w:tc>
        <w:tc>
          <w:tcPr>
            <w:tcW w:w="4535" w:type="dxa"/>
            <w:vAlign w:val="center"/>
          </w:tcPr>
          <w:p>
            <w:pPr>
              <w:pStyle w:val="12"/>
            </w:pPr>
            <w:r>
              <w:t>征地和拆迁补偿支出</w:t>
            </w:r>
          </w:p>
        </w:tc>
        <w:tc>
          <w:tcPr>
            <w:tcW w:w="2551" w:type="dxa"/>
            <w:vAlign w:val="center"/>
          </w:tcPr>
          <w:p>
            <w:pPr>
              <w:pStyle w:val="11"/>
            </w:pPr>
            <w:r>
              <w:t>77.99</w:t>
            </w:r>
          </w:p>
        </w:tc>
        <w:tc>
          <w:tcPr>
            <w:tcW w:w="2551" w:type="dxa"/>
            <w:vAlign w:val="center"/>
          </w:tcPr>
          <w:p>
            <w:pPr>
              <w:pStyle w:val="11"/>
            </w:pPr>
          </w:p>
        </w:tc>
        <w:tc>
          <w:tcPr>
            <w:tcW w:w="2551" w:type="dxa"/>
            <w:vAlign w:val="center"/>
          </w:tcPr>
          <w:p>
            <w:pPr>
              <w:pStyle w:val="11"/>
            </w:pPr>
            <w:r>
              <w:t>77.99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唐山市开平区双桥镇人民政府本级2025年单位预算信息公开情况说明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按照《中华人民共和国预算法》、《地方预决算公开操作规程》和《关于进一步推进预算公开工作的实施意见》规定，现将唐山市开平区双桥镇人民政府本级2025年单位预算公开如下：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17"/>
      </w:pPr>
      <w:r>
        <w:t>（二）讨论和决定镇经济建设、政治建设、文化建设、社会建设、生态文明建设和党的建设以及乡村振兴中的重大问题。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唐山市开平区双桥镇人民政府本级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1611.96万元，其中：一般公共预算收入973.97万元，基金预算收入637.99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双桥镇人民政府本级年度单位预算中支出预算的总体情况。2025年支出预算1611.96万元，其中基本支出956.87万元，包括人员经费888.61万元和日常公用经费68.2</w:t>
      </w:r>
      <w:r>
        <w:rPr>
          <w:rFonts w:hint="eastAsia"/>
          <w:lang w:val="en-US" w:eastAsia="zh-CN"/>
        </w:rPr>
        <w:t>6</w:t>
      </w:r>
      <w:r>
        <w:t>万元；项目支出655.09万元，主要为2025年部门支出预算为1611.96万元，其中基本支出956.87万元，其中人员经费支出预算888.61万元，日常公用经费支出预算68.2</w:t>
      </w:r>
      <w:r>
        <w:rPr>
          <w:rFonts w:hint="eastAsia"/>
          <w:lang w:val="en-US" w:eastAsia="zh-CN"/>
        </w:rPr>
        <w:t>6</w:t>
      </w:r>
      <w:r>
        <w:t>万元。项目支出655.09万元，主要为项目支出主要为党组织建设，武装工作经费，乡村振兴工作经费、冶里村景观绿化费、援藏干部补贴、本级森林防火资金、本级独生子女退休一次性奖励。</w:t>
      </w:r>
    </w:p>
    <w:p>
      <w:pPr>
        <w:pStyle w:val="18"/>
      </w:pPr>
      <w:r>
        <w:t>3、比上年增减情况</w:t>
      </w:r>
    </w:p>
    <w:p>
      <w:pPr>
        <w:pStyle w:val="18"/>
      </w:pPr>
      <w:r>
        <w:t>2025年预算收支安排1611.96万元，较2024年预算减少392.95万元，其中：基本支出增加4.90万元，主要为人员减少。项目支出减少397.85万元，主要为乡村振兴项目减少。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360" w:lineRule="auto"/>
        <w:ind w:firstLine="560" w:firstLineChars="200"/>
        <w:outlineLvl w:val="2"/>
        <w:rPr>
          <w:rFonts w:ascii="Times New Roman" w:hAnsi="Times New Roman" w:eastAsia="方正仿宋_GBK" w:cs="Times New Roman"/>
          <w:sz w:val="28"/>
          <w:szCs w:val="20"/>
          <w:lang w:eastAsia="zh-CN"/>
        </w:rPr>
      </w:pPr>
      <w:r>
        <w:rPr>
          <w:rFonts w:ascii="Times New Roman" w:hAnsi="Times New Roman" w:eastAsia="方正仿宋_GBK" w:cs="Times New Roman"/>
          <w:sz w:val="28"/>
          <w:szCs w:val="20"/>
        </w:rPr>
        <w:t>2025年，我单位机关运行经费共计安排68.25万元，</w:t>
      </w:r>
      <w:r>
        <w:rPr>
          <w:rFonts w:hint="eastAsia" w:ascii="Times New Roman" w:hAnsi="Times New Roman" w:eastAsia="方正仿宋_GBK" w:cs="Times New Roman"/>
          <w:sz w:val="28"/>
          <w:szCs w:val="20"/>
        </w:rPr>
        <w:t>主要用于保证正常办公的基本需要和维持单位日常业务运转，包括：办公费、</w:t>
      </w:r>
      <w:r>
        <w:rPr>
          <w:rFonts w:hint="eastAsia" w:ascii="Times New Roman" w:hAnsi="Times New Roman" w:eastAsia="方正仿宋_GBK" w:cs="Times New Roman"/>
          <w:sz w:val="28"/>
          <w:szCs w:val="20"/>
          <w:lang w:eastAsia="zh-CN"/>
        </w:rPr>
        <w:t>邮电费、工会经费、福利费、</w:t>
      </w:r>
      <w:r>
        <w:rPr>
          <w:rFonts w:hint="eastAsia" w:ascii="Times New Roman" w:hAnsi="Times New Roman" w:eastAsia="方正仿宋_GBK" w:cs="Times New Roman"/>
          <w:sz w:val="28"/>
          <w:szCs w:val="20"/>
        </w:rPr>
        <w:t>公务用车运行维护费和其他费</w:t>
      </w:r>
      <w:r>
        <w:rPr>
          <w:rFonts w:hint="eastAsia" w:ascii="Times New Roman" w:hAnsi="Times New Roman" w:eastAsia="方正仿宋_GBK" w:cs="Times New Roman"/>
          <w:sz w:val="28"/>
          <w:szCs w:val="20"/>
          <w:lang w:eastAsia="zh-CN"/>
        </w:rPr>
        <w:t>用</w:t>
      </w:r>
      <w:r>
        <w:rPr>
          <w:rFonts w:hint="eastAsia" w:ascii="Times New Roman" w:hAnsi="Times New Roman" w:eastAsia="方正仿宋_GBK" w:cs="Times New Roman"/>
          <w:sz w:val="28"/>
          <w:szCs w:val="20"/>
        </w:rP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3.60万元，其中因公出国（境）费0.00万元；公务用车购置及运维费3.60万元（其中：公务用车购置费为0.00万元，公务用车运维费3.60万元)；公务接待费0.00万元。与2024年相比减少0.40万元，增减变化的主要原因是公务用车运行维护费预算安排减少0.4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1、本级党组织建设、武装工作经费绩效目标表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13020525P009132100127</w:t>
            </w:r>
          </w:p>
        </w:tc>
        <w:tc>
          <w:tcPr>
            <w:tcW w:w="2835" w:type="dxa"/>
            <w:vAlign w:val="center"/>
          </w:tcPr>
          <w:p>
            <w:pPr>
              <w:pStyle w:val="10"/>
            </w:pPr>
            <w:r>
              <w:t>项目名称</w:t>
            </w:r>
          </w:p>
        </w:tc>
        <w:tc>
          <w:tcPr>
            <w:tcW w:w="6095" w:type="dxa"/>
            <w:gridSpan w:val="3"/>
            <w:vAlign w:val="center"/>
          </w:tcPr>
          <w:p>
            <w:pPr>
              <w:pStyle w:val="12"/>
            </w:pPr>
            <w:r>
              <w:t>本级党组织建设、武装工作经费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基层人民武装部基础设施建设、业务开展、日常办公、专武干部服装购置等。</w:t>
            </w:r>
            <w:r>
              <w:tab/>
            </w:r>
            <w:r>
              <w:tab/>
            </w:r>
            <w:r>
              <w:tab/>
            </w:r>
            <w:r>
              <w:tab/>
            </w:r>
            <w:r>
              <w:tab/>
            </w:r>
            <w:r>
              <w:tab/>
            </w:r>
          </w:p>
          <w:p>
            <w:pPr>
              <w:pStyle w:val="12"/>
            </w:pPr>
            <w:r>
              <w:t>加强全镇党组织场所建设，党员进行主题教育，党报党刊征订全覆盖。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1.基层人民武装部基础设施建设、业务开展、日常办公、专武干部服装购置等</w:t>
            </w:r>
            <w:r>
              <w:tab/>
            </w:r>
            <w:r>
              <w:tab/>
            </w:r>
            <w:r>
              <w:tab/>
            </w:r>
            <w:r>
              <w:tab/>
            </w:r>
            <w:r>
              <w:tab/>
            </w:r>
            <w:r>
              <w:tab/>
            </w:r>
          </w:p>
          <w:p>
            <w:pPr>
              <w:pStyle w:val="12"/>
            </w:pPr>
          </w:p>
          <w:p>
            <w:pPr>
              <w:pStyle w:val="12"/>
            </w:pPr>
            <w:r>
              <w:t>2.加强全镇党组织场所建设，党员进行主题教育，党报党刊征订全覆盖。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每年至少组织民兵训练次数</w:t>
            </w:r>
          </w:p>
        </w:tc>
        <w:tc>
          <w:tcPr>
            <w:tcW w:w="5386" w:type="dxa"/>
            <w:vAlign w:val="center"/>
          </w:tcPr>
          <w:p>
            <w:pPr>
              <w:pStyle w:val="12"/>
            </w:pPr>
            <w:r>
              <w:t>每年至少组织民兵训练次数</w:t>
            </w:r>
          </w:p>
        </w:tc>
        <w:tc>
          <w:tcPr>
            <w:tcW w:w="2268" w:type="dxa"/>
            <w:vAlign w:val="center"/>
          </w:tcPr>
          <w:p>
            <w:pPr>
              <w:pStyle w:val="12"/>
            </w:pPr>
            <w:r>
              <w:t>≥1次</w:t>
            </w:r>
          </w:p>
        </w:tc>
        <w:tc>
          <w:tcPr>
            <w:tcW w:w="1276" w:type="dxa"/>
            <w:vAlign w:val="center"/>
          </w:tcPr>
          <w:p>
            <w:pPr>
              <w:pStyle w:val="12"/>
            </w:pPr>
            <w:r>
              <w:t>每年至少组织民兵训练次数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保障基层武装部规范化建设达标率</w:t>
            </w:r>
          </w:p>
        </w:tc>
        <w:tc>
          <w:tcPr>
            <w:tcW w:w="5386" w:type="dxa"/>
            <w:vAlign w:val="center"/>
          </w:tcPr>
          <w:p>
            <w:pPr>
              <w:pStyle w:val="12"/>
            </w:pPr>
            <w:r>
              <w:t>保障基层武装部规范化建设达标率</w:t>
            </w:r>
          </w:p>
        </w:tc>
        <w:tc>
          <w:tcPr>
            <w:tcW w:w="2268" w:type="dxa"/>
            <w:vAlign w:val="center"/>
          </w:tcPr>
          <w:p>
            <w:pPr>
              <w:pStyle w:val="12"/>
            </w:pPr>
            <w:r>
              <w:t>≥95%</w:t>
            </w:r>
          </w:p>
        </w:tc>
        <w:tc>
          <w:tcPr>
            <w:tcW w:w="1276" w:type="dxa"/>
            <w:vAlign w:val="center"/>
          </w:tcPr>
          <w:p>
            <w:pPr>
              <w:pStyle w:val="12"/>
            </w:pPr>
            <w:r>
              <w:t>保障基层武装部规范化建设达标率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重点项目按计划完成率</w:t>
            </w:r>
          </w:p>
        </w:tc>
        <w:tc>
          <w:tcPr>
            <w:tcW w:w="5386" w:type="dxa"/>
            <w:vAlign w:val="center"/>
          </w:tcPr>
          <w:p>
            <w:pPr>
              <w:pStyle w:val="12"/>
            </w:pPr>
            <w:r>
              <w:t>重点项目按计划完成率</w:t>
            </w:r>
          </w:p>
        </w:tc>
        <w:tc>
          <w:tcPr>
            <w:tcW w:w="2268" w:type="dxa"/>
            <w:vAlign w:val="center"/>
          </w:tcPr>
          <w:p>
            <w:pPr>
              <w:pStyle w:val="12"/>
            </w:pPr>
            <w:r>
              <w:t>≥95%</w:t>
            </w:r>
          </w:p>
        </w:tc>
        <w:tc>
          <w:tcPr>
            <w:tcW w:w="1276" w:type="dxa"/>
            <w:vAlign w:val="center"/>
          </w:tcPr>
          <w:p>
            <w:pPr>
              <w:pStyle w:val="12"/>
            </w:pPr>
            <w:r>
              <w:t>重点项目按计划完成率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党员人均活动经费</w:t>
            </w:r>
          </w:p>
        </w:tc>
        <w:tc>
          <w:tcPr>
            <w:tcW w:w="5386" w:type="dxa"/>
            <w:vAlign w:val="center"/>
          </w:tcPr>
          <w:p>
            <w:pPr>
              <w:pStyle w:val="12"/>
            </w:pPr>
            <w:r>
              <w:t>党员人均活动经费</w:t>
            </w:r>
          </w:p>
        </w:tc>
        <w:tc>
          <w:tcPr>
            <w:tcW w:w="2268" w:type="dxa"/>
            <w:vAlign w:val="center"/>
          </w:tcPr>
          <w:p>
            <w:pPr>
              <w:pStyle w:val="12"/>
            </w:pPr>
            <w:r>
              <w:t>≤100元</w:t>
            </w:r>
          </w:p>
        </w:tc>
        <w:tc>
          <w:tcPr>
            <w:tcW w:w="1276" w:type="dxa"/>
            <w:vAlign w:val="center"/>
          </w:tcPr>
          <w:p>
            <w:pPr>
              <w:pStyle w:val="12"/>
            </w:pPr>
            <w:r>
              <w:t>党员人均活动经费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促进全镇域内经济水平提高</w:t>
            </w:r>
          </w:p>
        </w:tc>
        <w:tc>
          <w:tcPr>
            <w:tcW w:w="5386" w:type="dxa"/>
            <w:vAlign w:val="center"/>
          </w:tcPr>
          <w:p>
            <w:pPr>
              <w:pStyle w:val="12"/>
            </w:pPr>
            <w:r>
              <w:t>促进全镇域内经济水平提高</w:t>
            </w:r>
          </w:p>
        </w:tc>
        <w:tc>
          <w:tcPr>
            <w:tcW w:w="2268" w:type="dxa"/>
            <w:vAlign w:val="center"/>
          </w:tcPr>
          <w:p>
            <w:pPr>
              <w:pStyle w:val="12"/>
            </w:pPr>
            <w:r>
              <w:t>≥90%</w:t>
            </w:r>
          </w:p>
        </w:tc>
        <w:tc>
          <w:tcPr>
            <w:tcW w:w="1276" w:type="dxa"/>
            <w:vAlign w:val="center"/>
          </w:tcPr>
          <w:p>
            <w:pPr>
              <w:pStyle w:val="12"/>
            </w:pPr>
            <w:r>
              <w:t>促进全镇域内经济水平提高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民兵参加重大演习，临时任务参与率</w:t>
            </w:r>
          </w:p>
        </w:tc>
        <w:tc>
          <w:tcPr>
            <w:tcW w:w="5386" w:type="dxa"/>
            <w:vAlign w:val="center"/>
          </w:tcPr>
          <w:p>
            <w:pPr>
              <w:pStyle w:val="12"/>
            </w:pPr>
            <w:r>
              <w:t>民兵参加重大演习，临时任务参与率</w:t>
            </w:r>
          </w:p>
        </w:tc>
        <w:tc>
          <w:tcPr>
            <w:tcW w:w="2268" w:type="dxa"/>
            <w:vAlign w:val="center"/>
          </w:tcPr>
          <w:p>
            <w:pPr>
              <w:pStyle w:val="12"/>
            </w:pPr>
            <w:r>
              <w:t>≥95%</w:t>
            </w:r>
          </w:p>
        </w:tc>
        <w:tc>
          <w:tcPr>
            <w:tcW w:w="1276" w:type="dxa"/>
            <w:vAlign w:val="center"/>
          </w:tcPr>
          <w:p>
            <w:pPr>
              <w:pStyle w:val="12"/>
            </w:pPr>
            <w:r>
              <w:t>民兵参加重大演习，临时任务参与率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≥90%</w:t>
            </w:r>
          </w:p>
        </w:tc>
        <w:tc>
          <w:tcPr>
            <w:tcW w:w="1276" w:type="dxa"/>
            <w:vAlign w:val="center"/>
          </w:tcPr>
          <w:p>
            <w:pPr>
              <w:pStyle w:val="12"/>
            </w:pPr>
            <w:r>
              <w:t>对区域生态改善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档案收集与管理</w:t>
            </w:r>
          </w:p>
        </w:tc>
        <w:tc>
          <w:tcPr>
            <w:tcW w:w="5386" w:type="dxa"/>
            <w:vAlign w:val="center"/>
          </w:tcPr>
          <w:p>
            <w:pPr>
              <w:pStyle w:val="12"/>
            </w:pPr>
            <w:r>
              <w:t>反映档案资料完整率</w:t>
            </w:r>
          </w:p>
        </w:tc>
        <w:tc>
          <w:tcPr>
            <w:tcW w:w="2268" w:type="dxa"/>
            <w:vAlign w:val="center"/>
          </w:tcPr>
          <w:p>
            <w:pPr>
              <w:pStyle w:val="12"/>
            </w:pPr>
            <w:r>
              <w:t>≥95%</w:t>
            </w:r>
          </w:p>
        </w:tc>
        <w:tc>
          <w:tcPr>
            <w:tcW w:w="1276" w:type="dxa"/>
            <w:vAlign w:val="center"/>
          </w:tcPr>
          <w:p>
            <w:pPr>
              <w:pStyle w:val="12"/>
            </w:pPr>
            <w:r>
              <w:t>反映档案资料完整率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群众对政府工作满意度</w:t>
            </w:r>
          </w:p>
        </w:tc>
        <w:tc>
          <w:tcPr>
            <w:tcW w:w="5386" w:type="dxa"/>
            <w:vAlign w:val="center"/>
          </w:tcPr>
          <w:p>
            <w:pPr>
              <w:pStyle w:val="12"/>
            </w:pPr>
            <w:r>
              <w:t>群众对政府工作满意度</w:t>
            </w:r>
          </w:p>
        </w:tc>
        <w:tc>
          <w:tcPr>
            <w:tcW w:w="2268" w:type="dxa"/>
            <w:vAlign w:val="center"/>
          </w:tcPr>
          <w:p>
            <w:pPr>
              <w:pStyle w:val="12"/>
            </w:pPr>
            <w:r>
              <w:t>≥95%</w:t>
            </w:r>
          </w:p>
        </w:tc>
        <w:tc>
          <w:tcPr>
            <w:tcW w:w="1276" w:type="dxa"/>
            <w:vAlign w:val="center"/>
          </w:tcPr>
          <w:p>
            <w:pPr>
              <w:pStyle w:val="12"/>
            </w:pPr>
            <w:r>
              <w:t>群众对政府工作满意度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13020525P00008610033E</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符合条件人员应奖尽奖，奖励金发放无差错、无遗漏。确保独生子女退休时一次性奖励政策精准、高效执行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1.符合条件人员应奖尽奖，奖励金发放无差错、无遗漏。确保独生子女退休时一次性奖励政策精准、高效执行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奖励扶助人数</w:t>
            </w:r>
          </w:p>
        </w:tc>
        <w:tc>
          <w:tcPr>
            <w:tcW w:w="5386" w:type="dxa"/>
            <w:vAlign w:val="center"/>
          </w:tcPr>
          <w:p>
            <w:pPr>
              <w:pStyle w:val="12"/>
            </w:pPr>
            <w:r>
              <w:t>奖励扶助人数</w:t>
            </w:r>
          </w:p>
        </w:tc>
        <w:tc>
          <w:tcPr>
            <w:tcW w:w="2268" w:type="dxa"/>
            <w:vAlign w:val="center"/>
          </w:tcPr>
          <w:p>
            <w:pPr>
              <w:pStyle w:val="12"/>
            </w:pPr>
            <w:r>
              <w:t>奖励扶助人数3个</w:t>
            </w:r>
          </w:p>
        </w:tc>
        <w:tc>
          <w:tcPr>
            <w:tcW w:w="1276" w:type="dxa"/>
            <w:vAlign w:val="center"/>
          </w:tcPr>
          <w:p>
            <w:pPr>
              <w:pStyle w:val="12"/>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计划生育家庭特别扶助</w:t>
            </w:r>
          </w:p>
        </w:tc>
        <w:tc>
          <w:tcPr>
            <w:tcW w:w="5386" w:type="dxa"/>
            <w:vAlign w:val="center"/>
          </w:tcPr>
          <w:p>
            <w:pPr>
              <w:pStyle w:val="12"/>
            </w:pPr>
            <w:r>
              <w:t>计划生育家庭特别扶助</w:t>
            </w:r>
          </w:p>
        </w:tc>
        <w:tc>
          <w:tcPr>
            <w:tcW w:w="2268" w:type="dxa"/>
            <w:vAlign w:val="center"/>
          </w:tcPr>
          <w:p>
            <w:pPr>
              <w:pStyle w:val="12"/>
            </w:pPr>
            <w:r>
              <w:t>≥95%</w:t>
            </w:r>
          </w:p>
        </w:tc>
        <w:tc>
          <w:tcPr>
            <w:tcW w:w="1276" w:type="dxa"/>
            <w:vAlign w:val="center"/>
          </w:tcPr>
          <w:p>
            <w:pPr>
              <w:pStyle w:val="12"/>
            </w:pPr>
            <w:r>
              <w:t>计划生育家庭特别扶助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5386" w:type="dxa"/>
            <w:vAlign w:val="center"/>
          </w:tcPr>
          <w:p>
            <w:pPr>
              <w:pStyle w:val="12"/>
            </w:pPr>
            <w:r>
              <w:t>支付时效</w:t>
            </w:r>
          </w:p>
        </w:tc>
        <w:tc>
          <w:tcPr>
            <w:tcW w:w="2268" w:type="dxa"/>
            <w:vAlign w:val="center"/>
          </w:tcPr>
          <w:p>
            <w:pPr>
              <w:pStyle w:val="12"/>
            </w:pPr>
            <w:r>
              <w:t>≥95%</w:t>
            </w:r>
          </w:p>
        </w:tc>
        <w:tc>
          <w:tcPr>
            <w:tcW w:w="1276" w:type="dxa"/>
            <w:vAlign w:val="center"/>
          </w:tcPr>
          <w:p>
            <w:pPr>
              <w:pStyle w:val="12"/>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实际支出与预算的偏差率</w:t>
            </w:r>
          </w:p>
        </w:tc>
        <w:tc>
          <w:tcPr>
            <w:tcW w:w="5386" w:type="dxa"/>
            <w:vAlign w:val="center"/>
          </w:tcPr>
          <w:p>
            <w:pPr>
              <w:pStyle w:val="12"/>
            </w:pPr>
            <w:r>
              <w:t>实际支出与预算的偏差率</w:t>
            </w:r>
          </w:p>
        </w:tc>
        <w:tc>
          <w:tcPr>
            <w:tcW w:w="2268" w:type="dxa"/>
            <w:vAlign w:val="center"/>
          </w:tcPr>
          <w:p>
            <w:pPr>
              <w:pStyle w:val="12"/>
            </w:pPr>
            <w:r>
              <w:t>≤10%</w:t>
            </w:r>
          </w:p>
        </w:tc>
        <w:tc>
          <w:tcPr>
            <w:tcW w:w="1276" w:type="dxa"/>
            <w:vAlign w:val="center"/>
          </w:tcPr>
          <w:p>
            <w:pPr>
              <w:pStyle w:val="12"/>
            </w:pPr>
            <w:r>
              <w:t>实际支出与预算的偏差率</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计划生育特殊家庭参加城乡居民养老提标</w:t>
            </w:r>
          </w:p>
        </w:tc>
        <w:tc>
          <w:tcPr>
            <w:tcW w:w="5386" w:type="dxa"/>
            <w:vAlign w:val="center"/>
          </w:tcPr>
          <w:p>
            <w:pPr>
              <w:pStyle w:val="12"/>
            </w:pPr>
            <w:r>
              <w:t>计划生育特殊家庭参加城乡居民养老提标</w:t>
            </w:r>
          </w:p>
        </w:tc>
        <w:tc>
          <w:tcPr>
            <w:tcW w:w="2268" w:type="dxa"/>
            <w:vAlign w:val="center"/>
          </w:tcPr>
          <w:p>
            <w:pPr>
              <w:pStyle w:val="12"/>
            </w:pPr>
            <w:r>
              <w:t>≥95%</w:t>
            </w:r>
          </w:p>
        </w:tc>
        <w:tc>
          <w:tcPr>
            <w:tcW w:w="1276" w:type="dxa"/>
            <w:vAlign w:val="center"/>
          </w:tcPr>
          <w:p>
            <w:pPr>
              <w:pStyle w:val="12"/>
            </w:pPr>
            <w:r>
              <w:t>计划生育特殊家庭参加城乡居民养老提标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≥95%</w:t>
            </w:r>
          </w:p>
        </w:tc>
        <w:tc>
          <w:tcPr>
            <w:tcW w:w="1276" w:type="dxa"/>
            <w:vAlign w:val="center"/>
          </w:tcPr>
          <w:p>
            <w:pPr>
              <w:pStyle w:val="12"/>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计划生育家庭幸福指数</w:t>
            </w:r>
          </w:p>
        </w:tc>
        <w:tc>
          <w:tcPr>
            <w:tcW w:w="5386" w:type="dxa"/>
            <w:vAlign w:val="center"/>
          </w:tcPr>
          <w:p>
            <w:pPr>
              <w:pStyle w:val="12"/>
            </w:pPr>
            <w:r>
              <w:t>计划生育家庭幸福指数</w:t>
            </w:r>
          </w:p>
        </w:tc>
        <w:tc>
          <w:tcPr>
            <w:tcW w:w="2268" w:type="dxa"/>
            <w:vAlign w:val="center"/>
          </w:tcPr>
          <w:p>
            <w:pPr>
              <w:pStyle w:val="12"/>
            </w:pPr>
            <w:r>
              <w:t>不断提升</w:t>
            </w:r>
          </w:p>
        </w:tc>
        <w:tc>
          <w:tcPr>
            <w:tcW w:w="1276" w:type="dxa"/>
            <w:vAlign w:val="center"/>
          </w:tcPr>
          <w:p>
            <w:pPr>
              <w:pStyle w:val="12"/>
            </w:pPr>
            <w:r>
              <w:t>计划生育家庭幸福指数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3、本级景观绿化费绩效目标表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13020525P00897010004F</w:t>
            </w:r>
          </w:p>
        </w:tc>
        <w:tc>
          <w:tcPr>
            <w:tcW w:w="2835" w:type="dxa"/>
            <w:vAlign w:val="center"/>
          </w:tcPr>
          <w:p>
            <w:pPr>
              <w:pStyle w:val="10"/>
            </w:pPr>
            <w:r>
              <w:t>项目名称</w:t>
            </w:r>
          </w:p>
        </w:tc>
        <w:tc>
          <w:tcPr>
            <w:tcW w:w="6095" w:type="dxa"/>
            <w:gridSpan w:val="3"/>
            <w:vAlign w:val="center"/>
          </w:tcPr>
          <w:p>
            <w:pPr>
              <w:pStyle w:val="12"/>
            </w:pPr>
            <w:r>
              <w:t>本级景观绿化费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77.99</w:t>
            </w:r>
          </w:p>
        </w:tc>
        <w:tc>
          <w:tcPr>
            <w:tcW w:w="2835" w:type="dxa"/>
            <w:vAlign w:val="center"/>
          </w:tcPr>
          <w:p>
            <w:pPr>
              <w:pStyle w:val="10"/>
            </w:pPr>
            <w:r>
              <w:t>其中：财政    资金</w:t>
            </w:r>
          </w:p>
        </w:tc>
        <w:tc>
          <w:tcPr>
            <w:tcW w:w="2551" w:type="dxa"/>
            <w:vAlign w:val="center"/>
          </w:tcPr>
          <w:p>
            <w:pPr>
              <w:pStyle w:val="12"/>
            </w:pPr>
            <w:r>
              <w:t>77.99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景观绿化用地，保证失地农民的生活，维护社会稳定。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1.景观绿化用地，保证失地农民的生活，维护社会稳定。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开展群众安全感调查次数</w:t>
            </w:r>
          </w:p>
        </w:tc>
        <w:tc>
          <w:tcPr>
            <w:tcW w:w="5386" w:type="dxa"/>
            <w:vAlign w:val="center"/>
          </w:tcPr>
          <w:p>
            <w:pPr>
              <w:pStyle w:val="12"/>
            </w:pPr>
            <w:r>
              <w:t>开展群众安全感调查次数</w:t>
            </w:r>
          </w:p>
        </w:tc>
        <w:tc>
          <w:tcPr>
            <w:tcW w:w="2268" w:type="dxa"/>
            <w:vAlign w:val="center"/>
          </w:tcPr>
          <w:p>
            <w:pPr>
              <w:pStyle w:val="12"/>
            </w:pPr>
            <w:r>
              <w:t>≥4次</w:t>
            </w:r>
          </w:p>
        </w:tc>
        <w:tc>
          <w:tcPr>
            <w:tcW w:w="1276" w:type="dxa"/>
            <w:vAlign w:val="center"/>
          </w:tcPr>
          <w:p>
            <w:pPr>
              <w:pStyle w:val="12"/>
            </w:pPr>
            <w:r>
              <w:t>开展群众安全感调查次数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园林绿化</w:t>
            </w:r>
          </w:p>
        </w:tc>
        <w:tc>
          <w:tcPr>
            <w:tcW w:w="5386" w:type="dxa"/>
            <w:vAlign w:val="center"/>
          </w:tcPr>
          <w:p>
            <w:pPr>
              <w:pStyle w:val="12"/>
            </w:pPr>
            <w:r>
              <w:t>园林绿化</w:t>
            </w:r>
          </w:p>
        </w:tc>
        <w:tc>
          <w:tcPr>
            <w:tcW w:w="2268" w:type="dxa"/>
            <w:vAlign w:val="center"/>
          </w:tcPr>
          <w:p>
            <w:pPr>
              <w:pStyle w:val="12"/>
            </w:pPr>
            <w:r>
              <w:t>≥95%</w:t>
            </w:r>
          </w:p>
        </w:tc>
        <w:tc>
          <w:tcPr>
            <w:tcW w:w="1276" w:type="dxa"/>
            <w:vAlign w:val="center"/>
          </w:tcPr>
          <w:p>
            <w:pPr>
              <w:pStyle w:val="12"/>
            </w:pPr>
            <w:r>
              <w:t>园林绿化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≥95%</w:t>
            </w:r>
          </w:p>
        </w:tc>
        <w:tc>
          <w:tcPr>
            <w:tcW w:w="1276" w:type="dxa"/>
            <w:vAlign w:val="center"/>
          </w:tcPr>
          <w:p>
            <w:pPr>
              <w:pStyle w:val="12"/>
            </w:pPr>
            <w:r>
              <w:t>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开展工作成本控制率</w:t>
            </w:r>
          </w:p>
        </w:tc>
        <w:tc>
          <w:tcPr>
            <w:tcW w:w="5386" w:type="dxa"/>
            <w:vAlign w:val="center"/>
          </w:tcPr>
          <w:p>
            <w:pPr>
              <w:pStyle w:val="12"/>
            </w:pPr>
            <w:r>
              <w:t>开展工作成本控制率</w:t>
            </w:r>
          </w:p>
        </w:tc>
        <w:tc>
          <w:tcPr>
            <w:tcW w:w="2268" w:type="dxa"/>
            <w:vAlign w:val="center"/>
          </w:tcPr>
          <w:p>
            <w:pPr>
              <w:pStyle w:val="12"/>
            </w:pPr>
            <w:r>
              <w:t>≤10%</w:t>
            </w:r>
          </w:p>
        </w:tc>
        <w:tc>
          <w:tcPr>
            <w:tcW w:w="1276" w:type="dxa"/>
            <w:vAlign w:val="center"/>
          </w:tcPr>
          <w:p>
            <w:pPr>
              <w:pStyle w:val="12"/>
            </w:pPr>
            <w:r>
              <w:t>开展工作成本控制率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拉动地方经济发展</w:t>
            </w:r>
          </w:p>
        </w:tc>
        <w:tc>
          <w:tcPr>
            <w:tcW w:w="2268" w:type="dxa"/>
            <w:vAlign w:val="center"/>
          </w:tcPr>
          <w:p>
            <w:pPr>
              <w:pStyle w:val="12"/>
            </w:pPr>
            <w:r>
              <w:t>≥95%</w:t>
            </w:r>
          </w:p>
        </w:tc>
        <w:tc>
          <w:tcPr>
            <w:tcW w:w="1276" w:type="dxa"/>
            <w:vAlign w:val="center"/>
          </w:tcPr>
          <w:p>
            <w:pPr>
              <w:pStyle w:val="12"/>
            </w:pPr>
            <w:r>
              <w:t>拉动地方经济发展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促进地方经济发展</w:t>
            </w:r>
          </w:p>
        </w:tc>
        <w:tc>
          <w:tcPr>
            <w:tcW w:w="5386" w:type="dxa"/>
            <w:vAlign w:val="center"/>
          </w:tcPr>
          <w:p>
            <w:pPr>
              <w:pStyle w:val="12"/>
            </w:pPr>
            <w:r>
              <w:t>促进地方经济发展</w:t>
            </w:r>
          </w:p>
        </w:tc>
        <w:tc>
          <w:tcPr>
            <w:tcW w:w="2268" w:type="dxa"/>
            <w:vAlign w:val="center"/>
          </w:tcPr>
          <w:p>
            <w:pPr>
              <w:pStyle w:val="12"/>
            </w:pPr>
            <w:r>
              <w:t>≥95%</w:t>
            </w:r>
          </w:p>
        </w:tc>
        <w:tc>
          <w:tcPr>
            <w:tcW w:w="1276" w:type="dxa"/>
            <w:vAlign w:val="center"/>
          </w:tcPr>
          <w:p>
            <w:pPr>
              <w:pStyle w:val="12"/>
            </w:pPr>
            <w:r>
              <w:t>促进地方经济发展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改善生态环境质量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≥95%</w:t>
            </w:r>
          </w:p>
        </w:tc>
        <w:tc>
          <w:tcPr>
            <w:tcW w:w="1276" w:type="dxa"/>
            <w:vAlign w:val="center"/>
          </w:tcPr>
          <w:p>
            <w:pPr>
              <w:pStyle w:val="12"/>
            </w:pPr>
            <w:r>
              <w:t>提升人员素质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≥95%</w:t>
            </w:r>
          </w:p>
        </w:tc>
        <w:tc>
          <w:tcPr>
            <w:tcW w:w="1276" w:type="dxa"/>
            <w:vAlign w:val="center"/>
          </w:tcPr>
          <w:p>
            <w:pPr>
              <w:pStyle w:val="12"/>
            </w:pPr>
            <w:r>
              <w:t>人民群众满意度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4、本级森林防火资金绩效目标表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13020525P00913010001C</w:t>
            </w:r>
          </w:p>
        </w:tc>
        <w:tc>
          <w:tcPr>
            <w:tcW w:w="2835" w:type="dxa"/>
            <w:vAlign w:val="center"/>
          </w:tcPr>
          <w:p>
            <w:pPr>
              <w:pStyle w:val="10"/>
            </w:pPr>
            <w:r>
              <w:t>项目名称</w:t>
            </w:r>
          </w:p>
        </w:tc>
        <w:tc>
          <w:tcPr>
            <w:tcW w:w="6095" w:type="dxa"/>
            <w:gridSpan w:val="3"/>
            <w:vAlign w:val="center"/>
          </w:tcPr>
          <w:p>
            <w:pPr>
              <w:pStyle w:val="12"/>
            </w:pPr>
            <w:r>
              <w:t>本级森林防火资金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为预防森林火灾，双桥镇为省级森林小镇，山林总面积约3万余亩，保证人们的生命财产安全，保护生态环境，维护社会稳定，特申请防火款项目。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1.为预防森林火灾，双桥镇为省级森林小镇，山林总面积约3万余亩，保证人们的生命财产安全，保护生态环境，维护社会稳定，特申请防火款项目。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开展环保专项行动次数</w:t>
            </w:r>
          </w:p>
        </w:tc>
        <w:tc>
          <w:tcPr>
            <w:tcW w:w="5386" w:type="dxa"/>
            <w:vAlign w:val="center"/>
          </w:tcPr>
          <w:p>
            <w:pPr>
              <w:pStyle w:val="12"/>
            </w:pPr>
            <w:r>
              <w:t>开展环保专项行动次数</w:t>
            </w:r>
          </w:p>
        </w:tc>
        <w:tc>
          <w:tcPr>
            <w:tcW w:w="2268" w:type="dxa"/>
            <w:vAlign w:val="center"/>
          </w:tcPr>
          <w:p>
            <w:pPr>
              <w:pStyle w:val="12"/>
            </w:pPr>
            <w:r>
              <w:t>≥5次</w:t>
            </w:r>
          </w:p>
        </w:tc>
        <w:tc>
          <w:tcPr>
            <w:tcW w:w="1276" w:type="dxa"/>
            <w:vAlign w:val="center"/>
          </w:tcPr>
          <w:p>
            <w:pPr>
              <w:pStyle w:val="12"/>
            </w:pPr>
            <w:r>
              <w:t>开展环保专项行动次数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开展环境保障工作质量</w:t>
            </w:r>
          </w:p>
        </w:tc>
        <w:tc>
          <w:tcPr>
            <w:tcW w:w="5386" w:type="dxa"/>
            <w:vAlign w:val="center"/>
          </w:tcPr>
          <w:p>
            <w:pPr>
              <w:pStyle w:val="12"/>
            </w:pPr>
            <w:r>
              <w:t>开展环境保障工作质量</w:t>
            </w:r>
          </w:p>
        </w:tc>
        <w:tc>
          <w:tcPr>
            <w:tcW w:w="2268" w:type="dxa"/>
            <w:vAlign w:val="center"/>
          </w:tcPr>
          <w:p>
            <w:pPr>
              <w:pStyle w:val="12"/>
            </w:pPr>
            <w:r>
              <w:t>≥95%</w:t>
            </w:r>
          </w:p>
        </w:tc>
        <w:tc>
          <w:tcPr>
            <w:tcW w:w="1276" w:type="dxa"/>
            <w:vAlign w:val="center"/>
          </w:tcPr>
          <w:p>
            <w:pPr>
              <w:pStyle w:val="12"/>
            </w:pPr>
            <w:r>
              <w:t>开展环境保障工作质量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资金按时拨付</w:t>
            </w:r>
          </w:p>
        </w:tc>
        <w:tc>
          <w:tcPr>
            <w:tcW w:w="2268" w:type="dxa"/>
            <w:vAlign w:val="center"/>
          </w:tcPr>
          <w:p>
            <w:pPr>
              <w:pStyle w:val="12"/>
            </w:pPr>
            <w:r>
              <w:t>≥95%</w:t>
            </w:r>
          </w:p>
        </w:tc>
        <w:tc>
          <w:tcPr>
            <w:tcW w:w="1276" w:type="dxa"/>
            <w:vAlign w:val="center"/>
          </w:tcPr>
          <w:p>
            <w:pPr>
              <w:pStyle w:val="12"/>
            </w:pPr>
            <w:r>
              <w:t>资金按时拨付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开展工作成本控制率</w:t>
            </w:r>
          </w:p>
        </w:tc>
        <w:tc>
          <w:tcPr>
            <w:tcW w:w="5386" w:type="dxa"/>
            <w:vAlign w:val="center"/>
          </w:tcPr>
          <w:p>
            <w:pPr>
              <w:pStyle w:val="12"/>
            </w:pPr>
            <w:r>
              <w:t>开展工作成本控制率</w:t>
            </w:r>
          </w:p>
        </w:tc>
        <w:tc>
          <w:tcPr>
            <w:tcW w:w="2268" w:type="dxa"/>
            <w:vAlign w:val="center"/>
          </w:tcPr>
          <w:p>
            <w:pPr>
              <w:pStyle w:val="12"/>
            </w:pPr>
            <w:r>
              <w:t>≤10%</w:t>
            </w:r>
          </w:p>
        </w:tc>
        <w:tc>
          <w:tcPr>
            <w:tcW w:w="1276" w:type="dxa"/>
            <w:vAlign w:val="center"/>
          </w:tcPr>
          <w:p>
            <w:pPr>
              <w:pStyle w:val="12"/>
            </w:pPr>
            <w:r>
              <w:t>开展工作成本控制率</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≥95%</w:t>
            </w:r>
          </w:p>
        </w:tc>
        <w:tc>
          <w:tcPr>
            <w:tcW w:w="1276" w:type="dxa"/>
            <w:vAlign w:val="center"/>
          </w:tcPr>
          <w:p>
            <w:pPr>
              <w:pStyle w:val="12"/>
            </w:pPr>
            <w:r>
              <w:t>项目工程完成情况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项目对社会效益提升比</w:t>
            </w:r>
          </w:p>
        </w:tc>
        <w:tc>
          <w:tcPr>
            <w:tcW w:w="5386" w:type="dxa"/>
            <w:vAlign w:val="center"/>
          </w:tcPr>
          <w:p>
            <w:pPr>
              <w:pStyle w:val="12"/>
            </w:pPr>
            <w:r>
              <w:t>项目对社会效益提升比</w:t>
            </w:r>
          </w:p>
        </w:tc>
        <w:tc>
          <w:tcPr>
            <w:tcW w:w="2268" w:type="dxa"/>
            <w:vAlign w:val="center"/>
          </w:tcPr>
          <w:p>
            <w:pPr>
              <w:pStyle w:val="12"/>
            </w:pPr>
            <w:r>
              <w:t>≥95%</w:t>
            </w:r>
          </w:p>
        </w:tc>
        <w:tc>
          <w:tcPr>
            <w:tcW w:w="1276" w:type="dxa"/>
            <w:vAlign w:val="center"/>
          </w:tcPr>
          <w:p>
            <w:pPr>
              <w:pStyle w:val="12"/>
            </w:pPr>
            <w:r>
              <w:t>项目对社会效益提升比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大气质量环境得到显著改善</w:t>
            </w:r>
          </w:p>
        </w:tc>
        <w:tc>
          <w:tcPr>
            <w:tcW w:w="5386" w:type="dxa"/>
            <w:vAlign w:val="center"/>
          </w:tcPr>
          <w:p>
            <w:pPr>
              <w:pStyle w:val="12"/>
            </w:pPr>
            <w:r>
              <w:t>大气质量环境得到显著改善</w:t>
            </w:r>
          </w:p>
        </w:tc>
        <w:tc>
          <w:tcPr>
            <w:tcW w:w="2268" w:type="dxa"/>
            <w:vAlign w:val="center"/>
          </w:tcPr>
          <w:p>
            <w:pPr>
              <w:pStyle w:val="12"/>
            </w:pPr>
            <w:r>
              <w:t>≥95%</w:t>
            </w:r>
          </w:p>
        </w:tc>
        <w:tc>
          <w:tcPr>
            <w:tcW w:w="1276" w:type="dxa"/>
            <w:vAlign w:val="center"/>
          </w:tcPr>
          <w:p>
            <w:pPr>
              <w:pStyle w:val="12"/>
            </w:pPr>
            <w:r>
              <w:t>大气质量环境得到显著改善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促进我镇生态环境可持续发展</w:t>
            </w:r>
          </w:p>
        </w:tc>
        <w:tc>
          <w:tcPr>
            <w:tcW w:w="5386" w:type="dxa"/>
            <w:vAlign w:val="center"/>
          </w:tcPr>
          <w:p>
            <w:pPr>
              <w:pStyle w:val="12"/>
            </w:pPr>
            <w:r>
              <w:t>促进我镇生态环境可持续发展</w:t>
            </w:r>
          </w:p>
        </w:tc>
        <w:tc>
          <w:tcPr>
            <w:tcW w:w="2268" w:type="dxa"/>
            <w:vAlign w:val="center"/>
          </w:tcPr>
          <w:p>
            <w:pPr>
              <w:pStyle w:val="12"/>
            </w:pPr>
            <w:r>
              <w:t>≥95%</w:t>
            </w:r>
          </w:p>
        </w:tc>
        <w:tc>
          <w:tcPr>
            <w:tcW w:w="1276" w:type="dxa"/>
            <w:vAlign w:val="center"/>
          </w:tcPr>
          <w:p>
            <w:pPr>
              <w:pStyle w:val="12"/>
            </w:pPr>
            <w:r>
              <w:t>促进我镇生态环境可持续发展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5、本级双桥镇乡村振兴工作资金绩效目标表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13020525P00912810001J</w:t>
            </w:r>
          </w:p>
        </w:tc>
        <w:tc>
          <w:tcPr>
            <w:tcW w:w="2835" w:type="dxa"/>
            <w:vAlign w:val="center"/>
          </w:tcPr>
          <w:p>
            <w:pPr>
              <w:pStyle w:val="10"/>
            </w:pPr>
            <w:r>
              <w:t>项目名称</w:t>
            </w:r>
          </w:p>
        </w:tc>
        <w:tc>
          <w:tcPr>
            <w:tcW w:w="6095" w:type="dxa"/>
            <w:gridSpan w:val="3"/>
            <w:vAlign w:val="center"/>
          </w:tcPr>
          <w:p>
            <w:pPr>
              <w:pStyle w:val="12"/>
            </w:pPr>
            <w:r>
              <w:t>本级双桥镇乡村振兴工作资金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乡村振兴工作经费，努力实现建设“生态宜居小镇，多彩生态双桥”的发展目标，为加快全域乡村振兴建设工作步伐，保障镇村工作顺利开展。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1.乡村振兴工作经费，努力实现建设“生态宜居小镇，多彩生态双桥”的发展目标，为加快全域乡村振兴建设工作步伐，保障镇村工作顺利开展。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其他各项综合实务工作完成率</w:t>
            </w:r>
          </w:p>
        </w:tc>
        <w:tc>
          <w:tcPr>
            <w:tcW w:w="5386" w:type="dxa"/>
            <w:vAlign w:val="center"/>
          </w:tcPr>
          <w:p>
            <w:pPr>
              <w:pStyle w:val="12"/>
            </w:pPr>
            <w:r>
              <w:t>其他各项综合实务工作完成率</w:t>
            </w:r>
          </w:p>
        </w:tc>
        <w:tc>
          <w:tcPr>
            <w:tcW w:w="2268" w:type="dxa"/>
            <w:vAlign w:val="center"/>
          </w:tcPr>
          <w:p>
            <w:pPr>
              <w:pStyle w:val="12"/>
            </w:pPr>
            <w:r>
              <w:t>≥95%</w:t>
            </w:r>
          </w:p>
        </w:tc>
        <w:tc>
          <w:tcPr>
            <w:tcW w:w="1276" w:type="dxa"/>
            <w:vAlign w:val="center"/>
          </w:tcPr>
          <w:p>
            <w:pPr>
              <w:pStyle w:val="12"/>
            </w:pPr>
            <w:r>
              <w:t>其他各项综合实务工作完成率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推进乡村治理工作数</w:t>
            </w:r>
          </w:p>
        </w:tc>
        <w:tc>
          <w:tcPr>
            <w:tcW w:w="5386" w:type="dxa"/>
            <w:vAlign w:val="center"/>
          </w:tcPr>
          <w:p>
            <w:pPr>
              <w:pStyle w:val="12"/>
            </w:pPr>
            <w:r>
              <w:t>推进乡村治理工作数</w:t>
            </w:r>
          </w:p>
        </w:tc>
        <w:tc>
          <w:tcPr>
            <w:tcW w:w="2268" w:type="dxa"/>
            <w:vAlign w:val="center"/>
          </w:tcPr>
          <w:p>
            <w:pPr>
              <w:pStyle w:val="12"/>
            </w:pPr>
            <w:r>
              <w:t>≥10次</w:t>
            </w:r>
          </w:p>
        </w:tc>
        <w:tc>
          <w:tcPr>
            <w:tcW w:w="1276" w:type="dxa"/>
            <w:vAlign w:val="center"/>
          </w:tcPr>
          <w:p>
            <w:pPr>
              <w:pStyle w:val="12"/>
            </w:pPr>
            <w:r>
              <w:t>推进乡村治理工作数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2268" w:type="dxa"/>
            <w:vAlign w:val="center"/>
          </w:tcPr>
          <w:p>
            <w:pPr>
              <w:pStyle w:val="12"/>
            </w:pPr>
            <w:r>
              <w:t>≥95%</w:t>
            </w:r>
          </w:p>
        </w:tc>
        <w:tc>
          <w:tcPr>
            <w:tcW w:w="1276" w:type="dxa"/>
            <w:vAlign w:val="center"/>
          </w:tcPr>
          <w:p>
            <w:pPr>
              <w:pStyle w:val="12"/>
            </w:pPr>
            <w:r>
              <w:t>项目按时完成率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开展工作成本控制率</w:t>
            </w:r>
          </w:p>
        </w:tc>
        <w:tc>
          <w:tcPr>
            <w:tcW w:w="5386" w:type="dxa"/>
            <w:vAlign w:val="center"/>
          </w:tcPr>
          <w:p>
            <w:pPr>
              <w:pStyle w:val="12"/>
            </w:pPr>
            <w:r>
              <w:t>开展工作成本控制率</w:t>
            </w:r>
          </w:p>
        </w:tc>
        <w:tc>
          <w:tcPr>
            <w:tcW w:w="2268" w:type="dxa"/>
            <w:vAlign w:val="center"/>
          </w:tcPr>
          <w:p>
            <w:pPr>
              <w:pStyle w:val="12"/>
            </w:pPr>
            <w:r>
              <w:t>≤10%</w:t>
            </w:r>
          </w:p>
        </w:tc>
        <w:tc>
          <w:tcPr>
            <w:tcW w:w="1276" w:type="dxa"/>
            <w:vAlign w:val="center"/>
          </w:tcPr>
          <w:p>
            <w:pPr>
              <w:pStyle w:val="12"/>
            </w:pPr>
            <w:r>
              <w:t>开展工作成本控制率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≥95%</w:t>
            </w:r>
          </w:p>
        </w:tc>
        <w:tc>
          <w:tcPr>
            <w:tcW w:w="1276" w:type="dxa"/>
            <w:vAlign w:val="center"/>
          </w:tcPr>
          <w:p>
            <w:pPr>
              <w:pStyle w:val="12"/>
            </w:pPr>
            <w:r>
              <w:t>项目工程完成情况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项目对社会效益提升比</w:t>
            </w:r>
          </w:p>
        </w:tc>
        <w:tc>
          <w:tcPr>
            <w:tcW w:w="5386" w:type="dxa"/>
            <w:vAlign w:val="center"/>
          </w:tcPr>
          <w:p>
            <w:pPr>
              <w:pStyle w:val="12"/>
            </w:pPr>
            <w:r>
              <w:t>项目对社会效益提升比</w:t>
            </w:r>
          </w:p>
        </w:tc>
        <w:tc>
          <w:tcPr>
            <w:tcW w:w="2268" w:type="dxa"/>
            <w:vAlign w:val="center"/>
          </w:tcPr>
          <w:p>
            <w:pPr>
              <w:pStyle w:val="12"/>
            </w:pPr>
            <w:r>
              <w:t>≥95%</w:t>
            </w:r>
          </w:p>
        </w:tc>
        <w:tc>
          <w:tcPr>
            <w:tcW w:w="1276" w:type="dxa"/>
            <w:vAlign w:val="center"/>
          </w:tcPr>
          <w:p>
            <w:pPr>
              <w:pStyle w:val="12"/>
            </w:pPr>
            <w:r>
              <w:t>项目对社会效益提升比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项目对生态效益提升比</w:t>
            </w:r>
          </w:p>
        </w:tc>
        <w:tc>
          <w:tcPr>
            <w:tcW w:w="5386" w:type="dxa"/>
            <w:vAlign w:val="center"/>
          </w:tcPr>
          <w:p>
            <w:pPr>
              <w:pStyle w:val="12"/>
            </w:pPr>
            <w:r>
              <w:t>项目对生态效益提升比</w:t>
            </w:r>
          </w:p>
        </w:tc>
        <w:tc>
          <w:tcPr>
            <w:tcW w:w="2268" w:type="dxa"/>
            <w:vAlign w:val="center"/>
          </w:tcPr>
          <w:p>
            <w:pPr>
              <w:pStyle w:val="12"/>
            </w:pPr>
            <w:r>
              <w:t>≥95%</w:t>
            </w:r>
          </w:p>
        </w:tc>
        <w:tc>
          <w:tcPr>
            <w:tcW w:w="1276" w:type="dxa"/>
            <w:vAlign w:val="center"/>
          </w:tcPr>
          <w:p>
            <w:pPr>
              <w:pStyle w:val="12"/>
            </w:pPr>
            <w:r>
              <w:t>项目对生态效益提升比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项目持续影响效果</w:t>
            </w:r>
          </w:p>
        </w:tc>
        <w:tc>
          <w:tcPr>
            <w:tcW w:w="2268" w:type="dxa"/>
            <w:vAlign w:val="center"/>
          </w:tcPr>
          <w:p>
            <w:pPr>
              <w:pStyle w:val="12"/>
            </w:pPr>
            <w:r>
              <w:t>≥95%</w:t>
            </w:r>
          </w:p>
        </w:tc>
        <w:tc>
          <w:tcPr>
            <w:tcW w:w="1276" w:type="dxa"/>
            <w:vAlign w:val="center"/>
          </w:tcPr>
          <w:p>
            <w:pPr>
              <w:pStyle w:val="12"/>
            </w:pPr>
            <w:r>
              <w:t>项目持续影响效果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6、本级双桥镇援藏干部补贴绩效目标表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13020525P00908210003B</w:t>
            </w:r>
          </w:p>
        </w:tc>
        <w:tc>
          <w:tcPr>
            <w:tcW w:w="2835" w:type="dxa"/>
            <w:vAlign w:val="center"/>
          </w:tcPr>
          <w:p>
            <w:pPr>
              <w:pStyle w:val="10"/>
            </w:pPr>
            <w:r>
              <w:t>项目名称</w:t>
            </w:r>
          </w:p>
        </w:tc>
        <w:tc>
          <w:tcPr>
            <w:tcW w:w="6095" w:type="dxa"/>
            <w:gridSpan w:val="3"/>
            <w:vAlign w:val="center"/>
          </w:tcPr>
          <w:p>
            <w:pPr>
              <w:pStyle w:val="12"/>
            </w:pPr>
            <w:r>
              <w:t>本级双桥镇援藏干部补贴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确保援藏干部工作顺利开展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1.确保援藏干部工作顺利开展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≥1人</w:t>
            </w:r>
          </w:p>
        </w:tc>
        <w:tc>
          <w:tcPr>
            <w:tcW w:w="1276" w:type="dxa"/>
            <w:vAlign w:val="center"/>
          </w:tcPr>
          <w:p>
            <w:pPr>
              <w:pStyle w:val="12"/>
            </w:pPr>
            <w:r>
              <w:tab/>
            </w:r>
          </w:p>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≥95%</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5386" w:type="dxa"/>
            <w:vAlign w:val="center"/>
          </w:tcPr>
          <w:p>
            <w:pPr>
              <w:pStyle w:val="12"/>
            </w:pPr>
            <w:r>
              <w:t>支付时效</w:t>
            </w:r>
          </w:p>
        </w:tc>
        <w:tc>
          <w:tcPr>
            <w:tcW w:w="2268" w:type="dxa"/>
            <w:vAlign w:val="center"/>
          </w:tcPr>
          <w:p>
            <w:pPr>
              <w:pStyle w:val="12"/>
            </w:pPr>
            <w:r>
              <w:t>≥95%</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开展工作成本控制率</w:t>
            </w:r>
          </w:p>
        </w:tc>
        <w:tc>
          <w:tcPr>
            <w:tcW w:w="5386" w:type="dxa"/>
            <w:vAlign w:val="center"/>
          </w:tcPr>
          <w:p>
            <w:pPr>
              <w:pStyle w:val="12"/>
            </w:pPr>
            <w:r>
              <w:t>开展工作成本控制率</w:t>
            </w:r>
          </w:p>
        </w:tc>
        <w:tc>
          <w:tcPr>
            <w:tcW w:w="2268" w:type="dxa"/>
            <w:vAlign w:val="center"/>
          </w:tcPr>
          <w:p>
            <w:pPr>
              <w:pStyle w:val="12"/>
            </w:pPr>
            <w:r>
              <w:t>≤10%</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提供工作参考</w:t>
            </w:r>
          </w:p>
        </w:tc>
        <w:tc>
          <w:tcPr>
            <w:tcW w:w="5386" w:type="dxa"/>
            <w:vAlign w:val="center"/>
          </w:tcPr>
          <w:p>
            <w:pPr>
              <w:pStyle w:val="12"/>
            </w:pPr>
            <w:r>
              <w:t>提供工作参考</w:t>
            </w:r>
          </w:p>
        </w:tc>
        <w:tc>
          <w:tcPr>
            <w:tcW w:w="2268" w:type="dxa"/>
            <w:vAlign w:val="center"/>
          </w:tcPr>
          <w:p>
            <w:pPr>
              <w:pStyle w:val="12"/>
            </w:pPr>
            <w:r>
              <w:t>≥95%</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推进社会治理现代化</w:t>
            </w:r>
          </w:p>
        </w:tc>
        <w:tc>
          <w:tcPr>
            <w:tcW w:w="5386" w:type="dxa"/>
            <w:vAlign w:val="center"/>
          </w:tcPr>
          <w:p>
            <w:pPr>
              <w:pStyle w:val="12"/>
            </w:pPr>
            <w:r>
              <w:t>推进社会治理现代化</w:t>
            </w:r>
          </w:p>
        </w:tc>
        <w:tc>
          <w:tcPr>
            <w:tcW w:w="2268" w:type="dxa"/>
            <w:vAlign w:val="center"/>
          </w:tcPr>
          <w:p>
            <w:pPr>
              <w:pStyle w:val="12"/>
            </w:pPr>
            <w:r>
              <w:t>≥95%</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≥90%</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p>
            <w:pPr>
              <w:pStyle w:val="12"/>
            </w:pPr>
          </w:p>
        </w:tc>
        <w:tc>
          <w:tcPr>
            <w:tcW w:w="5386" w:type="dxa"/>
            <w:vAlign w:val="center"/>
          </w:tcPr>
          <w:p>
            <w:pPr>
              <w:pStyle w:val="12"/>
            </w:pPr>
            <w:r>
              <w:t>创造性转化，创新性发展</w:t>
            </w:r>
          </w:p>
          <w:p>
            <w:pPr>
              <w:pStyle w:val="12"/>
            </w:pPr>
          </w:p>
        </w:tc>
        <w:tc>
          <w:tcPr>
            <w:tcW w:w="2268" w:type="dxa"/>
            <w:vAlign w:val="center"/>
          </w:tcPr>
          <w:p>
            <w:pPr>
              <w:pStyle w:val="12"/>
            </w:pPr>
            <w:r>
              <w:t>≥90%</w:t>
            </w:r>
          </w:p>
        </w:tc>
        <w:tc>
          <w:tcPr>
            <w:tcW w:w="1276" w:type="dxa"/>
            <w:vAlign w:val="center"/>
          </w:tcPr>
          <w:p>
            <w:pPr>
              <w:pStyle w:val="12"/>
            </w:pPr>
            <w:r>
              <w:t>《关于第十批援藏干部人才进藏工作的通知》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项目实施满意度</w:t>
            </w:r>
          </w:p>
        </w:tc>
        <w:tc>
          <w:tcPr>
            <w:tcW w:w="5386" w:type="dxa"/>
            <w:vAlign w:val="center"/>
          </w:tcPr>
          <w:p>
            <w:pPr>
              <w:pStyle w:val="12"/>
            </w:pPr>
            <w:r>
              <w:t>项目实施满意度</w:t>
            </w:r>
          </w:p>
        </w:tc>
        <w:tc>
          <w:tcPr>
            <w:tcW w:w="2268" w:type="dxa"/>
            <w:vAlign w:val="center"/>
          </w:tcPr>
          <w:p>
            <w:pPr>
              <w:pStyle w:val="12"/>
            </w:pPr>
            <w:r>
              <w:t>≥95%</w:t>
            </w:r>
          </w:p>
        </w:tc>
        <w:tc>
          <w:tcPr>
            <w:tcW w:w="1276" w:type="dxa"/>
            <w:vAlign w:val="center"/>
          </w:tcPr>
          <w:p>
            <w:pPr>
              <w:pStyle w:val="12"/>
            </w:pPr>
            <w:r>
              <w:t>《关于第十批援藏干部人才进藏工作的通知》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2.30</w:t>
            </w: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唐山市开平区双桥镇人民政府本级小计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2.30</w:t>
            </w: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18.00</w:t>
            </w:r>
          </w:p>
        </w:tc>
        <w:tc>
          <w:tcPr>
            <w:tcW w:w="1134" w:type="dxa"/>
            <w:vAlign w:val="center"/>
          </w:tcPr>
          <w:p>
            <w:pPr>
              <w:pStyle w:val="12"/>
            </w:pPr>
            <w:r>
              <w:t>专用制冷空调设备</w:t>
            </w:r>
          </w:p>
        </w:tc>
        <w:tc>
          <w:tcPr>
            <w:tcW w:w="1134" w:type="dxa"/>
            <w:vAlign w:val="center"/>
          </w:tcPr>
          <w:p>
            <w:pPr>
              <w:pStyle w:val="12"/>
            </w:pPr>
            <w:r>
              <w:t>A02052309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0.75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18.00</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18.00</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唐山市开平区双桥镇人民政府本级上年末固定资产金额为</w:t>
      </w:r>
      <w:bookmarkStart w:id="1" w:name="_GoBack"/>
      <w:r>
        <w:rPr>
          <w:rFonts w:hint="eastAsia" w:eastAsia="方正仿宋_GBK" w:cs="Times New Roman"/>
          <w:b w:val="0"/>
          <w:color w:val="000000"/>
          <w:sz w:val="28"/>
          <w:lang w:val="en-US" w:eastAsia="zh-CN"/>
        </w:rPr>
        <w:t>434.990967</w:t>
      </w:r>
      <w:bookmarkEnd w:id="1"/>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806001唐山市开平区双桥镇人民政府本级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ind w:firstLine="0" w:firstLineChars="0"/>
              <w:rPr>
                <w:rFonts w:hint="default" w:eastAsia="方正书宋_GBK"/>
                <w:lang w:val="en-US" w:eastAsia="zh-CN"/>
              </w:rPr>
            </w:pPr>
            <w:r>
              <w:rPr>
                <w:rFonts w:hint="eastAsia"/>
                <w:lang w:val="en-US" w:eastAsia="zh-CN"/>
              </w:rPr>
              <w:t>123</w:t>
            </w:r>
          </w:p>
        </w:tc>
        <w:tc>
          <w:tcPr>
            <w:tcW w:w="2835" w:type="dxa"/>
            <w:vAlign w:val="center"/>
          </w:tcPr>
          <w:p>
            <w:pPr>
              <w:pStyle w:val="11"/>
              <w:ind w:firstLine="0" w:firstLineChars="0"/>
              <w:rPr>
                <w:rFonts w:hint="default" w:eastAsia="方正书宋_GBK"/>
                <w:lang w:val="en-US" w:eastAsia="zh-CN"/>
              </w:rPr>
            </w:pPr>
            <w:r>
              <w:rPr>
                <w:rFonts w:hint="eastAsia"/>
                <w:lang w:val="en-US" w:eastAsia="zh-CN"/>
              </w:rPr>
              <w:t>434.990967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ind w:firstLine="0" w:firstLineChars="0"/>
              <w:rPr>
                <w:rFonts w:hint="default"/>
                <w:lang w:val="en-US"/>
              </w:rPr>
            </w:pPr>
            <w:r>
              <w:rPr>
                <w:rFonts w:hint="eastAsia"/>
                <w:lang w:val="en-US" w:eastAsia="zh-CN"/>
              </w:rPr>
              <w:t>2219.1</w:t>
            </w:r>
          </w:p>
        </w:tc>
        <w:tc>
          <w:tcPr>
            <w:tcW w:w="2835" w:type="dxa"/>
            <w:vAlign w:val="center"/>
          </w:tcPr>
          <w:p>
            <w:pPr>
              <w:pStyle w:val="11"/>
              <w:ind w:firstLine="0" w:firstLineChars="0"/>
              <w:rPr>
                <w:rFonts w:hint="default"/>
                <w:lang w:val="en-US"/>
              </w:rPr>
            </w:pPr>
            <w:r>
              <w:rPr>
                <w:rFonts w:hint="default"/>
                <w:lang w:val="en-US"/>
              </w:rPr>
              <w:t>361.0683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ind w:firstLine="0" w:firstLineChars="0"/>
            </w:pPr>
            <w:r>
              <w:t>1200</w:t>
            </w:r>
          </w:p>
        </w:tc>
        <w:tc>
          <w:tcPr>
            <w:tcW w:w="2835" w:type="dxa"/>
            <w:vAlign w:val="center"/>
          </w:tcPr>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1"/>
                    <w:rPr>
                      <w:rFonts w:hint="default" w:eastAsia="方正书宋_GBK"/>
                      <w:lang w:val="en-US" w:eastAsia="zh-CN"/>
                    </w:rPr>
                  </w:pPr>
                  <w:r>
                    <w:rPr>
                      <w:rFonts w:hint="eastAsia"/>
                      <w:lang w:val="en-US" w:eastAsia="zh-CN"/>
                    </w:rPr>
                    <w:t>361.0683</w:t>
                  </w:r>
                </w:p>
              </w:tc>
            </w:tr>
          </w:tbl>
          <w:p>
            <w:pPr>
              <w:pStyle w:val="11"/>
              <w:ind w:firstLine="0" w:firstLineChars="0"/>
              <w:rPr>
                <w:rFonts w:hint="default"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rPr>
                <w:rFonts w:hint="eastAsia"/>
                <w:lang w:val="en-US" w:eastAsia="zh-CN"/>
              </w:rPr>
              <w:t>73.922667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唐山市开平区</w:t>
      </w:r>
      <w:r>
        <w:rPr>
          <w:rFonts w:hint="eastAsia" w:ascii="Times New Roman" w:hAnsi="Times New Roman" w:eastAsia="方正仿宋_GBK" w:cs="Times New Roman"/>
          <w:b w:val="0"/>
          <w:color w:val="000000"/>
          <w:sz w:val="28"/>
          <w:lang w:eastAsia="zh-CN"/>
        </w:rPr>
        <w:t>双桥</w:t>
      </w:r>
      <w:r>
        <w:rPr>
          <w:rFonts w:ascii="Times New Roman" w:hAnsi="Times New Roman" w:eastAsia="方正仿宋_GBK" w:cs="Times New Roman"/>
          <w:b w:val="0"/>
          <w:color w:val="000000"/>
          <w:sz w:val="28"/>
        </w:rPr>
        <w:t>镇人民政府</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25</w:t>
      </w:r>
      <w:r>
        <w:rPr>
          <w:rFonts w:hint="eastAsia" w:ascii="Times New Roman" w:hAnsi="Times New Roman" w:eastAsia="方正仿宋_GBK" w:cs="Times New Roman"/>
          <w:b w:val="0"/>
          <w:color w:val="000000"/>
          <w:sz w:val="28"/>
        </w:rPr>
        <w:t>年</w:t>
      </w:r>
      <w:r>
        <w:rPr>
          <w:rFonts w:hint="eastAsia" w:ascii="Times New Roman" w:hAnsi="Times New Roman"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rPr>
        <w:t>预算中未安排国有资本经营预算，故国有资本经营预算支出表为空。</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F7D67"/>
    <w:rsid w:val="50355DF8"/>
    <w:rsid w:val="639466AA"/>
    <w:rsid w:val="6465307E"/>
    <w:rsid w:val="7F762DAE"/>
    <w:rsid w:val="9EA418DD"/>
    <w:rsid w:val="FBEFE6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11</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2025-02-12T15:59:00Z</dcterms:created>
  <dc:creator>Administrator</dc:creator>
  <cp:lastModifiedBy>baixin</cp:lastModifiedBy>
  <dcterms:modified xsi:type="dcterms:W3CDTF">2025-09-09T11:19:30Z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9CBC08E4ED334ACA85D506F7A7356968</vt:lpwstr>
  </property>
</Properties>
</file>