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21</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21</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50.28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44.52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2.66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50.28</w:t>
            </w:r>
          </w:p>
        </w:tc>
      </w:tr>
    </w:tbl>
    <w:p>
      <w:pPr>
        <w:sectPr>
          <w:footerReference w:type="even" r:id="rId11"/>
          <w:footerReference w:type="default" r:id="rId12"/>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50.28</w:t>
            </w:r>
          </w:p>
        </w:tc>
        <w:tc>
          <w:tcPr>
            <w:tcW w:w="1134" w:type="dxa"/>
            <w:vAlign w:val="center"/>
          </w:tcPr>
          <w:p>
            <w:pPr>
              <w:pStyle w:val="单元格样式7"/>
            </w:pPr>
            <w:r>
              <w:t xml:space="preserve">50.28</w:t>
            </w:r>
          </w:p>
        </w:tc>
        <w:tc>
          <w:tcPr>
            <w:tcW w:w="1134" w:type="dxa"/>
            <w:vAlign w:val="center"/>
          </w:tcPr>
          <w:p>
            <w:pPr>
              <w:pStyle w:val="单元格样式7"/>
            </w:pPr>
            <w:r>
              <w:t xml:space="preserve">50.28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50.28</w:t>
            </w:r>
          </w:p>
        </w:tc>
        <w:tc>
          <w:tcPr>
            <w:tcW w:w="1361" w:type="dxa"/>
            <w:vAlign w:val="center"/>
          </w:tcPr>
          <w:p>
            <w:pPr>
              <w:pStyle w:val="单元格样式7"/>
            </w:pPr>
            <w:r>
              <w:t xml:space="preserve">45.28</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50.28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44.52</w:t>
            </w:r>
          </w:p>
        </w:tc>
        <w:tc>
          <w:tcPr>
            <w:tcW w:w="1474" w:type="dxa"/>
            <w:vAlign w:val="center"/>
          </w:tcPr>
          <w:p>
            <w:pPr>
              <w:pStyle w:val="单元格样式4"/>
            </w:pPr>
            <w:r>
              <w:t xml:space="preserve">44.52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3.09</w:t>
            </w:r>
          </w:p>
        </w:tc>
        <w:tc>
          <w:tcPr>
            <w:tcW w:w="1474" w:type="dxa"/>
            <w:vAlign w:val="center"/>
          </w:tcPr>
          <w:p>
            <w:pPr>
              <w:pStyle w:val="单元格样式4"/>
            </w:pPr>
            <w:r>
              <w:t xml:space="preserve">3.09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2.66</w:t>
            </w:r>
          </w:p>
        </w:tc>
        <w:tc>
          <w:tcPr>
            <w:tcW w:w="1474" w:type="dxa"/>
            <w:vAlign w:val="center"/>
          </w:tcPr>
          <w:p>
            <w:pPr>
              <w:pStyle w:val="单元格样式4"/>
            </w:pPr>
            <w:r>
              <w:t xml:space="preserve">2.66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50.28</w:t>
            </w:r>
          </w:p>
        </w:tc>
        <w:tc>
          <w:tcPr>
            <w:tcW w:w="1474" w:type="dxa"/>
            <w:vAlign w:val="center"/>
          </w:tcPr>
          <w:p>
            <w:pPr>
              <w:pStyle w:val="单元格样式7"/>
            </w:pPr>
            <w:r>
              <w:t xml:space="preserve">50.28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50.28</w:t>
            </w:r>
          </w:p>
        </w:tc>
        <w:tc>
          <w:tcPr>
            <w:tcW w:w="1474" w:type="dxa"/>
            <w:vAlign w:val="center"/>
          </w:tcPr>
          <w:p>
            <w:pPr>
              <w:pStyle w:val="单元格样式7"/>
            </w:pPr>
            <w:r>
              <w:t xml:space="preserve">50.28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50.28</w:t>
            </w:r>
          </w:p>
        </w:tc>
        <w:tc>
          <w:tcPr>
            <w:tcW w:w="2551" w:type="dxa"/>
            <w:vAlign w:val="center"/>
          </w:tcPr>
          <w:p>
            <w:pPr>
              <w:pStyle w:val="单元格样式7"/>
            </w:pPr>
            <w:r>
              <w:t xml:space="preserve">45.28</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45.28</w:t>
            </w:r>
          </w:p>
        </w:tc>
        <w:tc>
          <w:tcPr>
            <w:tcW w:w="2551" w:type="dxa"/>
            <w:vAlign w:val="center"/>
          </w:tcPr>
          <w:p>
            <w:pPr>
              <w:pStyle w:val="单元格样式7"/>
            </w:pPr>
            <w:r>
              <w:t xml:space="preserve">38.67</w:t>
            </w:r>
          </w:p>
        </w:tc>
        <w:tc>
          <w:tcPr>
            <w:tcW w:w="2551" w:type="dxa"/>
            <w:vAlign w:val="center"/>
          </w:tcPr>
          <w:p>
            <w:pPr>
              <w:pStyle w:val="单元格样式7"/>
            </w:pPr>
            <w:r>
              <w:t xml:space="preserve">6.61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38.67</w:t>
            </w:r>
          </w:p>
        </w:tc>
        <w:tc>
          <w:tcPr>
            <w:tcW w:w="2551" w:type="dxa"/>
            <w:vAlign w:val="center"/>
          </w:tcPr>
          <w:p>
            <w:pPr>
              <w:pStyle w:val="单元格样式4"/>
            </w:pPr>
            <w:r>
              <w:t xml:space="preserve">38.67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9.56</w:t>
            </w:r>
          </w:p>
        </w:tc>
        <w:tc>
          <w:tcPr>
            <w:tcW w:w="2551" w:type="dxa"/>
            <w:vAlign w:val="center"/>
          </w:tcPr>
          <w:p>
            <w:pPr>
              <w:pStyle w:val="单元格样式4"/>
            </w:pPr>
            <w:r>
              <w:t xml:space="preserve">9.56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12.24</w:t>
            </w:r>
          </w:p>
        </w:tc>
        <w:tc>
          <w:tcPr>
            <w:tcW w:w="2551" w:type="dxa"/>
            <w:vAlign w:val="center"/>
          </w:tcPr>
          <w:p>
            <w:pPr>
              <w:pStyle w:val="单元格样式4"/>
            </w:pPr>
            <w:r>
              <w:t xml:space="preserve">12.24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2.72</w:t>
            </w:r>
          </w:p>
        </w:tc>
        <w:tc>
          <w:tcPr>
            <w:tcW w:w="2551" w:type="dxa"/>
            <w:vAlign w:val="center"/>
          </w:tcPr>
          <w:p>
            <w:pPr>
              <w:pStyle w:val="单元格样式4"/>
            </w:pPr>
            <w:r>
              <w:t xml:space="preserve">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3.45</w:t>
            </w:r>
          </w:p>
        </w:tc>
        <w:tc>
          <w:tcPr>
            <w:tcW w:w="2551" w:type="dxa"/>
            <w:vAlign w:val="center"/>
          </w:tcPr>
          <w:p>
            <w:pPr>
              <w:pStyle w:val="单元格样式4"/>
            </w:pPr>
            <w:r>
              <w:t xml:space="preserve">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3.47</w:t>
            </w:r>
          </w:p>
        </w:tc>
        <w:tc>
          <w:tcPr>
            <w:tcW w:w="2551" w:type="dxa"/>
            <w:vAlign w:val="center"/>
          </w:tcPr>
          <w:p>
            <w:pPr>
              <w:pStyle w:val="单元格样式4"/>
            </w:pPr>
            <w:r>
              <w:t xml:space="preserve">3.47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6.61</w:t>
            </w:r>
          </w:p>
        </w:tc>
        <w:tc>
          <w:tcPr>
            <w:tcW w:w="2551" w:type="dxa"/>
            <w:vAlign w:val="center"/>
          </w:tcPr>
          <w:p>
            <w:pPr>
              <w:pStyle w:val="单元格样式4"/>
            </w:pPr>
          </w:p>
        </w:tc>
        <w:tc>
          <w:tcPr>
            <w:tcW w:w="2551" w:type="dxa"/>
            <w:vAlign w:val="center"/>
          </w:tcPr>
          <w:p>
            <w:pPr>
              <w:pStyle w:val="单元格样式4"/>
            </w:pPr>
            <w:r>
              <w:t xml:space="preserve">6.61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1.42</w:t>
            </w:r>
          </w:p>
        </w:tc>
        <w:tc>
          <w:tcPr>
            <w:tcW w:w="2551" w:type="dxa"/>
            <w:vAlign w:val="center"/>
          </w:tcPr>
          <w:p>
            <w:pPr>
              <w:pStyle w:val="单元格样式4"/>
            </w:pPr>
          </w:p>
        </w:tc>
        <w:tc>
          <w:tcPr>
            <w:tcW w:w="2551" w:type="dxa"/>
            <w:vAlign w:val="center"/>
          </w:tcPr>
          <w:p>
            <w:pPr>
              <w:pStyle w:val="单元格样式4"/>
            </w:pPr>
            <w:r>
              <w:t xml:space="preserve">1.42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0.19</w:t>
            </w:r>
          </w:p>
        </w:tc>
        <w:tc>
          <w:tcPr>
            <w:tcW w:w="2551" w:type="dxa"/>
            <w:vAlign w:val="center"/>
          </w:tcPr>
          <w:p>
            <w:pPr>
              <w:pStyle w:val="单元格样式4"/>
            </w:pPr>
          </w:p>
        </w:tc>
        <w:tc>
          <w:tcPr>
            <w:tcW w:w="2551" w:type="dxa"/>
            <w:vAlign w:val="center"/>
          </w:tcPr>
          <w:p>
            <w:pPr>
              <w:pStyle w:val="单元格样式4"/>
            </w:pPr>
            <w:r>
              <w:t xml:space="preserve">0.19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1.86</w:t>
            </w:r>
          </w:p>
        </w:tc>
        <w:tc>
          <w:tcPr>
            <w:tcW w:w="2551" w:type="dxa"/>
            <w:vAlign w:val="center"/>
          </w:tcPr>
          <w:p>
            <w:pPr>
              <w:pStyle w:val="单元格样式4"/>
            </w:pPr>
          </w:p>
        </w:tc>
        <w:tc>
          <w:tcPr>
            <w:tcW w:w="2551" w:type="dxa"/>
            <w:vAlign w:val="center"/>
          </w:tcPr>
          <w:p>
            <w:pPr>
              <w:pStyle w:val="单元格样式4"/>
            </w:pPr>
            <w:r>
              <w:t xml:space="preserve">1.86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中国共产主义青年团唐山市开平区委员会2024年部门预算信息公开情况说明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中国共产主义青年团唐山市开平区委员会2024年部门预算信息公开情况说明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按照《中华人民共和国预算法》、《地方预决算公开操作规程》和《关于进一步推进预算公开工作的实施意见》规定，现将中国共产主义青年团唐山市开平区委员会2024年部门预算公开如下：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中国共产主义青年团唐山市开平区委员会本级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按照预算管理有关规定，目前部门预算的编制实行综合预算管理，即全部收入和支出都反映在预算中。中国共产主义青年团唐山市开平区委员会机关及所属事业单位的收支包含在部门预算中。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50.28万元，其中：一般公共预算收入50.28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主义青年团唐山市开平区委员会年度部门预算中支出预算的总体情况。2024年支出预算50.28万元，其中基本支出45.28万元，包括人员经费38.67万元和日常公用经费6.61万元；项目支出5.00万元，主要为是我单位五四、六一活动费，今年增加到5万元，比去年增长了3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50.28万元，较2023年预算增加13.86万元，其中：基本支出增加10.86万元，主要为我单位增加1人，导致基本支出增加。项目支出增加3.00万元，主要为是我单位五四、六一活动费，今年增加到5万元，比去年增长了3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（一）宣传教育工作</w:t>
      </w:r>
    </w:p>
    <w:p>
      <w:pPr>
        <w:pStyle w:val="插入文本样式-插入职责分类绩效目标文件"/>
      </w:pPr>
      <w:r>
        <w:t xml:space="preserve">绩效目标 培以树典型开展活动为载体，引领社会正能量</w:t>
      </w:r>
    </w:p>
    <w:p>
      <w:pPr>
        <w:pStyle w:val="插入文本样式-插入职责分类绩效目标文件"/>
      </w:pPr>
      <w:r>
        <w:t xml:space="preserve">绩效指标 </w:t>
      </w:r>
    </w:p>
    <w:p>
      <w:pPr>
        <w:pStyle w:val="插入文本样式-插入职责分类绩效目标文件"/>
      </w:pPr>
      <w:r>
        <w:t xml:space="preserve">1.构建团的网络新媒体工作阵地，运用新媒体全方位推进团的工作</w:t>
      </w:r>
    </w:p>
    <w:p>
      <w:pPr>
        <w:pStyle w:val="插入文本样式-插入职责分类绩效目标文件"/>
      </w:pPr>
      <w:r>
        <w:t xml:space="preserve">2.利用重要节点节日、各类阵地、各种形式进行思想引导，培养青年骨干，打造适应青少年特点的文化产品</w:t>
      </w:r>
    </w:p>
    <w:p>
      <w:pPr>
        <w:pStyle w:val="插入文本样式-插入职责分类绩效目标文件"/>
      </w:pPr>
      <w:r>
        <w:t xml:space="preserve">3.维护青少年队伍稳定，促进和谐社会建设</w:t>
      </w:r>
    </w:p>
    <w:p>
      <w:pPr>
        <w:pStyle w:val="插入文本样式-插入职责分类绩效目标文件"/>
      </w:pPr>
      <w:r>
        <w:t xml:space="preserve">4.持续开展“青年大学习”行动</w:t>
      </w:r>
    </w:p>
    <w:p>
      <w:pPr>
        <w:pStyle w:val="插入文本样式-插入职责分类绩效目标文件"/>
      </w:pPr>
      <w:r>
        <w:t xml:space="preserve">5.深化红领巾小讲堂建设，开展“争做新时代好队员”主题教育活动</w:t>
      </w:r>
    </w:p>
    <w:p>
      <w:pPr>
        <w:pStyle w:val="插入文本样式-插入职责分类绩效目标文件"/>
      </w:pPr>
    </w:p>
    <w:p>
      <w:pPr>
        <w:pStyle w:val="插入文本样式-插入职责分类绩效目标文件"/>
      </w:pPr>
      <w:r>
        <w:t xml:space="preserve">（二）服务、引导青少年工作</w:t>
      </w:r>
    </w:p>
    <w:p>
      <w:pPr>
        <w:pStyle w:val="插入文本样式-插入职责分类绩效目标文件"/>
      </w:pPr>
      <w:r>
        <w:t xml:space="preserve">绩效目标 培养、树立、宣传全区各条战线上的各类优秀青年典型</w:t>
      </w:r>
    </w:p>
    <w:p>
      <w:pPr>
        <w:pStyle w:val="插入文本样式-插入职责分类绩效目标文件"/>
      </w:pPr>
      <w:r>
        <w:t xml:space="preserve">绩效指标 </w:t>
      </w:r>
    </w:p>
    <w:p>
      <w:pPr>
        <w:pStyle w:val="插入文本样式-插入职责分类绩效目标文件"/>
      </w:pPr>
      <w:r>
        <w:t xml:space="preserve">1.青少年纪念“五四”、“六一”等各类思想引导类活动的参与度</w:t>
      </w:r>
    </w:p>
    <w:p>
      <w:pPr>
        <w:pStyle w:val="插入文本样式-插入职责分类绩效目标文件"/>
      </w:pPr>
      <w:r>
        <w:t xml:space="preserve">2.围绕青年思想动态和青年工作现况，不断加强青少年社会主义核心价值观教育</w:t>
      </w:r>
    </w:p>
    <w:p>
      <w:pPr>
        <w:pStyle w:val="插入文本样式-插入职责分类绩效目标文件"/>
      </w:pPr>
      <w:r>
        <w:t xml:space="preserve">3.加强青年统战工作</w:t>
      </w:r>
    </w:p>
    <w:p>
      <w:pPr>
        <w:pStyle w:val="插入文本样式-插入职责分类绩效目标文件"/>
      </w:pPr>
      <w:r>
        <w:t xml:space="preserve">4.围绕党政中心工作开展各项活动</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高举中国特色社会主义伟大旗帜，紧密团结在以习近平同志为核心的党中央周围，坚持以邓小平理论、“三个代表”重要思想、科学发展观为指导， 深入学习贯彻习近平总书记系列重要讲话精神，全面贯彻落实中共开平区第九次党代会精神，坚持党的领导、依法治国、人民当家作主有机统一，坚持围绕中心，服务大局，围绕我区各项重点目标任务，履行团的职责使命，树立大抓基层的鲜明导向，深化团的改革，全面从严治团，切实保持和增强政治性、先进性、群众性，团结带领全区广大团员青年为加速“特色田园城市、和谐幸福开平”做出新的更大贡献。</w:t>
      </w:r>
    </w:p>
    <w:p>
      <w:pPr>
        <w:pStyle w:val="插入文本样式-插入实现年度发展规划目标的保障措施文件"/>
      </w:pPr>
      <w:r>
        <w:t xml:space="preserve">坚定正确的政治方向。坚持党的领导、人民当家作主、依法治</w:t>
      </w:r>
    </w:p>
    <w:p>
      <w:pPr>
        <w:pStyle w:val="插入文本样式-插入实现年度发展规划目标的保障措施文件"/>
      </w:pPr>
      <w:r>
        <w:t xml:space="preserve">国有机统一：坚持民主法治， 依法履职，依法洽区；坚持科学发展、以人为本，把促进科学发展、思想政治引导做为团工作的中心任务；坚持青年主体地位，积极培育和践行社会主义核心价值观。深化红领巾小讲堂建设，积极开展“争做新时代好队员”主题活动；以“围绕中心服务大局”为工作主线，组织青年投身加快融入中心城区，实现唐山东部崛起火热实践。</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加强思想建设，改进工作作风。认真组织开展学习教育活动，使机关工作人员的政治素质进一步提升，法治观念、 群众观念进一步增强。坚持学习交流制度，提高机关工作人员的业务素质。落实中央“八项规定”、狠刹“四风”规范办公用房和公务接待，节支“三公”经费，工作作风进一步转变。</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1、本级五四、六一活动经费绩效目标表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13020524P00915510001Q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本级五四、六一活动经费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五四，六一活动经费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1.组织培养少先队员及青少年的思想政治工作，加强党的思想建设引领。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hMerge w:val="restart"/>
            <w:vAlign w:val="center"/>
          </w:tcPr>
          <w:p>
            <w:pPr>
              <w:pStyle w:val="单元格样式2"/>
            </w:pPr>
            <w:r>
              <w:t xml:space="preserve">预算</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通过开展信息宣传工作，创造良好的舆论氛围，使我厅工作得到广大受众的充分认可。</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continuous"/>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中国共产主义青年团唐山市开平区委员会（含所属单位）上年末固定资产金额为30.32万元（详见下表）。本年度拟购置固定资产总额为0.00万元，已按要求列入政府采购预算，详见政府采购预算表。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712中国共产主义青年团唐山市开平区委员会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30.32</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22.98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94</w:t>
            </w:r>
          </w:p>
        </w:tc>
        <w:tc>
          <w:tcPr>
            <w:tcW w:w="2835" w:type="dxa"/>
            <w:vAlign w:val="center"/>
          </w:tcPr>
          <w:p>
            <w:pPr>
              <w:pStyle w:val="单元格样式4"/>
            </w:pPr>
            <w:r>
              <w:t xml:space="preserve">7.34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2024-02-21T20:31:34Z</dcterms:created>
  <dcterms:modified xsi:type="dcterms:W3CDTF">2024-02-21T12:31:34Z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2024-02-21T20:31:34Z</dcterms:created>
  <dcterms:modified xsi:type="dcterms:W3CDTF">2024-02-21T12:31:34Z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2024-02-21T20:31:34Z</dcterms:created>
  <dcterms:modified xsi:type="dcterms:W3CDTF">2024-02-21T12:31:34Z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2024-02-21T20:31:35Z</dcterms:created>
  <dcterms:modified xsi:type="dcterms:W3CDTF">2024-02-21T12:31:35Z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2024-02-21T20:31:35Z</dcterms:created>
  <dcterms:modified xsi:type="dcterms:W3CDTF">2024-02-21T12:31:35Z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2024-02-21T20:31:35Z</dcterms:created>
  <dcterms:modified xsi:type="dcterms:W3CDTF">2024-02-21T12:31:36Z</dcterms:modified>
</cp:coreProperties>
</file>