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72"/>
        </w:tabs>
      </w:pPr>
      <w:r>
        <w:fldChar w:fldCharType="begin"/>
      </w:r>
      <w:r>
        <w:instrText xml:space="preserve">TOC \o "2-2" \h \z \u</w:instrText>
      </w:r>
      <w:r>
        <w:fldChar w:fldCharType="separate"/>
      </w:r>
      <w:r>
        <w:fldChar w:fldCharType="begin"/>
      </w:r>
      <w:r>
        <w:instrText xml:space="preserve"> HYPERLINK \l _Toc8879 </w:instrText>
      </w:r>
      <w:r>
        <w:fldChar w:fldCharType="separate"/>
      </w:r>
      <w:r>
        <w:rPr>
          <w:rFonts w:ascii="方正小标宋_GBK" w:hAnsi="方正小标宋_GBK" w:eastAsia="方正小标宋_GBK" w:cs="方正小标宋_GBK"/>
        </w:rPr>
        <w:t>部门预算收支总表</w:t>
      </w:r>
      <w:r>
        <w:tab/>
      </w:r>
      <w:r>
        <w:fldChar w:fldCharType="begin"/>
      </w:r>
      <w:r>
        <w:instrText xml:space="preserve"> PAGEREF _Toc8879 \h </w:instrText>
      </w:r>
      <w:r>
        <w:fldChar w:fldCharType="separate"/>
      </w:r>
      <w:r>
        <w:t>1</w:t>
      </w:r>
      <w:r>
        <w:fldChar w:fldCharType="end"/>
      </w:r>
      <w:r>
        <w:fldChar w:fldCharType="end"/>
      </w:r>
    </w:p>
    <w:p>
      <w:pPr>
        <w:pStyle w:val="4"/>
        <w:tabs>
          <w:tab w:val="right" w:leader="dot" w:pos="14572"/>
        </w:tabs>
      </w:pPr>
      <w:r>
        <w:fldChar w:fldCharType="begin"/>
      </w:r>
      <w:r>
        <w:instrText xml:space="preserve"> HYPERLINK \l _Toc28475 </w:instrText>
      </w:r>
      <w:r>
        <w:fldChar w:fldCharType="separate"/>
      </w:r>
      <w:r>
        <w:rPr>
          <w:rFonts w:ascii="方正小标宋_GBK" w:hAnsi="方正小标宋_GBK" w:eastAsia="方正小标宋_GBK" w:cs="方正小标宋_GBK"/>
        </w:rPr>
        <w:t>部门预算收入总表</w:t>
      </w:r>
      <w:r>
        <w:tab/>
      </w:r>
      <w:r>
        <w:fldChar w:fldCharType="begin"/>
      </w:r>
      <w:r>
        <w:instrText xml:space="preserve"> PAGEREF _Toc28475 \h </w:instrText>
      </w:r>
      <w:r>
        <w:fldChar w:fldCharType="separate"/>
      </w:r>
      <w:r>
        <w:t>3</w:t>
      </w:r>
      <w:r>
        <w:fldChar w:fldCharType="end"/>
      </w:r>
      <w:r>
        <w:fldChar w:fldCharType="end"/>
      </w:r>
    </w:p>
    <w:p>
      <w:pPr>
        <w:pStyle w:val="4"/>
        <w:tabs>
          <w:tab w:val="right" w:leader="dot" w:pos="14572"/>
        </w:tabs>
      </w:pPr>
      <w:r>
        <w:fldChar w:fldCharType="begin"/>
      </w:r>
      <w:r>
        <w:instrText xml:space="preserve"> HYPERLINK \l _Toc12731 </w:instrText>
      </w:r>
      <w:r>
        <w:fldChar w:fldCharType="separate"/>
      </w:r>
      <w:r>
        <w:rPr>
          <w:rFonts w:ascii="方正小标宋_GBK" w:hAnsi="方正小标宋_GBK" w:eastAsia="方正小标宋_GBK" w:cs="方正小标宋_GBK"/>
        </w:rPr>
        <w:t>部门预算支出总表</w:t>
      </w:r>
      <w:r>
        <w:tab/>
      </w:r>
      <w:r>
        <w:fldChar w:fldCharType="begin"/>
      </w:r>
      <w:r>
        <w:instrText xml:space="preserve"> PAGEREF _Toc12731 \h </w:instrText>
      </w:r>
      <w:r>
        <w:fldChar w:fldCharType="separate"/>
      </w:r>
      <w:r>
        <w:t>5</w:t>
      </w:r>
      <w:r>
        <w:fldChar w:fldCharType="end"/>
      </w:r>
      <w:r>
        <w:fldChar w:fldCharType="end"/>
      </w:r>
    </w:p>
    <w:p>
      <w:pPr>
        <w:pStyle w:val="4"/>
        <w:tabs>
          <w:tab w:val="right" w:leader="dot" w:pos="14572"/>
        </w:tabs>
      </w:pPr>
      <w:r>
        <w:fldChar w:fldCharType="begin"/>
      </w:r>
      <w:r>
        <w:instrText xml:space="preserve"> HYPERLINK \l _Toc17156 </w:instrText>
      </w:r>
      <w:r>
        <w:fldChar w:fldCharType="separate"/>
      </w:r>
      <w:r>
        <w:rPr>
          <w:rFonts w:ascii="方正小标宋_GBK" w:hAnsi="方正小标宋_GBK" w:eastAsia="方正小标宋_GBK" w:cs="方正小标宋_GBK"/>
        </w:rPr>
        <w:t>部门预算财政拨款收支总表</w:t>
      </w:r>
      <w:r>
        <w:tab/>
      </w:r>
      <w:r>
        <w:fldChar w:fldCharType="begin"/>
      </w:r>
      <w:r>
        <w:instrText xml:space="preserve"> PAGEREF _Toc17156 \h </w:instrText>
      </w:r>
      <w:r>
        <w:fldChar w:fldCharType="separate"/>
      </w:r>
      <w:r>
        <w:t>7</w:t>
      </w:r>
      <w:r>
        <w:fldChar w:fldCharType="end"/>
      </w:r>
      <w:r>
        <w:fldChar w:fldCharType="end"/>
      </w:r>
    </w:p>
    <w:p>
      <w:pPr>
        <w:pStyle w:val="4"/>
        <w:tabs>
          <w:tab w:val="right" w:leader="dot" w:pos="14572"/>
        </w:tabs>
      </w:pPr>
      <w:r>
        <w:fldChar w:fldCharType="begin"/>
      </w:r>
      <w:r>
        <w:instrText xml:space="preserve"> HYPERLINK \l _Toc20798 </w:instrText>
      </w:r>
      <w:r>
        <w:fldChar w:fldCharType="separate"/>
      </w:r>
      <w:r>
        <w:rPr>
          <w:rFonts w:ascii="方正小标宋_GBK" w:hAnsi="方正小标宋_GBK" w:eastAsia="方正小标宋_GBK" w:cs="方正小标宋_GBK"/>
        </w:rPr>
        <w:t>部门预算一般公共预算财政拨款支出表</w:t>
      </w:r>
      <w:r>
        <w:tab/>
      </w:r>
      <w:r>
        <w:fldChar w:fldCharType="begin"/>
      </w:r>
      <w:r>
        <w:instrText xml:space="preserve"> PAGEREF _Toc20798 \h </w:instrText>
      </w:r>
      <w:r>
        <w:fldChar w:fldCharType="separate"/>
      </w:r>
      <w:r>
        <w:t>10</w:t>
      </w:r>
      <w:r>
        <w:fldChar w:fldCharType="end"/>
      </w:r>
      <w:r>
        <w:fldChar w:fldCharType="end"/>
      </w:r>
    </w:p>
    <w:p>
      <w:pPr>
        <w:pStyle w:val="4"/>
        <w:tabs>
          <w:tab w:val="right" w:leader="dot" w:pos="14572"/>
        </w:tabs>
      </w:pPr>
      <w:r>
        <w:fldChar w:fldCharType="begin"/>
      </w:r>
      <w:r>
        <w:instrText xml:space="preserve"> HYPERLINK \l _Toc15101 </w:instrText>
      </w:r>
      <w:r>
        <w:fldChar w:fldCharType="separate"/>
      </w:r>
      <w:r>
        <w:rPr>
          <w:rFonts w:ascii="方正小标宋_GBK" w:hAnsi="方正小标宋_GBK" w:eastAsia="方正小标宋_GBK" w:cs="方正小标宋_GBK"/>
        </w:rPr>
        <w:t>部门预算一般公共预算财政拨款基本支出表</w:t>
      </w:r>
      <w:r>
        <w:tab/>
      </w:r>
      <w:r>
        <w:fldChar w:fldCharType="begin"/>
      </w:r>
      <w:r>
        <w:instrText xml:space="preserve"> PAGEREF _Toc15101 \h </w:instrText>
      </w:r>
      <w:r>
        <w:fldChar w:fldCharType="separate"/>
      </w:r>
      <w:r>
        <w:t>11</w:t>
      </w:r>
      <w:r>
        <w:fldChar w:fldCharType="end"/>
      </w:r>
      <w:r>
        <w:fldChar w:fldCharType="end"/>
      </w:r>
    </w:p>
    <w:p>
      <w:pPr>
        <w:pStyle w:val="4"/>
        <w:tabs>
          <w:tab w:val="right" w:leader="dot" w:pos="14572"/>
        </w:tabs>
      </w:pPr>
      <w:r>
        <w:fldChar w:fldCharType="begin"/>
      </w:r>
      <w:r>
        <w:instrText xml:space="preserve"> HYPERLINK \l _Toc28781 </w:instrText>
      </w:r>
      <w:r>
        <w:fldChar w:fldCharType="separate"/>
      </w:r>
      <w:r>
        <w:rPr>
          <w:rFonts w:ascii="方正小标宋_GBK" w:hAnsi="方正小标宋_GBK" w:eastAsia="方正小标宋_GBK" w:cs="方正小标宋_GBK"/>
        </w:rPr>
        <w:t>部门预算政府性基金预算财政拨款支出表</w:t>
      </w:r>
      <w:r>
        <w:tab/>
      </w:r>
      <w:r>
        <w:fldChar w:fldCharType="begin"/>
      </w:r>
      <w:r>
        <w:instrText xml:space="preserve"> PAGEREF _Toc28781 \h </w:instrText>
      </w:r>
      <w:r>
        <w:fldChar w:fldCharType="separate"/>
      </w:r>
      <w:r>
        <w:t>13</w:t>
      </w:r>
      <w:r>
        <w:fldChar w:fldCharType="end"/>
      </w:r>
      <w:r>
        <w:fldChar w:fldCharType="end"/>
      </w:r>
    </w:p>
    <w:p>
      <w:pPr>
        <w:pStyle w:val="4"/>
        <w:tabs>
          <w:tab w:val="right" w:leader="dot" w:pos="14572"/>
        </w:tabs>
      </w:pPr>
      <w:r>
        <w:fldChar w:fldCharType="begin"/>
      </w:r>
      <w:r>
        <w:instrText xml:space="preserve"> HYPERLINK \l _Toc10306 </w:instrText>
      </w:r>
      <w:r>
        <w:fldChar w:fldCharType="separate"/>
      </w:r>
      <w:r>
        <w:rPr>
          <w:rFonts w:ascii="方正小标宋_GBK" w:hAnsi="方正小标宋_GBK" w:eastAsia="方正小标宋_GBK" w:cs="方正小标宋_GBK"/>
        </w:rPr>
        <w:t>部门预算国有资本经营预算财政拨款支出表</w:t>
      </w:r>
      <w:r>
        <w:tab/>
      </w:r>
      <w:r>
        <w:fldChar w:fldCharType="begin"/>
      </w:r>
      <w:r>
        <w:instrText xml:space="preserve"> PAGEREF _Toc10306 \h </w:instrText>
      </w:r>
      <w:r>
        <w:fldChar w:fldCharType="separate"/>
      </w:r>
      <w:r>
        <w:t>14</w:t>
      </w:r>
      <w:r>
        <w:fldChar w:fldCharType="end"/>
      </w:r>
      <w:r>
        <w:fldChar w:fldCharType="end"/>
      </w:r>
    </w:p>
    <w:p>
      <w:pPr>
        <w:pStyle w:val="4"/>
        <w:tabs>
          <w:tab w:val="right" w:leader="dot" w:pos="14572"/>
        </w:tabs>
      </w:pPr>
      <w:r>
        <w:fldChar w:fldCharType="begin"/>
      </w:r>
      <w:r>
        <w:instrText xml:space="preserve"> HYPERLINK \l _Toc10181 </w:instrText>
      </w:r>
      <w:r>
        <w:fldChar w:fldCharType="separate"/>
      </w:r>
      <w:r>
        <w:rPr>
          <w:rFonts w:ascii="方正小标宋_GBK" w:hAnsi="方正小标宋_GBK" w:eastAsia="方正小标宋_GBK" w:cs="方正小标宋_GBK"/>
        </w:rPr>
        <w:t>部门预算财政拨款“三公”经费支出表</w:t>
      </w:r>
      <w:r>
        <w:tab/>
      </w:r>
      <w:r>
        <w:fldChar w:fldCharType="begin"/>
      </w:r>
      <w:r>
        <w:instrText xml:space="preserve"> PAGEREF _Toc10181 \h </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
        <w:tabs>
          <w:tab w:val="right" w:leader="dot" w:pos="14572"/>
        </w:tabs>
      </w:pPr>
      <w:r>
        <w:fldChar w:fldCharType="begin"/>
      </w:r>
      <w:r>
        <w:instrText xml:space="preserve">TOC \o "3-3" \h \z \u</w:instrText>
      </w:r>
      <w:r>
        <w:fldChar w:fldCharType="separate"/>
      </w:r>
      <w:r>
        <w:fldChar w:fldCharType="begin"/>
      </w:r>
      <w:r>
        <w:instrText xml:space="preserve"> HYPERLINK \l _Toc27787 </w:instrText>
      </w:r>
      <w:r>
        <w:fldChar w:fldCharType="separate"/>
      </w:r>
      <w:r>
        <w:rPr>
          <w:rFonts w:ascii="黑体" w:hAnsi="黑体" w:eastAsia="黑体" w:cs="黑体"/>
        </w:rPr>
        <w:t>一、部门职责及机构设置情况</w:t>
      </w:r>
      <w:r>
        <w:tab/>
      </w:r>
      <w:r>
        <w:fldChar w:fldCharType="begin"/>
      </w:r>
      <w:r>
        <w:instrText xml:space="preserve"> PAGEREF _Toc27787 \h </w:instrText>
      </w:r>
      <w:r>
        <w:fldChar w:fldCharType="separate"/>
      </w:r>
      <w:r>
        <w:t>17</w:t>
      </w:r>
      <w:r>
        <w:fldChar w:fldCharType="end"/>
      </w:r>
      <w:r>
        <w:fldChar w:fldCharType="end"/>
      </w:r>
    </w:p>
    <w:p>
      <w:pPr>
        <w:pStyle w:val="2"/>
        <w:tabs>
          <w:tab w:val="right" w:leader="dot" w:pos="14572"/>
        </w:tabs>
      </w:pPr>
      <w:r>
        <w:fldChar w:fldCharType="begin"/>
      </w:r>
      <w:r>
        <w:instrText xml:space="preserve"> HYPERLINK \l _Toc31073 </w:instrText>
      </w:r>
      <w:r>
        <w:fldChar w:fldCharType="separate"/>
      </w:r>
      <w:r>
        <w:rPr>
          <w:rFonts w:ascii="黑体" w:hAnsi="黑体" w:eastAsia="黑体" w:cs="黑体"/>
        </w:rPr>
        <w:t>二、部门预算安排的总体情况</w:t>
      </w:r>
      <w:r>
        <w:tab/>
      </w:r>
      <w:r>
        <w:fldChar w:fldCharType="begin"/>
      </w:r>
      <w:r>
        <w:instrText xml:space="preserve"> PAGEREF _Toc31073 \h </w:instrText>
      </w:r>
      <w:r>
        <w:fldChar w:fldCharType="separate"/>
      </w:r>
      <w:r>
        <w:t>20</w:t>
      </w:r>
      <w:r>
        <w:fldChar w:fldCharType="end"/>
      </w:r>
      <w:r>
        <w:fldChar w:fldCharType="end"/>
      </w:r>
    </w:p>
    <w:p>
      <w:pPr>
        <w:pStyle w:val="2"/>
        <w:tabs>
          <w:tab w:val="right" w:leader="dot" w:pos="14572"/>
        </w:tabs>
      </w:pPr>
      <w:r>
        <w:fldChar w:fldCharType="begin"/>
      </w:r>
      <w:r>
        <w:instrText xml:space="preserve"> HYPERLINK \l _Toc29440 </w:instrText>
      </w:r>
      <w:r>
        <w:fldChar w:fldCharType="separate"/>
      </w:r>
      <w:r>
        <w:rPr>
          <w:rFonts w:ascii="黑体" w:hAnsi="黑体" w:eastAsia="黑体" w:cs="黑体"/>
        </w:rPr>
        <w:t>三、机关运行经费安排情况</w:t>
      </w:r>
      <w:r>
        <w:tab/>
      </w:r>
      <w:r>
        <w:fldChar w:fldCharType="begin"/>
      </w:r>
      <w:r>
        <w:instrText xml:space="preserve"> PAGEREF _Toc29440 \h </w:instrText>
      </w:r>
      <w:r>
        <w:fldChar w:fldCharType="separate"/>
      </w:r>
      <w:r>
        <w:t>21</w:t>
      </w:r>
      <w:r>
        <w:fldChar w:fldCharType="end"/>
      </w:r>
      <w:r>
        <w:fldChar w:fldCharType="end"/>
      </w:r>
    </w:p>
    <w:p>
      <w:pPr>
        <w:pStyle w:val="2"/>
        <w:tabs>
          <w:tab w:val="right" w:leader="dot" w:pos="14572"/>
        </w:tabs>
      </w:pPr>
      <w:r>
        <w:fldChar w:fldCharType="begin"/>
      </w:r>
      <w:r>
        <w:instrText xml:space="preserve"> HYPERLINK \l _Toc7023 </w:instrText>
      </w:r>
      <w:r>
        <w:fldChar w:fldCharType="separate"/>
      </w:r>
      <w:r>
        <w:rPr>
          <w:rFonts w:ascii="黑体" w:hAnsi="黑体" w:eastAsia="黑体" w:cs="黑体"/>
        </w:rPr>
        <w:t>四、财政拨款“三公”经费预算情况及增减变化原因</w:t>
      </w:r>
      <w:r>
        <w:tab/>
      </w:r>
      <w:r>
        <w:fldChar w:fldCharType="begin"/>
      </w:r>
      <w:r>
        <w:instrText xml:space="preserve"> PAGEREF _Toc7023 \h </w:instrText>
      </w:r>
      <w:r>
        <w:fldChar w:fldCharType="separate"/>
      </w:r>
      <w:r>
        <w:t>21</w:t>
      </w:r>
      <w:r>
        <w:fldChar w:fldCharType="end"/>
      </w:r>
      <w:r>
        <w:fldChar w:fldCharType="end"/>
      </w:r>
    </w:p>
    <w:p>
      <w:pPr>
        <w:pStyle w:val="2"/>
        <w:tabs>
          <w:tab w:val="right" w:leader="dot" w:pos="14572"/>
        </w:tabs>
      </w:pPr>
      <w:r>
        <w:fldChar w:fldCharType="begin"/>
      </w:r>
      <w:r>
        <w:instrText xml:space="preserve"> HYPERLINK \l _Toc16688 </w:instrText>
      </w:r>
      <w:r>
        <w:fldChar w:fldCharType="separate"/>
      </w:r>
      <w:r>
        <w:rPr>
          <w:rFonts w:ascii="黑体" w:hAnsi="黑体" w:eastAsia="黑体" w:cs="黑体"/>
        </w:rPr>
        <w:t>五、部门整体绩效目标</w:t>
      </w:r>
      <w:r>
        <w:tab/>
      </w:r>
      <w:r>
        <w:fldChar w:fldCharType="begin"/>
      </w:r>
      <w:r>
        <w:instrText xml:space="preserve"> PAGEREF _Toc16688 \h </w:instrText>
      </w:r>
      <w:r>
        <w:fldChar w:fldCharType="separate"/>
      </w:r>
      <w:r>
        <w:t>21</w:t>
      </w:r>
      <w:r>
        <w:fldChar w:fldCharType="end"/>
      </w:r>
      <w:r>
        <w:fldChar w:fldCharType="end"/>
      </w:r>
    </w:p>
    <w:p>
      <w:pPr>
        <w:pStyle w:val="2"/>
        <w:tabs>
          <w:tab w:val="right" w:leader="dot" w:pos="14572"/>
        </w:tabs>
      </w:pPr>
      <w:r>
        <w:fldChar w:fldCharType="begin"/>
      </w:r>
      <w:r>
        <w:instrText xml:space="preserve"> HYPERLINK \l _Toc5617 </w:instrText>
      </w:r>
      <w:r>
        <w:fldChar w:fldCharType="separate"/>
      </w:r>
      <w:r>
        <w:rPr>
          <w:rFonts w:hint="eastAsia" w:ascii="黑体" w:hAnsi="黑体" w:eastAsia="黑体" w:cs="黑体"/>
          <w:lang w:val="en-US" w:eastAsia="zh-CN"/>
        </w:rPr>
        <w:t>六</w:t>
      </w:r>
      <w:r>
        <w:rPr>
          <w:rFonts w:ascii="黑体" w:hAnsi="黑体" w:eastAsia="黑体" w:cs="黑体"/>
        </w:rPr>
        <w:t>、部门项目预算安排情况及绩效目标</w:t>
      </w:r>
      <w:r>
        <w:tab/>
      </w:r>
      <w:r>
        <w:fldChar w:fldCharType="begin"/>
      </w:r>
      <w:r>
        <w:instrText xml:space="preserve"> PAGEREF _Toc5617 \h </w:instrText>
      </w:r>
      <w:r>
        <w:fldChar w:fldCharType="separate"/>
      </w:r>
      <w:r>
        <w:t>26</w:t>
      </w:r>
      <w:r>
        <w:fldChar w:fldCharType="end"/>
      </w:r>
      <w:r>
        <w:fldChar w:fldCharType="end"/>
      </w:r>
    </w:p>
    <w:p>
      <w:pPr>
        <w:pStyle w:val="2"/>
        <w:tabs>
          <w:tab w:val="right" w:leader="dot" w:pos="14572"/>
        </w:tabs>
      </w:pPr>
      <w:r>
        <w:fldChar w:fldCharType="begin"/>
      </w:r>
      <w:r>
        <w:instrText xml:space="preserve"> HYPERLINK \l _Toc7189 </w:instrText>
      </w:r>
      <w:r>
        <w:fldChar w:fldCharType="separate"/>
      </w:r>
      <w:r>
        <w:rPr>
          <w:rFonts w:hint="eastAsia" w:ascii="黑体" w:hAnsi="黑体" w:eastAsia="黑体" w:cs="黑体"/>
          <w:lang w:val="en-US" w:eastAsia="zh-CN"/>
        </w:rPr>
        <w:t>七</w:t>
      </w:r>
      <w:r>
        <w:rPr>
          <w:rFonts w:ascii="黑体" w:hAnsi="黑体" w:eastAsia="黑体" w:cs="黑体"/>
        </w:rPr>
        <w:t>、政府采购预算情况</w:t>
      </w:r>
      <w:r>
        <w:tab/>
      </w:r>
      <w:r>
        <w:fldChar w:fldCharType="begin"/>
      </w:r>
      <w:r>
        <w:instrText xml:space="preserve"> PAGEREF _Toc7189 \h </w:instrText>
      </w:r>
      <w:r>
        <w:fldChar w:fldCharType="separate"/>
      </w:r>
      <w:r>
        <w:t>44</w:t>
      </w:r>
      <w:r>
        <w:fldChar w:fldCharType="end"/>
      </w:r>
      <w:r>
        <w:fldChar w:fldCharType="end"/>
      </w:r>
    </w:p>
    <w:p>
      <w:pPr>
        <w:pStyle w:val="2"/>
        <w:tabs>
          <w:tab w:val="right" w:leader="dot" w:pos="14572"/>
        </w:tabs>
      </w:pPr>
      <w:r>
        <w:fldChar w:fldCharType="begin"/>
      </w:r>
      <w:r>
        <w:instrText xml:space="preserve"> HYPERLINK \l _Toc14627 </w:instrText>
      </w:r>
      <w:r>
        <w:fldChar w:fldCharType="separate"/>
      </w:r>
      <w:r>
        <w:rPr>
          <w:rFonts w:hint="eastAsia" w:ascii="黑体" w:hAnsi="黑体" w:eastAsia="黑体" w:cs="黑体"/>
          <w:lang w:val="en-US" w:eastAsia="zh-CN"/>
        </w:rPr>
        <w:t>八</w:t>
      </w:r>
      <w:r>
        <w:rPr>
          <w:rFonts w:ascii="黑体" w:hAnsi="黑体" w:eastAsia="黑体" w:cs="黑体"/>
        </w:rPr>
        <w:t>、国有资产信息</w:t>
      </w:r>
      <w:r>
        <w:tab/>
      </w:r>
      <w:r>
        <w:fldChar w:fldCharType="begin"/>
      </w:r>
      <w:r>
        <w:instrText xml:space="preserve"> PAGEREF _Toc14627 \h </w:instrText>
      </w:r>
      <w:r>
        <w:fldChar w:fldCharType="separate"/>
      </w:r>
      <w:r>
        <w:t>44</w:t>
      </w:r>
      <w:r>
        <w:fldChar w:fldCharType="end"/>
      </w:r>
      <w:r>
        <w:fldChar w:fldCharType="end"/>
      </w:r>
    </w:p>
    <w:p>
      <w:pPr>
        <w:pStyle w:val="2"/>
        <w:tabs>
          <w:tab w:val="right" w:leader="dot" w:pos="14572"/>
        </w:tabs>
      </w:pPr>
      <w:r>
        <w:fldChar w:fldCharType="begin"/>
      </w:r>
      <w:r>
        <w:instrText xml:space="preserve"> HYPERLINK \l _Toc23930 </w:instrText>
      </w:r>
      <w:r>
        <w:fldChar w:fldCharType="separate"/>
      </w:r>
      <w:r>
        <w:rPr>
          <w:rFonts w:hint="eastAsia" w:ascii="黑体" w:hAnsi="黑体" w:eastAsia="黑体" w:cs="黑体"/>
          <w:lang w:val="en-US" w:eastAsia="zh-CN"/>
        </w:rPr>
        <w:t>九</w:t>
      </w:r>
      <w:r>
        <w:rPr>
          <w:rFonts w:ascii="黑体" w:hAnsi="黑体" w:eastAsia="黑体" w:cs="黑体"/>
        </w:rPr>
        <w:t>、名词解释</w:t>
      </w:r>
      <w:r>
        <w:tab/>
      </w:r>
      <w:r>
        <w:fldChar w:fldCharType="begin"/>
      </w:r>
      <w:r>
        <w:instrText xml:space="preserve"> PAGEREF _Toc23930 \h </w:instrText>
      </w:r>
      <w:r>
        <w:fldChar w:fldCharType="separate"/>
      </w:r>
      <w:r>
        <w:t>45</w:t>
      </w:r>
      <w:r>
        <w:fldChar w:fldCharType="end"/>
      </w:r>
      <w:r>
        <w:fldChar w:fldCharType="end"/>
      </w:r>
    </w:p>
    <w:p>
      <w:pPr>
        <w:pStyle w:val="2"/>
        <w:tabs>
          <w:tab w:val="right" w:leader="dot" w:pos="14572"/>
        </w:tabs>
      </w:pPr>
      <w:r>
        <w:fldChar w:fldCharType="begin"/>
      </w:r>
      <w:r>
        <w:instrText xml:space="preserve"> HYPERLINK \l _Toc8220 </w:instrText>
      </w:r>
      <w:r>
        <w:fldChar w:fldCharType="separate"/>
      </w:r>
      <w:r>
        <w:rPr>
          <w:rFonts w:ascii="黑体" w:hAnsi="黑体" w:eastAsia="黑体" w:cs="黑体"/>
        </w:rPr>
        <w:t>十、其他需要说明的事项</w:t>
      </w:r>
      <w:r>
        <w:tab/>
      </w:r>
      <w:r>
        <w:fldChar w:fldCharType="begin"/>
      </w:r>
      <w:r>
        <w:instrText xml:space="preserve"> PAGEREF _Toc8220 \h </w:instrText>
      </w:r>
      <w:r>
        <w:fldChar w:fldCharType="separate"/>
      </w:r>
      <w:r>
        <w:t>46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8879"/>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414唐山市开平区市场监督管理局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2330.12</w:t>
            </w:r>
          </w:p>
        </w:tc>
        <w:tc>
          <w:tcPr>
            <w:tcW w:w="4535" w:type="dxa"/>
            <w:vAlign w:val="center"/>
          </w:tcPr>
          <w:p>
            <w:pPr>
              <w:pStyle w:val="13"/>
            </w:pPr>
            <w:r>
              <w:t>一、一般公共服务支出</w:t>
            </w:r>
          </w:p>
        </w:tc>
        <w:tc>
          <w:tcPr>
            <w:tcW w:w="2126" w:type="dxa"/>
            <w:vAlign w:val="center"/>
          </w:tcPr>
          <w:p>
            <w:pPr>
              <w:pStyle w:val="12"/>
            </w:pPr>
            <w:r>
              <w:t>1863.46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45.60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146.85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199.18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45.60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120.63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2375.72</w:t>
            </w:r>
          </w:p>
        </w:tc>
        <w:tc>
          <w:tcPr>
            <w:tcW w:w="4535" w:type="dxa"/>
            <w:vAlign w:val="center"/>
          </w:tcPr>
          <w:p>
            <w:pPr>
              <w:pStyle w:val="15"/>
            </w:pPr>
            <w:r>
              <w:t>本年支出合计</w:t>
            </w:r>
          </w:p>
        </w:tc>
        <w:tc>
          <w:tcPr>
            <w:tcW w:w="2126" w:type="dxa"/>
            <w:vAlign w:val="center"/>
          </w:tcPr>
          <w:p>
            <w:pPr>
              <w:pStyle w:val="16"/>
            </w:pPr>
            <w:r>
              <w:t>2375.72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2375.72</w:t>
            </w:r>
          </w:p>
        </w:tc>
        <w:tc>
          <w:tcPr>
            <w:tcW w:w="4535" w:type="dxa"/>
            <w:vAlign w:val="center"/>
          </w:tcPr>
          <w:p>
            <w:pPr>
              <w:pStyle w:val="15"/>
            </w:pPr>
            <w:r>
              <w:t>支出总计</w:t>
            </w:r>
          </w:p>
        </w:tc>
        <w:tc>
          <w:tcPr>
            <w:tcW w:w="2126" w:type="dxa"/>
            <w:vAlign w:val="center"/>
          </w:tcPr>
          <w:p>
            <w:pPr>
              <w:pStyle w:val="16"/>
            </w:pPr>
            <w:r>
              <w:t>2375.72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28475"/>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414唐山市开平区市场监督管理局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2375.72</w:t>
            </w:r>
          </w:p>
        </w:tc>
        <w:tc>
          <w:tcPr>
            <w:tcW w:w="1134" w:type="dxa"/>
            <w:vAlign w:val="center"/>
          </w:tcPr>
          <w:p>
            <w:pPr>
              <w:pStyle w:val="16"/>
            </w:pPr>
            <w:r>
              <w:t>2375.72</w:t>
            </w:r>
          </w:p>
        </w:tc>
        <w:tc>
          <w:tcPr>
            <w:tcW w:w="1134" w:type="dxa"/>
            <w:vAlign w:val="center"/>
          </w:tcPr>
          <w:p>
            <w:pPr>
              <w:pStyle w:val="16"/>
            </w:pPr>
            <w:r>
              <w:t>2375.72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1863.46</w:t>
            </w:r>
          </w:p>
        </w:tc>
        <w:tc>
          <w:tcPr>
            <w:tcW w:w="1134" w:type="dxa"/>
            <w:vAlign w:val="center"/>
          </w:tcPr>
          <w:p>
            <w:pPr>
              <w:pStyle w:val="12"/>
            </w:pPr>
            <w:r>
              <w:t>1863.46</w:t>
            </w:r>
          </w:p>
        </w:tc>
        <w:tc>
          <w:tcPr>
            <w:tcW w:w="1134" w:type="dxa"/>
            <w:vAlign w:val="center"/>
          </w:tcPr>
          <w:p>
            <w:pPr>
              <w:pStyle w:val="12"/>
            </w:pPr>
            <w:r>
              <w:t>1863.46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20138</w:t>
            </w:r>
          </w:p>
        </w:tc>
        <w:tc>
          <w:tcPr>
            <w:tcW w:w="1559" w:type="dxa"/>
            <w:vAlign w:val="center"/>
          </w:tcPr>
          <w:p>
            <w:pPr>
              <w:pStyle w:val="13"/>
            </w:pPr>
            <w:r>
              <w:t>市场监督管理事务</w:t>
            </w:r>
          </w:p>
        </w:tc>
        <w:tc>
          <w:tcPr>
            <w:tcW w:w="1134" w:type="dxa"/>
            <w:vAlign w:val="center"/>
          </w:tcPr>
          <w:p>
            <w:pPr>
              <w:pStyle w:val="12"/>
            </w:pPr>
            <w:r>
              <w:t>1863.46</w:t>
            </w:r>
          </w:p>
        </w:tc>
        <w:tc>
          <w:tcPr>
            <w:tcW w:w="1134" w:type="dxa"/>
            <w:vAlign w:val="center"/>
          </w:tcPr>
          <w:p>
            <w:pPr>
              <w:pStyle w:val="12"/>
            </w:pPr>
            <w:r>
              <w:t>1863.46</w:t>
            </w:r>
          </w:p>
        </w:tc>
        <w:tc>
          <w:tcPr>
            <w:tcW w:w="1134" w:type="dxa"/>
            <w:vAlign w:val="center"/>
          </w:tcPr>
          <w:p>
            <w:pPr>
              <w:pStyle w:val="12"/>
            </w:pPr>
            <w:r>
              <w:t>1863.46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2013801</w:t>
            </w:r>
          </w:p>
        </w:tc>
        <w:tc>
          <w:tcPr>
            <w:tcW w:w="1559" w:type="dxa"/>
            <w:vAlign w:val="center"/>
          </w:tcPr>
          <w:p>
            <w:pPr>
              <w:pStyle w:val="13"/>
            </w:pPr>
            <w:r>
              <w:t>行政运行</w:t>
            </w:r>
          </w:p>
        </w:tc>
        <w:tc>
          <w:tcPr>
            <w:tcW w:w="1134" w:type="dxa"/>
            <w:vAlign w:val="center"/>
          </w:tcPr>
          <w:p>
            <w:pPr>
              <w:pStyle w:val="12"/>
            </w:pPr>
            <w:r>
              <w:t>1729.97</w:t>
            </w:r>
          </w:p>
        </w:tc>
        <w:tc>
          <w:tcPr>
            <w:tcW w:w="1134" w:type="dxa"/>
            <w:vAlign w:val="center"/>
          </w:tcPr>
          <w:p>
            <w:pPr>
              <w:pStyle w:val="12"/>
            </w:pPr>
            <w:r>
              <w:t>1729.97</w:t>
            </w:r>
          </w:p>
        </w:tc>
        <w:tc>
          <w:tcPr>
            <w:tcW w:w="1134" w:type="dxa"/>
            <w:vAlign w:val="center"/>
          </w:tcPr>
          <w:p>
            <w:pPr>
              <w:pStyle w:val="12"/>
            </w:pPr>
            <w:r>
              <w:t>1729.97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2013804</w:t>
            </w:r>
          </w:p>
        </w:tc>
        <w:tc>
          <w:tcPr>
            <w:tcW w:w="1559" w:type="dxa"/>
            <w:vAlign w:val="center"/>
          </w:tcPr>
          <w:p>
            <w:pPr>
              <w:pStyle w:val="13"/>
            </w:pPr>
            <w:r>
              <w:t>经营主体管理</w:t>
            </w:r>
          </w:p>
        </w:tc>
        <w:tc>
          <w:tcPr>
            <w:tcW w:w="1134" w:type="dxa"/>
            <w:vAlign w:val="center"/>
          </w:tcPr>
          <w:p>
            <w:pPr>
              <w:pStyle w:val="12"/>
            </w:pPr>
            <w:r>
              <w:t>64.65</w:t>
            </w:r>
          </w:p>
        </w:tc>
        <w:tc>
          <w:tcPr>
            <w:tcW w:w="1134" w:type="dxa"/>
            <w:vAlign w:val="center"/>
          </w:tcPr>
          <w:p>
            <w:pPr>
              <w:pStyle w:val="12"/>
            </w:pPr>
            <w:r>
              <w:t>64.65</w:t>
            </w:r>
          </w:p>
        </w:tc>
        <w:tc>
          <w:tcPr>
            <w:tcW w:w="1134" w:type="dxa"/>
            <w:vAlign w:val="center"/>
          </w:tcPr>
          <w:p>
            <w:pPr>
              <w:pStyle w:val="12"/>
            </w:pPr>
            <w:r>
              <w:t>64.65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2013805</w:t>
            </w:r>
          </w:p>
        </w:tc>
        <w:tc>
          <w:tcPr>
            <w:tcW w:w="1559" w:type="dxa"/>
            <w:vAlign w:val="center"/>
          </w:tcPr>
          <w:p>
            <w:pPr>
              <w:pStyle w:val="13"/>
            </w:pPr>
            <w:r>
              <w:t>市场秩序执法</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2013816</w:t>
            </w:r>
          </w:p>
        </w:tc>
        <w:tc>
          <w:tcPr>
            <w:tcW w:w="1559" w:type="dxa"/>
            <w:vAlign w:val="center"/>
          </w:tcPr>
          <w:p>
            <w:pPr>
              <w:pStyle w:val="13"/>
            </w:pPr>
            <w:r>
              <w:t>食品安全监管</w:t>
            </w:r>
          </w:p>
        </w:tc>
        <w:tc>
          <w:tcPr>
            <w:tcW w:w="1134" w:type="dxa"/>
            <w:vAlign w:val="center"/>
          </w:tcPr>
          <w:p>
            <w:pPr>
              <w:pStyle w:val="12"/>
            </w:pPr>
            <w:r>
              <w:t>43.84</w:t>
            </w:r>
          </w:p>
        </w:tc>
        <w:tc>
          <w:tcPr>
            <w:tcW w:w="1134" w:type="dxa"/>
            <w:vAlign w:val="center"/>
          </w:tcPr>
          <w:p>
            <w:pPr>
              <w:pStyle w:val="12"/>
            </w:pPr>
            <w:r>
              <w:t>43.84</w:t>
            </w:r>
          </w:p>
        </w:tc>
        <w:tc>
          <w:tcPr>
            <w:tcW w:w="1134" w:type="dxa"/>
            <w:vAlign w:val="center"/>
          </w:tcPr>
          <w:p>
            <w:pPr>
              <w:pStyle w:val="12"/>
            </w:pPr>
            <w:r>
              <w:t>43.84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146.85</w:t>
            </w:r>
          </w:p>
        </w:tc>
        <w:tc>
          <w:tcPr>
            <w:tcW w:w="1134" w:type="dxa"/>
            <w:vAlign w:val="center"/>
          </w:tcPr>
          <w:p>
            <w:pPr>
              <w:pStyle w:val="12"/>
            </w:pPr>
            <w:r>
              <w:t>146.85</w:t>
            </w:r>
          </w:p>
        </w:tc>
        <w:tc>
          <w:tcPr>
            <w:tcW w:w="1134" w:type="dxa"/>
            <w:vAlign w:val="center"/>
          </w:tcPr>
          <w:p>
            <w:pPr>
              <w:pStyle w:val="12"/>
            </w:pPr>
            <w:r>
              <w:t>146.85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146.85</w:t>
            </w:r>
          </w:p>
        </w:tc>
        <w:tc>
          <w:tcPr>
            <w:tcW w:w="1134" w:type="dxa"/>
            <w:vAlign w:val="center"/>
          </w:tcPr>
          <w:p>
            <w:pPr>
              <w:pStyle w:val="12"/>
            </w:pPr>
            <w:r>
              <w:t>146.85</w:t>
            </w:r>
          </w:p>
        </w:tc>
        <w:tc>
          <w:tcPr>
            <w:tcW w:w="1134" w:type="dxa"/>
            <w:vAlign w:val="center"/>
          </w:tcPr>
          <w:p>
            <w:pPr>
              <w:pStyle w:val="12"/>
            </w:pPr>
            <w:r>
              <w:t>146.85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146.85</w:t>
            </w:r>
          </w:p>
        </w:tc>
        <w:tc>
          <w:tcPr>
            <w:tcW w:w="1134" w:type="dxa"/>
            <w:vAlign w:val="center"/>
          </w:tcPr>
          <w:p>
            <w:pPr>
              <w:pStyle w:val="12"/>
            </w:pPr>
            <w:r>
              <w:t>146.85</w:t>
            </w:r>
          </w:p>
        </w:tc>
        <w:tc>
          <w:tcPr>
            <w:tcW w:w="1134" w:type="dxa"/>
            <w:vAlign w:val="center"/>
          </w:tcPr>
          <w:p>
            <w:pPr>
              <w:pStyle w:val="12"/>
            </w:pPr>
            <w:r>
              <w:t>146.85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199.18</w:t>
            </w:r>
          </w:p>
        </w:tc>
        <w:tc>
          <w:tcPr>
            <w:tcW w:w="1134" w:type="dxa"/>
            <w:vAlign w:val="center"/>
          </w:tcPr>
          <w:p>
            <w:pPr>
              <w:pStyle w:val="12"/>
            </w:pPr>
            <w:r>
              <w:t>199.18</w:t>
            </w:r>
          </w:p>
        </w:tc>
        <w:tc>
          <w:tcPr>
            <w:tcW w:w="1134" w:type="dxa"/>
            <w:vAlign w:val="center"/>
          </w:tcPr>
          <w:p>
            <w:pPr>
              <w:pStyle w:val="12"/>
            </w:pPr>
            <w:r>
              <w:t>199.18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21007</w:t>
            </w:r>
          </w:p>
        </w:tc>
        <w:tc>
          <w:tcPr>
            <w:tcW w:w="1559" w:type="dxa"/>
            <w:vAlign w:val="center"/>
          </w:tcPr>
          <w:p>
            <w:pPr>
              <w:pStyle w:val="13"/>
            </w:pPr>
            <w:r>
              <w:t>计划生育事务</w:t>
            </w:r>
          </w:p>
        </w:tc>
        <w:tc>
          <w:tcPr>
            <w:tcW w:w="1134" w:type="dxa"/>
            <w:vAlign w:val="center"/>
          </w:tcPr>
          <w:p>
            <w:pPr>
              <w:pStyle w:val="12"/>
            </w:pPr>
            <w:r>
              <w:t>2.10</w:t>
            </w:r>
          </w:p>
        </w:tc>
        <w:tc>
          <w:tcPr>
            <w:tcW w:w="1134" w:type="dxa"/>
            <w:vAlign w:val="center"/>
          </w:tcPr>
          <w:p>
            <w:pPr>
              <w:pStyle w:val="12"/>
            </w:pPr>
            <w:r>
              <w:t>2.10</w:t>
            </w:r>
          </w:p>
        </w:tc>
        <w:tc>
          <w:tcPr>
            <w:tcW w:w="1134" w:type="dxa"/>
            <w:vAlign w:val="center"/>
          </w:tcPr>
          <w:p>
            <w:pPr>
              <w:pStyle w:val="12"/>
            </w:pPr>
            <w:r>
              <w:t>2.10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2100717</w:t>
            </w:r>
          </w:p>
        </w:tc>
        <w:tc>
          <w:tcPr>
            <w:tcW w:w="1559" w:type="dxa"/>
            <w:vAlign w:val="center"/>
          </w:tcPr>
          <w:p>
            <w:pPr>
              <w:pStyle w:val="13"/>
            </w:pPr>
            <w:r>
              <w:t>计划生育服务</w:t>
            </w:r>
          </w:p>
        </w:tc>
        <w:tc>
          <w:tcPr>
            <w:tcW w:w="1134" w:type="dxa"/>
            <w:vAlign w:val="center"/>
          </w:tcPr>
          <w:p>
            <w:pPr>
              <w:pStyle w:val="12"/>
            </w:pPr>
            <w:r>
              <w:t>2.10</w:t>
            </w:r>
          </w:p>
        </w:tc>
        <w:tc>
          <w:tcPr>
            <w:tcW w:w="1134" w:type="dxa"/>
            <w:vAlign w:val="center"/>
          </w:tcPr>
          <w:p>
            <w:pPr>
              <w:pStyle w:val="12"/>
            </w:pPr>
            <w:r>
              <w:t>2.10</w:t>
            </w:r>
          </w:p>
        </w:tc>
        <w:tc>
          <w:tcPr>
            <w:tcW w:w="1134" w:type="dxa"/>
            <w:vAlign w:val="center"/>
          </w:tcPr>
          <w:p>
            <w:pPr>
              <w:pStyle w:val="12"/>
            </w:pPr>
            <w:r>
              <w:t>2.10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197.08</w:t>
            </w:r>
          </w:p>
        </w:tc>
        <w:tc>
          <w:tcPr>
            <w:tcW w:w="1134" w:type="dxa"/>
            <w:vAlign w:val="center"/>
          </w:tcPr>
          <w:p>
            <w:pPr>
              <w:pStyle w:val="12"/>
            </w:pPr>
            <w:r>
              <w:t>197.08</w:t>
            </w:r>
          </w:p>
        </w:tc>
        <w:tc>
          <w:tcPr>
            <w:tcW w:w="1134" w:type="dxa"/>
            <w:vAlign w:val="center"/>
          </w:tcPr>
          <w:p>
            <w:pPr>
              <w:pStyle w:val="12"/>
            </w:pPr>
            <w:r>
              <w:t>197.08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197.08</w:t>
            </w:r>
          </w:p>
        </w:tc>
        <w:tc>
          <w:tcPr>
            <w:tcW w:w="1134" w:type="dxa"/>
            <w:vAlign w:val="center"/>
          </w:tcPr>
          <w:p>
            <w:pPr>
              <w:pStyle w:val="12"/>
            </w:pPr>
            <w:r>
              <w:t>197.08</w:t>
            </w:r>
          </w:p>
        </w:tc>
        <w:tc>
          <w:tcPr>
            <w:tcW w:w="1134" w:type="dxa"/>
            <w:vAlign w:val="center"/>
          </w:tcPr>
          <w:p>
            <w:pPr>
              <w:pStyle w:val="12"/>
            </w:pPr>
            <w:r>
              <w:t>197.08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45.60</w:t>
            </w:r>
          </w:p>
        </w:tc>
        <w:tc>
          <w:tcPr>
            <w:tcW w:w="1134" w:type="dxa"/>
            <w:vAlign w:val="center"/>
          </w:tcPr>
          <w:p>
            <w:pPr>
              <w:pStyle w:val="12"/>
            </w:pPr>
            <w:r>
              <w:t>45.60</w:t>
            </w:r>
          </w:p>
        </w:tc>
        <w:tc>
          <w:tcPr>
            <w:tcW w:w="1134" w:type="dxa"/>
            <w:vAlign w:val="center"/>
          </w:tcPr>
          <w:p>
            <w:pPr>
              <w:pStyle w:val="12"/>
            </w:pPr>
            <w:r>
              <w:t>45.60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45.60</w:t>
            </w:r>
          </w:p>
        </w:tc>
        <w:tc>
          <w:tcPr>
            <w:tcW w:w="1134" w:type="dxa"/>
            <w:vAlign w:val="center"/>
          </w:tcPr>
          <w:p>
            <w:pPr>
              <w:pStyle w:val="12"/>
            </w:pPr>
            <w:r>
              <w:t>45.60</w:t>
            </w:r>
          </w:p>
        </w:tc>
        <w:tc>
          <w:tcPr>
            <w:tcW w:w="1134" w:type="dxa"/>
            <w:vAlign w:val="center"/>
          </w:tcPr>
          <w:p>
            <w:pPr>
              <w:pStyle w:val="12"/>
            </w:pPr>
            <w:r>
              <w:t>45.60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2120899</w:t>
            </w:r>
          </w:p>
        </w:tc>
        <w:tc>
          <w:tcPr>
            <w:tcW w:w="1559" w:type="dxa"/>
            <w:vAlign w:val="center"/>
          </w:tcPr>
          <w:p>
            <w:pPr>
              <w:pStyle w:val="13"/>
            </w:pPr>
            <w:r>
              <w:t>其他国有土地使用权出让收入安排的支出</w:t>
            </w:r>
          </w:p>
        </w:tc>
        <w:tc>
          <w:tcPr>
            <w:tcW w:w="1134" w:type="dxa"/>
            <w:vAlign w:val="center"/>
          </w:tcPr>
          <w:p>
            <w:pPr>
              <w:pStyle w:val="12"/>
            </w:pPr>
            <w:r>
              <w:t>45.60</w:t>
            </w:r>
          </w:p>
        </w:tc>
        <w:tc>
          <w:tcPr>
            <w:tcW w:w="1134" w:type="dxa"/>
            <w:vAlign w:val="center"/>
          </w:tcPr>
          <w:p>
            <w:pPr>
              <w:pStyle w:val="12"/>
            </w:pPr>
            <w:r>
              <w:t>45.60</w:t>
            </w:r>
          </w:p>
        </w:tc>
        <w:tc>
          <w:tcPr>
            <w:tcW w:w="1134" w:type="dxa"/>
            <w:vAlign w:val="center"/>
          </w:tcPr>
          <w:p>
            <w:pPr>
              <w:pStyle w:val="12"/>
            </w:pPr>
            <w:r>
              <w:t>45.60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120.63</w:t>
            </w:r>
          </w:p>
        </w:tc>
        <w:tc>
          <w:tcPr>
            <w:tcW w:w="1134" w:type="dxa"/>
            <w:vAlign w:val="center"/>
          </w:tcPr>
          <w:p>
            <w:pPr>
              <w:pStyle w:val="12"/>
            </w:pPr>
            <w:r>
              <w:t>120.63</w:t>
            </w:r>
          </w:p>
        </w:tc>
        <w:tc>
          <w:tcPr>
            <w:tcW w:w="1134" w:type="dxa"/>
            <w:vAlign w:val="center"/>
          </w:tcPr>
          <w:p>
            <w:pPr>
              <w:pStyle w:val="12"/>
            </w:pPr>
            <w:r>
              <w:t>120.63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120.63</w:t>
            </w:r>
          </w:p>
        </w:tc>
        <w:tc>
          <w:tcPr>
            <w:tcW w:w="1134" w:type="dxa"/>
            <w:vAlign w:val="center"/>
          </w:tcPr>
          <w:p>
            <w:pPr>
              <w:pStyle w:val="12"/>
            </w:pPr>
            <w:r>
              <w:t>120.63</w:t>
            </w:r>
          </w:p>
        </w:tc>
        <w:tc>
          <w:tcPr>
            <w:tcW w:w="1134" w:type="dxa"/>
            <w:vAlign w:val="center"/>
          </w:tcPr>
          <w:p>
            <w:pPr>
              <w:pStyle w:val="12"/>
            </w:pPr>
            <w:r>
              <w:t>120.63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120.63</w:t>
            </w:r>
          </w:p>
        </w:tc>
        <w:tc>
          <w:tcPr>
            <w:tcW w:w="1134" w:type="dxa"/>
            <w:vAlign w:val="center"/>
          </w:tcPr>
          <w:p>
            <w:pPr>
              <w:pStyle w:val="12"/>
            </w:pPr>
            <w:r>
              <w:t>120.63</w:t>
            </w:r>
          </w:p>
        </w:tc>
        <w:tc>
          <w:tcPr>
            <w:tcW w:w="1134" w:type="dxa"/>
            <w:vAlign w:val="center"/>
          </w:tcPr>
          <w:p>
            <w:pPr>
              <w:pStyle w:val="12"/>
            </w:pPr>
            <w:r>
              <w:t>120.63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12731"/>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414唐山市开平区市场监督管理局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2375.72</w:t>
            </w:r>
          </w:p>
        </w:tc>
        <w:tc>
          <w:tcPr>
            <w:tcW w:w="1361" w:type="dxa"/>
            <w:vAlign w:val="center"/>
          </w:tcPr>
          <w:p>
            <w:pPr>
              <w:pStyle w:val="16"/>
            </w:pPr>
            <w:r>
              <w:t>2194.53</w:t>
            </w:r>
          </w:p>
        </w:tc>
        <w:tc>
          <w:tcPr>
            <w:tcW w:w="1361" w:type="dxa"/>
            <w:vAlign w:val="center"/>
          </w:tcPr>
          <w:p>
            <w:pPr>
              <w:pStyle w:val="16"/>
            </w:pPr>
            <w:r>
              <w:t>181.19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1863.46</w:t>
            </w:r>
          </w:p>
        </w:tc>
        <w:tc>
          <w:tcPr>
            <w:tcW w:w="1361" w:type="dxa"/>
            <w:vAlign w:val="center"/>
          </w:tcPr>
          <w:p>
            <w:pPr>
              <w:pStyle w:val="12"/>
            </w:pPr>
            <w:r>
              <w:t>1729.97</w:t>
            </w:r>
          </w:p>
        </w:tc>
        <w:tc>
          <w:tcPr>
            <w:tcW w:w="1361" w:type="dxa"/>
            <w:vAlign w:val="center"/>
          </w:tcPr>
          <w:p>
            <w:pPr>
              <w:pStyle w:val="12"/>
            </w:pPr>
            <w:r>
              <w:t>133.49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20138</w:t>
            </w:r>
          </w:p>
        </w:tc>
        <w:tc>
          <w:tcPr>
            <w:tcW w:w="4535" w:type="dxa"/>
            <w:vAlign w:val="center"/>
          </w:tcPr>
          <w:p>
            <w:pPr>
              <w:pStyle w:val="13"/>
            </w:pPr>
            <w:r>
              <w:t>市场监督管理事务</w:t>
            </w:r>
          </w:p>
        </w:tc>
        <w:tc>
          <w:tcPr>
            <w:tcW w:w="1361" w:type="dxa"/>
            <w:vAlign w:val="center"/>
          </w:tcPr>
          <w:p>
            <w:pPr>
              <w:pStyle w:val="12"/>
            </w:pPr>
            <w:r>
              <w:t>1863.46</w:t>
            </w:r>
          </w:p>
        </w:tc>
        <w:tc>
          <w:tcPr>
            <w:tcW w:w="1361" w:type="dxa"/>
            <w:vAlign w:val="center"/>
          </w:tcPr>
          <w:p>
            <w:pPr>
              <w:pStyle w:val="12"/>
            </w:pPr>
            <w:r>
              <w:t>1729.97</w:t>
            </w:r>
          </w:p>
        </w:tc>
        <w:tc>
          <w:tcPr>
            <w:tcW w:w="1361" w:type="dxa"/>
            <w:vAlign w:val="center"/>
          </w:tcPr>
          <w:p>
            <w:pPr>
              <w:pStyle w:val="12"/>
            </w:pPr>
            <w:r>
              <w:t>133.49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2013801</w:t>
            </w:r>
          </w:p>
        </w:tc>
        <w:tc>
          <w:tcPr>
            <w:tcW w:w="4535" w:type="dxa"/>
            <w:vAlign w:val="center"/>
          </w:tcPr>
          <w:p>
            <w:pPr>
              <w:pStyle w:val="13"/>
            </w:pPr>
            <w:r>
              <w:t>行政运行</w:t>
            </w:r>
          </w:p>
        </w:tc>
        <w:tc>
          <w:tcPr>
            <w:tcW w:w="1361" w:type="dxa"/>
            <w:vAlign w:val="center"/>
          </w:tcPr>
          <w:p>
            <w:pPr>
              <w:pStyle w:val="12"/>
            </w:pPr>
            <w:r>
              <w:t>1729.97</w:t>
            </w:r>
          </w:p>
        </w:tc>
        <w:tc>
          <w:tcPr>
            <w:tcW w:w="1361" w:type="dxa"/>
            <w:vAlign w:val="center"/>
          </w:tcPr>
          <w:p>
            <w:pPr>
              <w:pStyle w:val="12"/>
            </w:pPr>
            <w:r>
              <w:t>1729.97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2013804</w:t>
            </w:r>
          </w:p>
        </w:tc>
        <w:tc>
          <w:tcPr>
            <w:tcW w:w="4535" w:type="dxa"/>
            <w:vAlign w:val="center"/>
          </w:tcPr>
          <w:p>
            <w:pPr>
              <w:pStyle w:val="13"/>
            </w:pPr>
            <w:r>
              <w:t>经营主体管理</w:t>
            </w:r>
          </w:p>
        </w:tc>
        <w:tc>
          <w:tcPr>
            <w:tcW w:w="1361" w:type="dxa"/>
            <w:vAlign w:val="center"/>
          </w:tcPr>
          <w:p>
            <w:pPr>
              <w:pStyle w:val="12"/>
            </w:pPr>
            <w:r>
              <w:t>64.65</w:t>
            </w:r>
          </w:p>
        </w:tc>
        <w:tc>
          <w:tcPr>
            <w:tcW w:w="1361" w:type="dxa"/>
            <w:vAlign w:val="center"/>
          </w:tcPr>
          <w:p>
            <w:pPr>
              <w:pStyle w:val="12"/>
            </w:pPr>
          </w:p>
        </w:tc>
        <w:tc>
          <w:tcPr>
            <w:tcW w:w="1361" w:type="dxa"/>
            <w:vAlign w:val="center"/>
          </w:tcPr>
          <w:p>
            <w:pPr>
              <w:pStyle w:val="12"/>
            </w:pPr>
            <w:r>
              <w:t>64.65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2013805</w:t>
            </w:r>
          </w:p>
        </w:tc>
        <w:tc>
          <w:tcPr>
            <w:tcW w:w="4535" w:type="dxa"/>
            <w:vAlign w:val="center"/>
          </w:tcPr>
          <w:p>
            <w:pPr>
              <w:pStyle w:val="13"/>
            </w:pPr>
            <w:r>
              <w:t>市场秩序执法</w:t>
            </w: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2013816</w:t>
            </w:r>
          </w:p>
        </w:tc>
        <w:tc>
          <w:tcPr>
            <w:tcW w:w="4535" w:type="dxa"/>
            <w:vAlign w:val="center"/>
          </w:tcPr>
          <w:p>
            <w:pPr>
              <w:pStyle w:val="13"/>
            </w:pPr>
            <w:r>
              <w:t>食品安全监管</w:t>
            </w:r>
          </w:p>
        </w:tc>
        <w:tc>
          <w:tcPr>
            <w:tcW w:w="1361" w:type="dxa"/>
            <w:vAlign w:val="center"/>
          </w:tcPr>
          <w:p>
            <w:pPr>
              <w:pStyle w:val="12"/>
            </w:pPr>
            <w:r>
              <w:t>43.84</w:t>
            </w:r>
          </w:p>
        </w:tc>
        <w:tc>
          <w:tcPr>
            <w:tcW w:w="1361" w:type="dxa"/>
            <w:vAlign w:val="center"/>
          </w:tcPr>
          <w:p>
            <w:pPr>
              <w:pStyle w:val="12"/>
            </w:pPr>
          </w:p>
        </w:tc>
        <w:tc>
          <w:tcPr>
            <w:tcW w:w="1361" w:type="dxa"/>
            <w:vAlign w:val="center"/>
          </w:tcPr>
          <w:p>
            <w:pPr>
              <w:pStyle w:val="12"/>
            </w:pPr>
            <w:r>
              <w:t>43.84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146.85</w:t>
            </w:r>
          </w:p>
        </w:tc>
        <w:tc>
          <w:tcPr>
            <w:tcW w:w="1361" w:type="dxa"/>
            <w:vAlign w:val="center"/>
          </w:tcPr>
          <w:p>
            <w:pPr>
              <w:pStyle w:val="12"/>
            </w:pPr>
            <w:r>
              <w:t>146.85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146.85</w:t>
            </w:r>
          </w:p>
        </w:tc>
        <w:tc>
          <w:tcPr>
            <w:tcW w:w="1361" w:type="dxa"/>
            <w:vAlign w:val="center"/>
          </w:tcPr>
          <w:p>
            <w:pPr>
              <w:pStyle w:val="12"/>
            </w:pPr>
            <w:r>
              <w:t>146.85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146.85</w:t>
            </w:r>
          </w:p>
        </w:tc>
        <w:tc>
          <w:tcPr>
            <w:tcW w:w="1361" w:type="dxa"/>
            <w:vAlign w:val="center"/>
          </w:tcPr>
          <w:p>
            <w:pPr>
              <w:pStyle w:val="12"/>
            </w:pPr>
            <w:r>
              <w:t>146.85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199.18</w:t>
            </w:r>
          </w:p>
        </w:tc>
        <w:tc>
          <w:tcPr>
            <w:tcW w:w="1361" w:type="dxa"/>
            <w:vAlign w:val="center"/>
          </w:tcPr>
          <w:p>
            <w:pPr>
              <w:pStyle w:val="12"/>
            </w:pPr>
            <w:r>
              <w:t>197.08</w:t>
            </w:r>
          </w:p>
        </w:tc>
        <w:tc>
          <w:tcPr>
            <w:tcW w:w="1361" w:type="dxa"/>
            <w:vAlign w:val="center"/>
          </w:tcPr>
          <w:p>
            <w:pPr>
              <w:pStyle w:val="12"/>
            </w:pPr>
            <w:r>
              <w:t>2.10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21007</w:t>
            </w:r>
          </w:p>
        </w:tc>
        <w:tc>
          <w:tcPr>
            <w:tcW w:w="4535" w:type="dxa"/>
            <w:vAlign w:val="center"/>
          </w:tcPr>
          <w:p>
            <w:pPr>
              <w:pStyle w:val="13"/>
            </w:pPr>
            <w:r>
              <w:t>计划生育事务</w:t>
            </w:r>
          </w:p>
        </w:tc>
        <w:tc>
          <w:tcPr>
            <w:tcW w:w="1361" w:type="dxa"/>
            <w:vAlign w:val="center"/>
          </w:tcPr>
          <w:p>
            <w:pPr>
              <w:pStyle w:val="12"/>
            </w:pPr>
            <w:r>
              <w:t>2.10</w:t>
            </w:r>
          </w:p>
        </w:tc>
        <w:tc>
          <w:tcPr>
            <w:tcW w:w="1361" w:type="dxa"/>
            <w:vAlign w:val="center"/>
          </w:tcPr>
          <w:p>
            <w:pPr>
              <w:pStyle w:val="12"/>
            </w:pPr>
          </w:p>
        </w:tc>
        <w:tc>
          <w:tcPr>
            <w:tcW w:w="1361" w:type="dxa"/>
            <w:vAlign w:val="center"/>
          </w:tcPr>
          <w:p>
            <w:pPr>
              <w:pStyle w:val="12"/>
            </w:pPr>
            <w:r>
              <w:t>2.10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2100717</w:t>
            </w:r>
          </w:p>
        </w:tc>
        <w:tc>
          <w:tcPr>
            <w:tcW w:w="4535" w:type="dxa"/>
            <w:vAlign w:val="center"/>
          </w:tcPr>
          <w:p>
            <w:pPr>
              <w:pStyle w:val="13"/>
            </w:pPr>
            <w:r>
              <w:t>计划生育服务</w:t>
            </w:r>
          </w:p>
        </w:tc>
        <w:tc>
          <w:tcPr>
            <w:tcW w:w="1361" w:type="dxa"/>
            <w:vAlign w:val="center"/>
          </w:tcPr>
          <w:p>
            <w:pPr>
              <w:pStyle w:val="12"/>
            </w:pPr>
            <w:r>
              <w:t>2.10</w:t>
            </w:r>
          </w:p>
        </w:tc>
        <w:tc>
          <w:tcPr>
            <w:tcW w:w="1361" w:type="dxa"/>
            <w:vAlign w:val="center"/>
          </w:tcPr>
          <w:p>
            <w:pPr>
              <w:pStyle w:val="12"/>
            </w:pPr>
          </w:p>
        </w:tc>
        <w:tc>
          <w:tcPr>
            <w:tcW w:w="1361" w:type="dxa"/>
            <w:vAlign w:val="center"/>
          </w:tcPr>
          <w:p>
            <w:pPr>
              <w:pStyle w:val="12"/>
            </w:pPr>
            <w:r>
              <w:t>2.10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197.08</w:t>
            </w:r>
          </w:p>
        </w:tc>
        <w:tc>
          <w:tcPr>
            <w:tcW w:w="1361" w:type="dxa"/>
            <w:vAlign w:val="center"/>
          </w:tcPr>
          <w:p>
            <w:pPr>
              <w:pStyle w:val="12"/>
            </w:pPr>
            <w:r>
              <w:t>197.08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197.08</w:t>
            </w:r>
          </w:p>
        </w:tc>
        <w:tc>
          <w:tcPr>
            <w:tcW w:w="1361" w:type="dxa"/>
            <w:vAlign w:val="center"/>
          </w:tcPr>
          <w:p>
            <w:pPr>
              <w:pStyle w:val="12"/>
            </w:pPr>
            <w:r>
              <w:t>197.08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45.60</w:t>
            </w:r>
          </w:p>
        </w:tc>
        <w:tc>
          <w:tcPr>
            <w:tcW w:w="1361" w:type="dxa"/>
            <w:vAlign w:val="center"/>
          </w:tcPr>
          <w:p>
            <w:pPr>
              <w:pStyle w:val="12"/>
            </w:pPr>
          </w:p>
        </w:tc>
        <w:tc>
          <w:tcPr>
            <w:tcW w:w="1361" w:type="dxa"/>
            <w:vAlign w:val="center"/>
          </w:tcPr>
          <w:p>
            <w:pPr>
              <w:pStyle w:val="12"/>
            </w:pPr>
            <w:r>
              <w:t>45.60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45.60</w:t>
            </w:r>
          </w:p>
        </w:tc>
        <w:tc>
          <w:tcPr>
            <w:tcW w:w="1361" w:type="dxa"/>
            <w:vAlign w:val="center"/>
          </w:tcPr>
          <w:p>
            <w:pPr>
              <w:pStyle w:val="12"/>
            </w:pPr>
          </w:p>
        </w:tc>
        <w:tc>
          <w:tcPr>
            <w:tcW w:w="1361" w:type="dxa"/>
            <w:vAlign w:val="center"/>
          </w:tcPr>
          <w:p>
            <w:pPr>
              <w:pStyle w:val="12"/>
            </w:pPr>
            <w:r>
              <w:t>45.60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2120899</w:t>
            </w:r>
          </w:p>
        </w:tc>
        <w:tc>
          <w:tcPr>
            <w:tcW w:w="4535" w:type="dxa"/>
            <w:vAlign w:val="center"/>
          </w:tcPr>
          <w:p>
            <w:pPr>
              <w:pStyle w:val="13"/>
            </w:pPr>
            <w:r>
              <w:t>其他国有土地使用权出让收入安排的支出</w:t>
            </w:r>
          </w:p>
        </w:tc>
        <w:tc>
          <w:tcPr>
            <w:tcW w:w="1361" w:type="dxa"/>
            <w:vAlign w:val="center"/>
          </w:tcPr>
          <w:p>
            <w:pPr>
              <w:pStyle w:val="12"/>
            </w:pPr>
            <w:r>
              <w:t>45.60</w:t>
            </w:r>
          </w:p>
        </w:tc>
        <w:tc>
          <w:tcPr>
            <w:tcW w:w="1361" w:type="dxa"/>
            <w:vAlign w:val="center"/>
          </w:tcPr>
          <w:p>
            <w:pPr>
              <w:pStyle w:val="12"/>
            </w:pPr>
          </w:p>
        </w:tc>
        <w:tc>
          <w:tcPr>
            <w:tcW w:w="1361" w:type="dxa"/>
            <w:vAlign w:val="center"/>
          </w:tcPr>
          <w:p>
            <w:pPr>
              <w:pStyle w:val="12"/>
            </w:pPr>
            <w:r>
              <w:t>45.60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120.63</w:t>
            </w:r>
          </w:p>
        </w:tc>
        <w:tc>
          <w:tcPr>
            <w:tcW w:w="1361" w:type="dxa"/>
            <w:vAlign w:val="center"/>
          </w:tcPr>
          <w:p>
            <w:pPr>
              <w:pStyle w:val="12"/>
            </w:pPr>
            <w:r>
              <w:t>120.63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120.63</w:t>
            </w:r>
          </w:p>
        </w:tc>
        <w:tc>
          <w:tcPr>
            <w:tcW w:w="1361" w:type="dxa"/>
            <w:vAlign w:val="center"/>
          </w:tcPr>
          <w:p>
            <w:pPr>
              <w:pStyle w:val="12"/>
            </w:pPr>
            <w:r>
              <w:t>120.63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120.63</w:t>
            </w:r>
          </w:p>
        </w:tc>
        <w:tc>
          <w:tcPr>
            <w:tcW w:w="1361" w:type="dxa"/>
            <w:vAlign w:val="center"/>
          </w:tcPr>
          <w:p>
            <w:pPr>
              <w:pStyle w:val="12"/>
            </w:pPr>
            <w:r>
              <w:t>120.63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17156"/>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414唐山市开平区市场监督管理局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2330.12</w:t>
            </w:r>
          </w:p>
        </w:tc>
        <w:tc>
          <w:tcPr>
            <w:tcW w:w="3402" w:type="dxa"/>
            <w:vAlign w:val="center"/>
          </w:tcPr>
          <w:p>
            <w:pPr>
              <w:pStyle w:val="13"/>
            </w:pPr>
            <w:r>
              <w:t>一、一般公共服务支出</w:t>
            </w:r>
          </w:p>
        </w:tc>
        <w:tc>
          <w:tcPr>
            <w:tcW w:w="1474" w:type="dxa"/>
            <w:vAlign w:val="center"/>
          </w:tcPr>
          <w:p>
            <w:pPr>
              <w:pStyle w:val="12"/>
            </w:pPr>
            <w:r>
              <w:t>1863.46</w:t>
            </w:r>
          </w:p>
        </w:tc>
        <w:tc>
          <w:tcPr>
            <w:tcW w:w="1474" w:type="dxa"/>
            <w:vAlign w:val="center"/>
          </w:tcPr>
          <w:p>
            <w:pPr>
              <w:pStyle w:val="12"/>
            </w:pPr>
            <w:r>
              <w:t>1863.46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45.60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146.85</w:t>
            </w:r>
          </w:p>
        </w:tc>
        <w:tc>
          <w:tcPr>
            <w:tcW w:w="1474" w:type="dxa"/>
            <w:vAlign w:val="center"/>
          </w:tcPr>
          <w:p>
            <w:pPr>
              <w:pStyle w:val="12"/>
            </w:pPr>
            <w:r>
              <w:t>146.85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199.18</w:t>
            </w:r>
          </w:p>
        </w:tc>
        <w:tc>
          <w:tcPr>
            <w:tcW w:w="1474" w:type="dxa"/>
            <w:vAlign w:val="center"/>
          </w:tcPr>
          <w:p>
            <w:pPr>
              <w:pStyle w:val="12"/>
            </w:pPr>
            <w:r>
              <w:t>199.18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45.60</w:t>
            </w:r>
          </w:p>
        </w:tc>
        <w:tc>
          <w:tcPr>
            <w:tcW w:w="1474" w:type="dxa"/>
            <w:vAlign w:val="center"/>
          </w:tcPr>
          <w:p>
            <w:pPr>
              <w:pStyle w:val="12"/>
            </w:pPr>
          </w:p>
        </w:tc>
        <w:tc>
          <w:tcPr>
            <w:tcW w:w="1474" w:type="dxa"/>
            <w:vAlign w:val="center"/>
          </w:tcPr>
          <w:p>
            <w:pPr>
              <w:pStyle w:val="12"/>
            </w:pPr>
            <w:r>
              <w:t>45.60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120.63</w:t>
            </w:r>
          </w:p>
        </w:tc>
        <w:tc>
          <w:tcPr>
            <w:tcW w:w="1474" w:type="dxa"/>
            <w:vAlign w:val="center"/>
          </w:tcPr>
          <w:p>
            <w:pPr>
              <w:pStyle w:val="12"/>
            </w:pPr>
            <w:r>
              <w:t>120.63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2375.72</w:t>
            </w:r>
          </w:p>
        </w:tc>
        <w:tc>
          <w:tcPr>
            <w:tcW w:w="3402" w:type="dxa"/>
            <w:vAlign w:val="center"/>
          </w:tcPr>
          <w:p>
            <w:pPr>
              <w:pStyle w:val="15"/>
            </w:pPr>
            <w:r>
              <w:t>本年支出合计</w:t>
            </w:r>
          </w:p>
        </w:tc>
        <w:tc>
          <w:tcPr>
            <w:tcW w:w="1474" w:type="dxa"/>
            <w:vAlign w:val="center"/>
          </w:tcPr>
          <w:p>
            <w:pPr>
              <w:pStyle w:val="16"/>
            </w:pPr>
            <w:r>
              <w:t>2375.72</w:t>
            </w:r>
          </w:p>
        </w:tc>
        <w:tc>
          <w:tcPr>
            <w:tcW w:w="1474" w:type="dxa"/>
            <w:vAlign w:val="center"/>
          </w:tcPr>
          <w:p>
            <w:pPr>
              <w:pStyle w:val="16"/>
            </w:pPr>
            <w:r>
              <w:t>2330.12</w:t>
            </w:r>
          </w:p>
        </w:tc>
        <w:tc>
          <w:tcPr>
            <w:tcW w:w="1474" w:type="dxa"/>
            <w:vAlign w:val="center"/>
          </w:tcPr>
          <w:p>
            <w:pPr>
              <w:pStyle w:val="16"/>
            </w:pPr>
            <w:r>
              <w:t>45.60</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2375.72</w:t>
            </w:r>
          </w:p>
        </w:tc>
        <w:tc>
          <w:tcPr>
            <w:tcW w:w="3402" w:type="dxa"/>
            <w:vAlign w:val="center"/>
          </w:tcPr>
          <w:p>
            <w:pPr>
              <w:pStyle w:val="15"/>
            </w:pPr>
            <w:r>
              <w:t>支出总计</w:t>
            </w:r>
          </w:p>
        </w:tc>
        <w:tc>
          <w:tcPr>
            <w:tcW w:w="1474" w:type="dxa"/>
            <w:vAlign w:val="center"/>
          </w:tcPr>
          <w:p>
            <w:pPr>
              <w:pStyle w:val="16"/>
            </w:pPr>
            <w:r>
              <w:t>2375.72</w:t>
            </w:r>
          </w:p>
        </w:tc>
        <w:tc>
          <w:tcPr>
            <w:tcW w:w="1474" w:type="dxa"/>
            <w:vAlign w:val="center"/>
          </w:tcPr>
          <w:p>
            <w:pPr>
              <w:pStyle w:val="16"/>
            </w:pPr>
            <w:r>
              <w:t>2330.12</w:t>
            </w:r>
          </w:p>
        </w:tc>
        <w:tc>
          <w:tcPr>
            <w:tcW w:w="1474" w:type="dxa"/>
            <w:vAlign w:val="center"/>
          </w:tcPr>
          <w:p>
            <w:pPr>
              <w:pStyle w:val="16"/>
            </w:pPr>
            <w:r>
              <w:t>45.60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20798"/>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414唐山市开平区市场监督管理局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2330.12</w:t>
            </w:r>
          </w:p>
        </w:tc>
        <w:tc>
          <w:tcPr>
            <w:tcW w:w="2551" w:type="dxa"/>
            <w:vAlign w:val="center"/>
          </w:tcPr>
          <w:p>
            <w:pPr>
              <w:pStyle w:val="16"/>
            </w:pPr>
            <w:r>
              <w:t>2194.53</w:t>
            </w:r>
          </w:p>
        </w:tc>
        <w:tc>
          <w:tcPr>
            <w:tcW w:w="2551" w:type="dxa"/>
            <w:vAlign w:val="center"/>
          </w:tcPr>
          <w:p>
            <w:pPr>
              <w:pStyle w:val="16"/>
            </w:pPr>
            <w:r>
              <w:t>135.59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1863.46</w:t>
            </w:r>
          </w:p>
        </w:tc>
        <w:tc>
          <w:tcPr>
            <w:tcW w:w="2551" w:type="dxa"/>
            <w:vAlign w:val="center"/>
          </w:tcPr>
          <w:p>
            <w:pPr>
              <w:pStyle w:val="12"/>
            </w:pPr>
            <w:r>
              <w:t>1729.97</w:t>
            </w:r>
          </w:p>
        </w:tc>
        <w:tc>
          <w:tcPr>
            <w:tcW w:w="2551" w:type="dxa"/>
            <w:vAlign w:val="center"/>
          </w:tcPr>
          <w:p>
            <w:pPr>
              <w:pStyle w:val="12"/>
            </w:pPr>
            <w:r>
              <w:t>133.49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20138</w:t>
            </w:r>
          </w:p>
        </w:tc>
        <w:tc>
          <w:tcPr>
            <w:tcW w:w="4535" w:type="dxa"/>
            <w:vAlign w:val="center"/>
          </w:tcPr>
          <w:p>
            <w:pPr>
              <w:pStyle w:val="13"/>
            </w:pPr>
            <w:r>
              <w:t>市场监督管理事务</w:t>
            </w:r>
          </w:p>
        </w:tc>
        <w:tc>
          <w:tcPr>
            <w:tcW w:w="2551" w:type="dxa"/>
            <w:vAlign w:val="center"/>
          </w:tcPr>
          <w:p>
            <w:pPr>
              <w:pStyle w:val="12"/>
            </w:pPr>
            <w:r>
              <w:t>1863.46</w:t>
            </w:r>
          </w:p>
        </w:tc>
        <w:tc>
          <w:tcPr>
            <w:tcW w:w="2551" w:type="dxa"/>
            <w:vAlign w:val="center"/>
          </w:tcPr>
          <w:p>
            <w:pPr>
              <w:pStyle w:val="12"/>
            </w:pPr>
            <w:r>
              <w:t>1729.97</w:t>
            </w:r>
          </w:p>
        </w:tc>
        <w:tc>
          <w:tcPr>
            <w:tcW w:w="2551" w:type="dxa"/>
            <w:vAlign w:val="center"/>
          </w:tcPr>
          <w:p>
            <w:pPr>
              <w:pStyle w:val="12"/>
            </w:pPr>
            <w:r>
              <w:t>133.49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2013801</w:t>
            </w:r>
          </w:p>
        </w:tc>
        <w:tc>
          <w:tcPr>
            <w:tcW w:w="4535" w:type="dxa"/>
            <w:vAlign w:val="center"/>
          </w:tcPr>
          <w:p>
            <w:pPr>
              <w:pStyle w:val="13"/>
            </w:pPr>
            <w:r>
              <w:t>行政运行</w:t>
            </w:r>
          </w:p>
        </w:tc>
        <w:tc>
          <w:tcPr>
            <w:tcW w:w="2551" w:type="dxa"/>
            <w:vAlign w:val="center"/>
          </w:tcPr>
          <w:p>
            <w:pPr>
              <w:pStyle w:val="12"/>
            </w:pPr>
            <w:r>
              <w:t>1729.97</w:t>
            </w:r>
          </w:p>
        </w:tc>
        <w:tc>
          <w:tcPr>
            <w:tcW w:w="2551" w:type="dxa"/>
            <w:vAlign w:val="center"/>
          </w:tcPr>
          <w:p>
            <w:pPr>
              <w:pStyle w:val="12"/>
            </w:pPr>
            <w:r>
              <w:t>1729.97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2013804</w:t>
            </w:r>
          </w:p>
        </w:tc>
        <w:tc>
          <w:tcPr>
            <w:tcW w:w="4535" w:type="dxa"/>
            <w:vAlign w:val="center"/>
          </w:tcPr>
          <w:p>
            <w:pPr>
              <w:pStyle w:val="13"/>
            </w:pPr>
            <w:r>
              <w:t>经营主体管理</w:t>
            </w:r>
          </w:p>
        </w:tc>
        <w:tc>
          <w:tcPr>
            <w:tcW w:w="2551" w:type="dxa"/>
            <w:vAlign w:val="center"/>
          </w:tcPr>
          <w:p>
            <w:pPr>
              <w:pStyle w:val="12"/>
            </w:pPr>
            <w:r>
              <w:t>64.65</w:t>
            </w:r>
          </w:p>
        </w:tc>
        <w:tc>
          <w:tcPr>
            <w:tcW w:w="2551" w:type="dxa"/>
            <w:vAlign w:val="center"/>
          </w:tcPr>
          <w:p>
            <w:pPr>
              <w:pStyle w:val="12"/>
            </w:pPr>
          </w:p>
        </w:tc>
        <w:tc>
          <w:tcPr>
            <w:tcW w:w="2551" w:type="dxa"/>
            <w:vAlign w:val="center"/>
          </w:tcPr>
          <w:p>
            <w:pPr>
              <w:pStyle w:val="12"/>
            </w:pPr>
            <w:r>
              <w:t>64.65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2013805</w:t>
            </w:r>
          </w:p>
        </w:tc>
        <w:tc>
          <w:tcPr>
            <w:tcW w:w="4535" w:type="dxa"/>
            <w:vAlign w:val="center"/>
          </w:tcPr>
          <w:p>
            <w:pPr>
              <w:pStyle w:val="13"/>
            </w:pPr>
            <w:r>
              <w:t>市场秩序执法</w:t>
            </w:r>
          </w:p>
        </w:tc>
        <w:tc>
          <w:tcPr>
            <w:tcW w:w="2551" w:type="dxa"/>
            <w:vAlign w:val="center"/>
          </w:tcPr>
          <w:p>
            <w:pPr>
              <w:pStyle w:val="12"/>
            </w:pPr>
            <w:r>
              <w:t>25.00</w:t>
            </w:r>
          </w:p>
        </w:tc>
        <w:tc>
          <w:tcPr>
            <w:tcW w:w="2551" w:type="dxa"/>
            <w:vAlign w:val="center"/>
          </w:tcPr>
          <w:p>
            <w:pPr>
              <w:pStyle w:val="12"/>
            </w:pPr>
          </w:p>
        </w:tc>
        <w:tc>
          <w:tcPr>
            <w:tcW w:w="2551" w:type="dxa"/>
            <w:vAlign w:val="center"/>
          </w:tcPr>
          <w:p>
            <w:pPr>
              <w:pStyle w:val="12"/>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2013816</w:t>
            </w:r>
          </w:p>
        </w:tc>
        <w:tc>
          <w:tcPr>
            <w:tcW w:w="4535" w:type="dxa"/>
            <w:vAlign w:val="center"/>
          </w:tcPr>
          <w:p>
            <w:pPr>
              <w:pStyle w:val="13"/>
            </w:pPr>
            <w:r>
              <w:t>食品安全监管</w:t>
            </w:r>
          </w:p>
        </w:tc>
        <w:tc>
          <w:tcPr>
            <w:tcW w:w="2551" w:type="dxa"/>
            <w:vAlign w:val="center"/>
          </w:tcPr>
          <w:p>
            <w:pPr>
              <w:pStyle w:val="12"/>
            </w:pPr>
            <w:r>
              <w:t>43.84</w:t>
            </w:r>
          </w:p>
        </w:tc>
        <w:tc>
          <w:tcPr>
            <w:tcW w:w="2551" w:type="dxa"/>
            <w:vAlign w:val="center"/>
          </w:tcPr>
          <w:p>
            <w:pPr>
              <w:pStyle w:val="12"/>
            </w:pPr>
          </w:p>
        </w:tc>
        <w:tc>
          <w:tcPr>
            <w:tcW w:w="2551" w:type="dxa"/>
            <w:vAlign w:val="center"/>
          </w:tcPr>
          <w:p>
            <w:pPr>
              <w:pStyle w:val="12"/>
            </w:pPr>
            <w:r>
              <w:t>43.84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146.85</w:t>
            </w:r>
          </w:p>
        </w:tc>
        <w:tc>
          <w:tcPr>
            <w:tcW w:w="2551" w:type="dxa"/>
            <w:vAlign w:val="center"/>
          </w:tcPr>
          <w:p>
            <w:pPr>
              <w:pStyle w:val="12"/>
            </w:pPr>
            <w:r>
              <w:t>146.85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146.85</w:t>
            </w:r>
          </w:p>
        </w:tc>
        <w:tc>
          <w:tcPr>
            <w:tcW w:w="2551" w:type="dxa"/>
            <w:vAlign w:val="center"/>
          </w:tcPr>
          <w:p>
            <w:pPr>
              <w:pStyle w:val="12"/>
            </w:pPr>
            <w:r>
              <w:t>146.85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146.85</w:t>
            </w:r>
          </w:p>
        </w:tc>
        <w:tc>
          <w:tcPr>
            <w:tcW w:w="2551" w:type="dxa"/>
            <w:vAlign w:val="center"/>
          </w:tcPr>
          <w:p>
            <w:pPr>
              <w:pStyle w:val="12"/>
            </w:pPr>
            <w:r>
              <w:t>146.85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199.18</w:t>
            </w:r>
          </w:p>
        </w:tc>
        <w:tc>
          <w:tcPr>
            <w:tcW w:w="2551" w:type="dxa"/>
            <w:vAlign w:val="center"/>
          </w:tcPr>
          <w:p>
            <w:pPr>
              <w:pStyle w:val="12"/>
            </w:pPr>
            <w:r>
              <w:t>197.08</w:t>
            </w:r>
          </w:p>
        </w:tc>
        <w:tc>
          <w:tcPr>
            <w:tcW w:w="2551" w:type="dxa"/>
            <w:vAlign w:val="center"/>
          </w:tcPr>
          <w:p>
            <w:pPr>
              <w:pStyle w:val="12"/>
            </w:pPr>
            <w:r>
              <w:t>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21007</w:t>
            </w:r>
          </w:p>
        </w:tc>
        <w:tc>
          <w:tcPr>
            <w:tcW w:w="4535" w:type="dxa"/>
            <w:vAlign w:val="center"/>
          </w:tcPr>
          <w:p>
            <w:pPr>
              <w:pStyle w:val="13"/>
            </w:pPr>
            <w:r>
              <w:t>计划生育事务</w:t>
            </w:r>
          </w:p>
        </w:tc>
        <w:tc>
          <w:tcPr>
            <w:tcW w:w="2551" w:type="dxa"/>
            <w:vAlign w:val="center"/>
          </w:tcPr>
          <w:p>
            <w:pPr>
              <w:pStyle w:val="12"/>
            </w:pPr>
            <w:r>
              <w:t>2.10</w:t>
            </w:r>
          </w:p>
        </w:tc>
        <w:tc>
          <w:tcPr>
            <w:tcW w:w="2551" w:type="dxa"/>
            <w:vAlign w:val="center"/>
          </w:tcPr>
          <w:p>
            <w:pPr>
              <w:pStyle w:val="12"/>
            </w:pPr>
          </w:p>
        </w:tc>
        <w:tc>
          <w:tcPr>
            <w:tcW w:w="2551" w:type="dxa"/>
            <w:vAlign w:val="center"/>
          </w:tcPr>
          <w:p>
            <w:pPr>
              <w:pStyle w:val="12"/>
            </w:pPr>
            <w:r>
              <w:t>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2100717</w:t>
            </w:r>
          </w:p>
        </w:tc>
        <w:tc>
          <w:tcPr>
            <w:tcW w:w="4535" w:type="dxa"/>
            <w:vAlign w:val="center"/>
          </w:tcPr>
          <w:p>
            <w:pPr>
              <w:pStyle w:val="13"/>
            </w:pPr>
            <w:r>
              <w:t>计划生育服务</w:t>
            </w:r>
          </w:p>
        </w:tc>
        <w:tc>
          <w:tcPr>
            <w:tcW w:w="2551" w:type="dxa"/>
            <w:vAlign w:val="center"/>
          </w:tcPr>
          <w:p>
            <w:pPr>
              <w:pStyle w:val="12"/>
            </w:pPr>
            <w:r>
              <w:t>2.10</w:t>
            </w:r>
          </w:p>
        </w:tc>
        <w:tc>
          <w:tcPr>
            <w:tcW w:w="2551" w:type="dxa"/>
            <w:vAlign w:val="center"/>
          </w:tcPr>
          <w:p>
            <w:pPr>
              <w:pStyle w:val="12"/>
            </w:pPr>
          </w:p>
        </w:tc>
        <w:tc>
          <w:tcPr>
            <w:tcW w:w="2551" w:type="dxa"/>
            <w:vAlign w:val="center"/>
          </w:tcPr>
          <w:p>
            <w:pPr>
              <w:pStyle w:val="12"/>
            </w:pPr>
            <w:r>
              <w:t>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197.08</w:t>
            </w:r>
          </w:p>
        </w:tc>
        <w:tc>
          <w:tcPr>
            <w:tcW w:w="2551" w:type="dxa"/>
            <w:vAlign w:val="center"/>
          </w:tcPr>
          <w:p>
            <w:pPr>
              <w:pStyle w:val="12"/>
            </w:pPr>
            <w:r>
              <w:t>197.08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197.08</w:t>
            </w:r>
          </w:p>
        </w:tc>
        <w:tc>
          <w:tcPr>
            <w:tcW w:w="2551" w:type="dxa"/>
            <w:vAlign w:val="center"/>
          </w:tcPr>
          <w:p>
            <w:pPr>
              <w:pStyle w:val="12"/>
            </w:pPr>
            <w:r>
              <w:t>197.08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120.63</w:t>
            </w:r>
          </w:p>
        </w:tc>
        <w:tc>
          <w:tcPr>
            <w:tcW w:w="2551" w:type="dxa"/>
            <w:vAlign w:val="center"/>
          </w:tcPr>
          <w:p>
            <w:pPr>
              <w:pStyle w:val="12"/>
            </w:pPr>
            <w:r>
              <w:t>120.63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120.63</w:t>
            </w:r>
          </w:p>
        </w:tc>
        <w:tc>
          <w:tcPr>
            <w:tcW w:w="2551" w:type="dxa"/>
            <w:vAlign w:val="center"/>
          </w:tcPr>
          <w:p>
            <w:pPr>
              <w:pStyle w:val="12"/>
            </w:pPr>
            <w:r>
              <w:t>120.63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120.63</w:t>
            </w:r>
          </w:p>
        </w:tc>
        <w:tc>
          <w:tcPr>
            <w:tcW w:w="2551" w:type="dxa"/>
            <w:vAlign w:val="center"/>
          </w:tcPr>
          <w:p>
            <w:pPr>
              <w:pStyle w:val="12"/>
            </w:pPr>
            <w:r>
              <w:t>120.63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15101"/>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414唐山市开平区市场监督管理局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2194.53</w:t>
            </w:r>
          </w:p>
        </w:tc>
        <w:tc>
          <w:tcPr>
            <w:tcW w:w="2551" w:type="dxa"/>
            <w:vAlign w:val="center"/>
          </w:tcPr>
          <w:p>
            <w:pPr>
              <w:pStyle w:val="16"/>
            </w:pPr>
            <w:r>
              <w:t>2029.68</w:t>
            </w:r>
          </w:p>
        </w:tc>
        <w:tc>
          <w:tcPr>
            <w:tcW w:w="2551" w:type="dxa"/>
            <w:vAlign w:val="center"/>
          </w:tcPr>
          <w:p>
            <w:pPr>
              <w:pStyle w:val="16"/>
            </w:pPr>
            <w:r>
              <w:t>164.86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1888.56</w:t>
            </w:r>
          </w:p>
        </w:tc>
        <w:tc>
          <w:tcPr>
            <w:tcW w:w="2551" w:type="dxa"/>
            <w:vAlign w:val="center"/>
          </w:tcPr>
          <w:p>
            <w:pPr>
              <w:pStyle w:val="12"/>
            </w:pPr>
            <w:r>
              <w:t>1888.56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770.21</w:t>
            </w:r>
          </w:p>
        </w:tc>
        <w:tc>
          <w:tcPr>
            <w:tcW w:w="2551" w:type="dxa"/>
            <w:vAlign w:val="center"/>
          </w:tcPr>
          <w:p>
            <w:pPr>
              <w:pStyle w:val="12"/>
            </w:pPr>
            <w:r>
              <w:t>770.21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338.64</w:t>
            </w:r>
          </w:p>
        </w:tc>
        <w:tc>
          <w:tcPr>
            <w:tcW w:w="2551" w:type="dxa"/>
            <w:vAlign w:val="center"/>
          </w:tcPr>
          <w:p>
            <w:pPr>
              <w:pStyle w:val="12"/>
            </w:pPr>
            <w:r>
              <w:t>338.64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67.43</w:t>
            </w:r>
          </w:p>
        </w:tc>
        <w:tc>
          <w:tcPr>
            <w:tcW w:w="2551" w:type="dxa"/>
            <w:vAlign w:val="center"/>
          </w:tcPr>
          <w:p>
            <w:pPr>
              <w:pStyle w:val="12"/>
            </w:pPr>
            <w:r>
              <w:t>67.43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222.62</w:t>
            </w:r>
          </w:p>
        </w:tc>
        <w:tc>
          <w:tcPr>
            <w:tcW w:w="2551" w:type="dxa"/>
            <w:vAlign w:val="center"/>
          </w:tcPr>
          <w:p>
            <w:pPr>
              <w:pStyle w:val="12"/>
            </w:pPr>
            <w:r>
              <w:t>222.62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155.56</w:t>
            </w:r>
          </w:p>
        </w:tc>
        <w:tc>
          <w:tcPr>
            <w:tcW w:w="2551" w:type="dxa"/>
            <w:vAlign w:val="center"/>
          </w:tcPr>
          <w:p>
            <w:pPr>
              <w:pStyle w:val="12"/>
            </w:pPr>
            <w:r>
              <w:t>155.56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196.45</w:t>
            </w:r>
          </w:p>
        </w:tc>
        <w:tc>
          <w:tcPr>
            <w:tcW w:w="2551" w:type="dxa"/>
            <w:vAlign w:val="center"/>
          </w:tcPr>
          <w:p>
            <w:pPr>
              <w:pStyle w:val="12"/>
            </w:pPr>
            <w:r>
              <w:t>196.45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7.44</w:t>
            </w:r>
          </w:p>
        </w:tc>
        <w:tc>
          <w:tcPr>
            <w:tcW w:w="2551" w:type="dxa"/>
            <w:vAlign w:val="center"/>
          </w:tcPr>
          <w:p>
            <w:pPr>
              <w:pStyle w:val="12"/>
            </w:pPr>
            <w:r>
              <w:t>7.44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119.83</w:t>
            </w:r>
          </w:p>
        </w:tc>
        <w:tc>
          <w:tcPr>
            <w:tcW w:w="2551" w:type="dxa"/>
            <w:vAlign w:val="center"/>
          </w:tcPr>
          <w:p>
            <w:pPr>
              <w:pStyle w:val="12"/>
            </w:pPr>
            <w:r>
              <w:t>119.83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10.39</w:t>
            </w:r>
          </w:p>
        </w:tc>
        <w:tc>
          <w:tcPr>
            <w:tcW w:w="2551" w:type="dxa"/>
            <w:vAlign w:val="center"/>
          </w:tcPr>
          <w:p>
            <w:pPr>
              <w:pStyle w:val="12"/>
            </w:pPr>
            <w:r>
              <w:t>10.39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162.40</w:t>
            </w:r>
          </w:p>
        </w:tc>
        <w:tc>
          <w:tcPr>
            <w:tcW w:w="2551" w:type="dxa"/>
            <w:vAlign w:val="center"/>
          </w:tcPr>
          <w:p>
            <w:pPr>
              <w:pStyle w:val="12"/>
            </w:pPr>
          </w:p>
        </w:tc>
        <w:tc>
          <w:tcPr>
            <w:tcW w:w="2551" w:type="dxa"/>
            <w:vAlign w:val="center"/>
          </w:tcPr>
          <w:p>
            <w:pPr>
              <w:pStyle w:val="12"/>
            </w:pPr>
            <w:r>
              <w:t>162.40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6.52</w:t>
            </w:r>
          </w:p>
        </w:tc>
        <w:tc>
          <w:tcPr>
            <w:tcW w:w="2551" w:type="dxa"/>
            <w:vAlign w:val="center"/>
          </w:tcPr>
          <w:p>
            <w:pPr>
              <w:pStyle w:val="12"/>
            </w:pPr>
          </w:p>
        </w:tc>
        <w:tc>
          <w:tcPr>
            <w:tcW w:w="2551" w:type="dxa"/>
            <w:vAlign w:val="center"/>
          </w:tcPr>
          <w:p>
            <w:pPr>
              <w:pStyle w:val="12"/>
            </w:pPr>
            <w:r>
              <w:t>6.52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1.80</w:t>
            </w:r>
          </w:p>
        </w:tc>
        <w:tc>
          <w:tcPr>
            <w:tcW w:w="2551" w:type="dxa"/>
            <w:vAlign w:val="center"/>
          </w:tcPr>
          <w:p>
            <w:pPr>
              <w:pStyle w:val="12"/>
            </w:pPr>
          </w:p>
        </w:tc>
        <w:tc>
          <w:tcPr>
            <w:tcW w:w="2551" w:type="dxa"/>
            <w:vAlign w:val="center"/>
          </w:tcPr>
          <w:p>
            <w:pPr>
              <w:pStyle w:val="12"/>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37.15</w:t>
            </w:r>
          </w:p>
        </w:tc>
        <w:tc>
          <w:tcPr>
            <w:tcW w:w="2551" w:type="dxa"/>
            <w:vAlign w:val="center"/>
          </w:tcPr>
          <w:p>
            <w:pPr>
              <w:pStyle w:val="12"/>
            </w:pPr>
          </w:p>
        </w:tc>
        <w:tc>
          <w:tcPr>
            <w:tcW w:w="2551" w:type="dxa"/>
            <w:vAlign w:val="center"/>
          </w:tcPr>
          <w:p>
            <w:pPr>
              <w:pStyle w:val="12"/>
            </w:pPr>
            <w:r>
              <w:t>37.15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9.12</w:t>
            </w:r>
          </w:p>
        </w:tc>
        <w:tc>
          <w:tcPr>
            <w:tcW w:w="2551" w:type="dxa"/>
            <w:vAlign w:val="center"/>
          </w:tcPr>
          <w:p>
            <w:pPr>
              <w:pStyle w:val="12"/>
            </w:pPr>
          </w:p>
        </w:tc>
        <w:tc>
          <w:tcPr>
            <w:tcW w:w="2551" w:type="dxa"/>
            <w:vAlign w:val="center"/>
          </w:tcPr>
          <w:p>
            <w:pPr>
              <w:pStyle w:val="12"/>
            </w:pPr>
            <w:r>
              <w:t>9.12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1.80</w:t>
            </w:r>
          </w:p>
        </w:tc>
        <w:tc>
          <w:tcPr>
            <w:tcW w:w="2551" w:type="dxa"/>
            <w:vAlign w:val="center"/>
          </w:tcPr>
          <w:p>
            <w:pPr>
              <w:pStyle w:val="12"/>
            </w:pPr>
          </w:p>
        </w:tc>
        <w:tc>
          <w:tcPr>
            <w:tcW w:w="2551" w:type="dxa"/>
            <w:vAlign w:val="center"/>
          </w:tcPr>
          <w:p>
            <w:pPr>
              <w:pStyle w:val="12"/>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9.71</w:t>
            </w:r>
          </w:p>
        </w:tc>
        <w:tc>
          <w:tcPr>
            <w:tcW w:w="2551" w:type="dxa"/>
            <w:vAlign w:val="center"/>
          </w:tcPr>
          <w:p>
            <w:pPr>
              <w:pStyle w:val="12"/>
            </w:pPr>
          </w:p>
        </w:tc>
        <w:tc>
          <w:tcPr>
            <w:tcW w:w="2551" w:type="dxa"/>
            <w:vAlign w:val="center"/>
          </w:tcPr>
          <w:p>
            <w:pPr>
              <w:pStyle w:val="12"/>
            </w:pPr>
            <w:r>
              <w:t>9.71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12.14</w:t>
            </w:r>
          </w:p>
        </w:tc>
        <w:tc>
          <w:tcPr>
            <w:tcW w:w="2551" w:type="dxa"/>
            <w:vAlign w:val="center"/>
          </w:tcPr>
          <w:p>
            <w:pPr>
              <w:pStyle w:val="12"/>
            </w:pPr>
          </w:p>
        </w:tc>
        <w:tc>
          <w:tcPr>
            <w:tcW w:w="2551" w:type="dxa"/>
            <w:vAlign w:val="center"/>
          </w:tcPr>
          <w:p>
            <w:pPr>
              <w:pStyle w:val="12"/>
            </w:pPr>
            <w:r>
              <w:t>12.14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27.00</w:t>
            </w:r>
          </w:p>
        </w:tc>
        <w:tc>
          <w:tcPr>
            <w:tcW w:w="2551" w:type="dxa"/>
            <w:vAlign w:val="center"/>
          </w:tcPr>
          <w:p>
            <w:pPr>
              <w:pStyle w:val="12"/>
            </w:pPr>
          </w:p>
        </w:tc>
        <w:tc>
          <w:tcPr>
            <w:tcW w:w="2551" w:type="dxa"/>
            <w:vAlign w:val="center"/>
          </w:tcPr>
          <w:p>
            <w:pPr>
              <w:pStyle w:val="12"/>
            </w:pPr>
            <w:r>
              <w:t>27.00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39.96</w:t>
            </w:r>
          </w:p>
        </w:tc>
        <w:tc>
          <w:tcPr>
            <w:tcW w:w="2551" w:type="dxa"/>
            <w:vAlign w:val="center"/>
          </w:tcPr>
          <w:p>
            <w:pPr>
              <w:pStyle w:val="12"/>
            </w:pPr>
          </w:p>
        </w:tc>
        <w:tc>
          <w:tcPr>
            <w:tcW w:w="2551" w:type="dxa"/>
            <w:vAlign w:val="center"/>
          </w:tcPr>
          <w:p>
            <w:pPr>
              <w:pStyle w:val="12"/>
            </w:pPr>
            <w:r>
              <w:t>39.96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9.20</w:t>
            </w:r>
          </w:p>
        </w:tc>
        <w:tc>
          <w:tcPr>
            <w:tcW w:w="2551" w:type="dxa"/>
            <w:vAlign w:val="center"/>
          </w:tcPr>
          <w:p>
            <w:pPr>
              <w:pStyle w:val="12"/>
            </w:pPr>
          </w:p>
        </w:tc>
        <w:tc>
          <w:tcPr>
            <w:tcW w:w="2551" w:type="dxa"/>
            <w:vAlign w:val="center"/>
          </w:tcPr>
          <w:p>
            <w:pPr>
              <w:pStyle w:val="12"/>
            </w:pPr>
            <w:r>
              <w:t>9.20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141.12</w:t>
            </w:r>
          </w:p>
        </w:tc>
        <w:tc>
          <w:tcPr>
            <w:tcW w:w="2551" w:type="dxa"/>
            <w:vAlign w:val="center"/>
          </w:tcPr>
          <w:p>
            <w:pPr>
              <w:pStyle w:val="12"/>
            </w:pPr>
            <w:r>
              <w:t>141.12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1.86</w:t>
            </w:r>
          </w:p>
        </w:tc>
        <w:tc>
          <w:tcPr>
            <w:tcW w:w="2551" w:type="dxa"/>
            <w:vAlign w:val="center"/>
          </w:tcPr>
          <w:p>
            <w:pPr>
              <w:pStyle w:val="12"/>
            </w:pPr>
            <w:r>
              <w:t>1.86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135.79</w:t>
            </w:r>
          </w:p>
        </w:tc>
        <w:tc>
          <w:tcPr>
            <w:tcW w:w="2551" w:type="dxa"/>
            <w:vAlign w:val="center"/>
          </w:tcPr>
          <w:p>
            <w:pPr>
              <w:pStyle w:val="12"/>
            </w:pPr>
            <w:r>
              <w:t>135.79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3.47</w:t>
            </w:r>
          </w:p>
        </w:tc>
        <w:tc>
          <w:tcPr>
            <w:tcW w:w="2551" w:type="dxa"/>
            <w:vAlign w:val="center"/>
          </w:tcPr>
          <w:p>
            <w:pPr>
              <w:pStyle w:val="12"/>
            </w:pPr>
            <w:r>
              <w:t>3.47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2.46</w:t>
            </w:r>
          </w:p>
        </w:tc>
        <w:tc>
          <w:tcPr>
            <w:tcW w:w="2551" w:type="dxa"/>
            <w:vAlign w:val="center"/>
          </w:tcPr>
          <w:p>
            <w:pPr>
              <w:pStyle w:val="12"/>
            </w:pPr>
          </w:p>
        </w:tc>
        <w:tc>
          <w:tcPr>
            <w:tcW w:w="2551" w:type="dxa"/>
            <w:vAlign w:val="center"/>
          </w:tcPr>
          <w:p>
            <w:pPr>
              <w:pStyle w:val="12"/>
            </w:pPr>
            <w:r>
              <w:t>2.46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2.46</w:t>
            </w:r>
          </w:p>
        </w:tc>
        <w:tc>
          <w:tcPr>
            <w:tcW w:w="2551" w:type="dxa"/>
            <w:vAlign w:val="center"/>
          </w:tcPr>
          <w:p>
            <w:pPr>
              <w:pStyle w:val="12"/>
            </w:pPr>
          </w:p>
        </w:tc>
        <w:tc>
          <w:tcPr>
            <w:tcW w:w="2551" w:type="dxa"/>
            <w:vAlign w:val="center"/>
          </w:tcPr>
          <w:p>
            <w:pPr>
              <w:pStyle w:val="12"/>
            </w:pPr>
            <w:r>
              <w:t>2.46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28781"/>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414唐山市开平区市场监督管理局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45.60</w:t>
            </w:r>
          </w:p>
        </w:tc>
        <w:tc>
          <w:tcPr>
            <w:tcW w:w="2551" w:type="dxa"/>
            <w:vAlign w:val="center"/>
          </w:tcPr>
          <w:p>
            <w:pPr>
              <w:pStyle w:val="16"/>
            </w:pPr>
          </w:p>
        </w:tc>
        <w:tc>
          <w:tcPr>
            <w:tcW w:w="2551" w:type="dxa"/>
            <w:vAlign w:val="center"/>
          </w:tcPr>
          <w:p>
            <w:pPr>
              <w:pStyle w:val="16"/>
            </w:pPr>
            <w:r>
              <w:t>45.60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45.60</w:t>
            </w:r>
          </w:p>
        </w:tc>
        <w:tc>
          <w:tcPr>
            <w:tcW w:w="2551" w:type="dxa"/>
            <w:vAlign w:val="center"/>
          </w:tcPr>
          <w:p>
            <w:pPr>
              <w:pStyle w:val="12"/>
            </w:pPr>
          </w:p>
        </w:tc>
        <w:tc>
          <w:tcPr>
            <w:tcW w:w="2551" w:type="dxa"/>
            <w:vAlign w:val="center"/>
          </w:tcPr>
          <w:p>
            <w:pPr>
              <w:pStyle w:val="12"/>
            </w:pPr>
            <w:r>
              <w:t>45.60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45.60</w:t>
            </w:r>
          </w:p>
        </w:tc>
        <w:tc>
          <w:tcPr>
            <w:tcW w:w="2551" w:type="dxa"/>
            <w:vAlign w:val="center"/>
          </w:tcPr>
          <w:p>
            <w:pPr>
              <w:pStyle w:val="12"/>
            </w:pPr>
          </w:p>
        </w:tc>
        <w:tc>
          <w:tcPr>
            <w:tcW w:w="2551" w:type="dxa"/>
            <w:vAlign w:val="center"/>
          </w:tcPr>
          <w:p>
            <w:pPr>
              <w:pStyle w:val="12"/>
            </w:pPr>
            <w:r>
              <w:t>45.60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2120899</w:t>
            </w:r>
          </w:p>
        </w:tc>
        <w:tc>
          <w:tcPr>
            <w:tcW w:w="4535" w:type="dxa"/>
            <w:vAlign w:val="center"/>
          </w:tcPr>
          <w:p>
            <w:pPr>
              <w:pStyle w:val="13"/>
            </w:pPr>
            <w:r>
              <w:t>其他国有土地使用权出让收入安排的支出</w:t>
            </w:r>
          </w:p>
        </w:tc>
        <w:tc>
          <w:tcPr>
            <w:tcW w:w="2551" w:type="dxa"/>
            <w:vAlign w:val="center"/>
          </w:tcPr>
          <w:p>
            <w:pPr>
              <w:pStyle w:val="12"/>
            </w:pPr>
            <w:r>
              <w:t>45.60</w:t>
            </w:r>
          </w:p>
        </w:tc>
        <w:tc>
          <w:tcPr>
            <w:tcW w:w="2551" w:type="dxa"/>
            <w:vAlign w:val="center"/>
          </w:tcPr>
          <w:p>
            <w:pPr>
              <w:pStyle w:val="12"/>
            </w:pPr>
          </w:p>
        </w:tc>
        <w:tc>
          <w:tcPr>
            <w:tcW w:w="2551" w:type="dxa"/>
            <w:vAlign w:val="center"/>
          </w:tcPr>
          <w:p>
            <w:pPr>
              <w:pStyle w:val="12"/>
            </w:pPr>
            <w:r>
              <w:t>45.60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10306"/>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414唐山市开平区市场监督管理局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8" w:name="_Toc10181"/>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414唐山市开平区市场监督管理局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27.00</w:t>
            </w:r>
          </w:p>
        </w:tc>
        <w:tc>
          <w:tcPr>
            <w:tcW w:w="2381" w:type="dxa"/>
            <w:vAlign w:val="center"/>
          </w:tcPr>
          <w:p>
            <w:pPr>
              <w:pStyle w:val="16"/>
            </w:pPr>
            <w:r>
              <w:t>27.00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27.00</w:t>
            </w:r>
          </w:p>
        </w:tc>
        <w:tc>
          <w:tcPr>
            <w:tcW w:w="2381" w:type="dxa"/>
            <w:vAlign w:val="center"/>
          </w:tcPr>
          <w:p>
            <w:pPr>
              <w:pStyle w:val="12"/>
            </w:pPr>
            <w:r>
              <w:t>27.00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27.00</w:t>
            </w:r>
          </w:p>
        </w:tc>
        <w:tc>
          <w:tcPr>
            <w:tcW w:w="2381" w:type="dxa"/>
            <w:vAlign w:val="center"/>
          </w:tcPr>
          <w:p>
            <w:pPr>
              <w:pStyle w:val="12"/>
            </w:pPr>
            <w:r>
              <w:t>27.00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27.00</w:t>
            </w:r>
          </w:p>
        </w:tc>
        <w:tc>
          <w:tcPr>
            <w:tcW w:w="2381" w:type="dxa"/>
            <w:vAlign w:val="center"/>
          </w:tcPr>
          <w:p>
            <w:pPr>
              <w:pStyle w:val="12"/>
            </w:pPr>
            <w:r>
              <w:t>27.00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唐山市开平区市场监督管理局2025年部门预算信息公开情况说明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唐山市开平区市场监督管理局2025年部门预算信息公开情况说明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按照《中华人民共和国预算法》、《地方预决算公开操作规程》和《关于进一步推进预算公开工作的实施意见》规定，现将唐山市开平区市场监督管理局2025年部门预算公开如下：</w:t>
      </w:r>
    </w:p>
    <w:p>
      <w:pPr>
        <w:spacing w:before="10" w:after="10" w:line="360" w:lineRule="auto"/>
        <w:ind w:firstLine="640"/>
        <w:jc w:val="left"/>
        <w:outlineLvl w:val="2"/>
      </w:pPr>
      <w:bookmarkStart w:id="9" w:name="_Toc27787"/>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在辖区政府领导下，负责全区市场综合监督管理。起草全区市场监督管理有关政府规章草案，制定有关政策、标准，组织实施质量强区战略、食品安全战略、标准化战略、知识产权战略，拟订并组织实施有关规划，规范和维护市场秩序，营造诚实守信、公平竞争的市场环境。</w:t>
      </w:r>
    </w:p>
    <w:p>
      <w:pPr>
        <w:pStyle w:val="18"/>
      </w:pPr>
      <w:r>
        <w:t>（二）在辖区政府领导下，建立市场主体信息公示和共享机制，依法公示和共享有关信息，加强信用监管，推动市场主体信用体系建设。</w:t>
      </w:r>
    </w:p>
    <w:p>
      <w:pPr>
        <w:pStyle w:val="18"/>
      </w:pPr>
      <w:r>
        <w:t>（三）组织和指导全区市场监管综合执法工作。指导全区市场监管综合执法队伍整合和建设，推动实行统一的市场监管。组织查处违法案件。规范市场监管行政执法行为。</w:t>
      </w:r>
    </w:p>
    <w:p>
      <w:pPr>
        <w:pStyle w:val="18"/>
      </w:pPr>
      <w:r>
        <w:t>（四）反垄断统一执法。组织推进竞争政策实施，指导实施公平竞争审查制度。依法对经营者集中行为进行反垄断审查，负责垄断协议、滥用市场支配地位和滥用行政权力排除、限制竞争等反垄断执法工作。</w:t>
      </w:r>
    </w:p>
    <w:p>
      <w:pPr>
        <w:pStyle w:val="18"/>
      </w:pPr>
      <w:r>
        <w:t>（五）监督管理市场秩序。依法监督管理全区市场交易、网络商品交易及有关服务的行为。组织指导查处价格收费违法违规、不正当竞争、违法直销、传销、侵犯知识产权和制售假冒伪劣行为。指导全区广告业发展，监督管理广告活动。按照职责分工依法查处无照生产经营和相关无证生产经营行为。指导区消费者协会开展消费维权工作。</w:t>
      </w:r>
    </w:p>
    <w:p>
      <w:pPr>
        <w:pStyle w:val="18"/>
      </w:pPr>
      <w:r>
        <w:t>（六）全区宏观质量管理。拟订并实施质量发展的制度措施。统筹全区质量基础设施建设与应用，会同有关部门组织实施重大工程设备质量监管制度，组织重大质量事故调查，实施缺陷产品召回制度，监督管理产品防伪工作。</w:t>
      </w:r>
    </w:p>
    <w:p>
      <w:pPr>
        <w:pStyle w:val="18"/>
      </w:pPr>
      <w:r>
        <w:t>（七）全区产品质量安全监督管理。承担区级产品质量安全风险监控，监督抽查工作，组织实施质量分级制度、质量安全追溯制度。实施工业产品生产许可管理。负责棉花等纤维质量监督工作。</w:t>
      </w:r>
    </w:p>
    <w:p>
      <w:pPr>
        <w:pStyle w:val="18"/>
      </w:pPr>
      <w:r>
        <w:t>（八）全区特种设备安全监督管理。综合管理特种设备安全监察、监督工作，监督检查高耗能特种设备节能标准和锅炉环境保护标准的执行情况。</w:t>
      </w:r>
    </w:p>
    <w:p>
      <w:pPr>
        <w:pStyle w:val="18"/>
      </w:pPr>
      <w:r>
        <w:t>（九）食品安全监督管理综合协调。组织制定全区食品安全重大政策并组织实施。推动健全食品安全地方党政同责和跨部门协调联动机制。负责食品安全应急体系建设，组织指导全区重大食品安全事件应急处置和调查处理工作。建立健全食品安全信息统一发布和重要信息直报制度。承担区食品安全委员会日常工作。</w:t>
      </w:r>
    </w:p>
    <w:p>
      <w:pPr>
        <w:pStyle w:val="18"/>
      </w:pPr>
      <w:r>
        <w:t>（十）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负责食盐质量安全监督管理。负责拟定酒类流通发展规划、政策。</w:t>
      </w:r>
    </w:p>
    <w:p>
      <w:pPr>
        <w:pStyle w:val="18"/>
      </w:pPr>
      <w:r>
        <w:t>（十一）统一管理区计量工作。推行法定计量单位和国家计量制度，管理计量器具及量值传递和比对工作。规范、监督商品量和市场计量行为。</w:t>
      </w:r>
    </w:p>
    <w:p>
      <w:pPr>
        <w:pStyle w:val="18"/>
      </w:pPr>
      <w:r>
        <w:t>（十二）统一管理全区标准化工作。依法承担组织制定辖区内地方标准。宣传贯彻强制性、推荐性国家标准和行业标准、地方标准。依法协调指导和监督团体标准、企业标准制定工作。参与制定、采用国际标准工作。</w:t>
      </w:r>
    </w:p>
    <w:p>
      <w:pPr>
        <w:pStyle w:val="18"/>
      </w:pPr>
      <w:r>
        <w:t>（十三）统一管理全区检验检测工作。推进检验检测机构整合和改革，规范检验检测市场，完善检验检测体系，指导协调检验检测行业发展。</w:t>
      </w:r>
    </w:p>
    <w:p>
      <w:pPr>
        <w:pStyle w:val="18"/>
      </w:pPr>
      <w:r>
        <w:t>（十四）统一管理、监督和综合协调全区认证认可工作。组织实施贯彻国家统一的认证认可和合格评定监督管理制度。</w:t>
      </w:r>
    </w:p>
    <w:p>
      <w:pPr>
        <w:pStyle w:val="18"/>
      </w:pPr>
      <w:r>
        <w:t>（十五）推进全区知识产权管理工作。拟订加强知识产权强区建设的重大方针政策和发展规划。拟订和实施强化知识产权创造、保护和运用的政策。</w:t>
      </w:r>
    </w:p>
    <w:p>
      <w:pPr>
        <w:pStyle w:val="18"/>
      </w:pPr>
      <w:r>
        <w:t>（十六）建立知识产权公共服务体系。建设便企利民、互联互通的全区知识产权信息公共服务平台，推动商标、专利等知识产权信息的传播利用。加强知识产权服务机构培育。指导辖区知识产权信息服务工作。</w:t>
      </w:r>
    </w:p>
    <w:p>
      <w:pPr>
        <w:pStyle w:val="18"/>
      </w:pPr>
      <w:r>
        <w:t>（十七）全区市场监督管理科技和信息化建设、新闻宣传、对外交流与合作。按规定承担技术性贸易措施有关工作。</w:t>
      </w:r>
    </w:p>
    <w:p>
      <w:pPr>
        <w:pStyle w:val="18"/>
      </w:pPr>
      <w:r>
        <w:t>（十八）研究拟定药品流通行业发展规划、政策和相关标准，推进药品流通行业结构调整，指导药品流通企业改革，推动现代化药品流通方式的发展。</w:t>
      </w:r>
    </w:p>
    <w:p>
      <w:pPr>
        <w:pStyle w:val="18"/>
      </w:pPr>
      <w:r>
        <w:t>（十九）药品（含中药、民族药，下同）、医疗器械和化妆品监督管理。贯彻执行国家、省药品、医疗器械和化妆品法律法规，监督实施经营、使用质量管理规范。推动</w:t>
      </w:r>
    </w:p>
    <w:p>
      <w:pPr>
        <w:pStyle w:val="18"/>
      </w:pPr>
      <w:r>
        <w:t>械和化妆品安全企业主体责任。依职责负责组织指导药品、医疗器械和化妆品监督检查，依法查处药品零售、医疗器械经营、化妆品经营和药品、医疗器械使用环节的违法行为。贯彻鼓励药品、医疗器械和化妆品新技术新产品的管理与服务政策。依权限承担省药品监督管理局和市市场监督管理局关于药品、医疗器械和化妆品委托和下放的职责。落实药品</w:t>
      </w:r>
    </w:p>
    <w:p>
      <w:pPr>
        <w:pStyle w:val="18"/>
      </w:pPr>
      <w:r>
        <w:t>监督实施国家药品、医疗器械和化妆品标准，参与完善中药材地方标准，组织落实分类管理制度。配合实施国家基本药物制度。负责药品、医疗器械和化妆品上市后风险管理，开展药品不良反应、医疗器械不良事件、化妆品不良反应监测、评价和处置工作。推进药品、医疗器械和化妆品安全监管信息化建设，完善药品、医疗器械、化妆品安全信息统一公布制度和重大信息直报制度。依法承担药品、医疗器械和化妆品安全应急管理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唐山市开平区市场监督管理局本级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31073"/>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按照预算管理有关规定，目前部门预算的编制实行综合预算管理，即全部收入和支出都反映在预算中。唐山市开平区市场监督管理局机关及所属事业单位的收支包含在部门预算中。</w:t>
      </w:r>
    </w:p>
    <w:p>
      <w:pPr>
        <w:pStyle w:val="19"/>
      </w:pPr>
      <w:r>
        <w:t>1、收入说明</w:t>
      </w:r>
    </w:p>
    <w:p>
      <w:pPr>
        <w:pStyle w:val="19"/>
      </w:pPr>
      <w:r>
        <w:t>反映本部门当年全部收入。2025年预算收入2375.72万元，其中：一般公共预算收入2330.12万元，基金预算收入45.60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唐山市开平区市场监督管理局年度部门预算中支出预算的总体情况。2025年支出预算2375.72万元，其中基本支出2194.53万元，包括人员经费2029.68万元和日常公用经费164.86万元；项目支出181.19万元，主要为基本支出2194.53万元，包括人员经费2029.68万元和日常公用经费164.86万元；项目支出181.19万元。</w:t>
      </w:r>
    </w:p>
    <w:p>
      <w:pPr>
        <w:pStyle w:val="19"/>
      </w:pPr>
      <w:r>
        <w:t>3、比上年增减情况</w:t>
      </w:r>
    </w:p>
    <w:p>
      <w:pPr>
        <w:pStyle w:val="19"/>
      </w:pPr>
      <w:r>
        <w:t>2025年预算收支安排2375.72万元，较2024年预算增加48.86万元，其中：基本支出增加40.78万元，主要为2024年有新增人员，导致人员经费以及公用经费同时增加。项目支出增加8.08万元，主要为2025年新增了质量奖等两项项目。</w:t>
      </w:r>
    </w:p>
    <w:p>
      <w:pPr>
        <w:spacing w:before="10" w:after="10" w:line="360" w:lineRule="auto"/>
        <w:ind w:firstLine="640"/>
        <w:jc w:val="left"/>
        <w:outlineLvl w:val="2"/>
      </w:pPr>
      <w:bookmarkStart w:id="11" w:name="_Toc29440"/>
      <w:r>
        <w:rPr>
          <w:rFonts w:ascii="黑体" w:hAnsi="黑体" w:eastAsia="黑体" w:cs="黑体"/>
          <w:color w:val="000000"/>
          <w:sz w:val="32"/>
        </w:rPr>
        <w:t>三、机关运行经费安排情况</w:t>
      </w:r>
      <w:bookmarkEnd w:id="11"/>
    </w:p>
    <w:p>
      <w:pPr>
        <w:pStyle w:val="20"/>
      </w:pPr>
      <w:r>
        <w:t>2025年，我部门机关运行经费共计安排164.86万元，主要用于日常维修、办公用房水电费、办公用房取暖费、办公用房物业管理费等日常运行支出。</w:t>
      </w:r>
    </w:p>
    <w:p>
      <w:pPr>
        <w:spacing w:before="10" w:after="10" w:line="360" w:lineRule="auto"/>
        <w:ind w:firstLine="640"/>
        <w:jc w:val="left"/>
        <w:outlineLvl w:val="2"/>
      </w:pPr>
      <w:bookmarkStart w:id="12" w:name="_Toc7023"/>
      <w:r>
        <w:rPr>
          <w:rFonts w:ascii="黑体" w:hAnsi="黑体" w:eastAsia="黑体" w:cs="黑体"/>
          <w:color w:val="000000"/>
          <w:sz w:val="32"/>
        </w:rPr>
        <w:t>四、财政拨款“三公”经费预算情况及增减变化原因</w:t>
      </w:r>
      <w:bookmarkEnd w:id="12"/>
    </w:p>
    <w:p>
      <w:pPr>
        <w:pStyle w:val="21"/>
      </w:pPr>
      <w:r>
        <w:t>2025年，我部门财政拨款“三公”经费预算安排27.00万元，其中因公出国（境）费0.00万元；公务用车购置及运维费27.00万元（其中：公务用车购置费为0.00万元，公务用车运维费27.00万元)；公务接待费0.00万元。与2024年相比减少3.00万元，增减变化的主要原因是为了缩减开支，压缩了公务用车购置及运维费的开支。</w:t>
      </w:r>
    </w:p>
    <w:p>
      <w:pPr>
        <w:spacing w:before="10" w:after="10" w:line="360" w:lineRule="auto"/>
        <w:ind w:firstLine="640"/>
        <w:jc w:val="left"/>
        <w:outlineLvl w:val="2"/>
      </w:pPr>
      <w:bookmarkStart w:id="13" w:name="_Toc16688"/>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在辖区政府领导下，负责全区市场综合监督管理。起草全区市场监督管理有关政府规章草案，制定有关政策、标准，组织实施质量强区战略、食品安全战略、标准化战略、知识产权战略，拟订并组织实施有关规划，规范和维护市场秩序，营造诚实守信、公平竞争的市场环境。组织和指导全区市场监管综合执法工作;指导全区市场监管综合执法队伍整合和建设，推动实行统一的市场监管。组织查处违法案件。规范市场监管行政执法行为;全区特种设备安全监督管理。综合管理特种设备安全监察、监督工作，监督检查高耗能特种设备节能标准和锅炉环境保护标准的执行情况;组织制定全区食品安全重大政策并组织实施。推动健全食品安全地方党政同责和跨部门协调联动机制。负责食品安全应急体系建设，组织指导全区重大食品安全事件应急处置和调查处理工作。建立健全食品安全信息统一发布和重要信息直报制度。承担区食品安全委员会日常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（一）完善机制，推进市场信用管理工程优化服务：</w:t>
      </w:r>
    </w:p>
    <w:p>
      <w:pPr>
        <w:pStyle w:val="23"/>
      </w:pPr>
      <w:r>
        <w:t>绩效目标：建立市场主体信息公示和共享机制，依法公示和共享有关信息，加强信用监管，推动市场主体信用体系建设，推动市场主体平稳发展。继续发展知识产权广告工作。大力开展护农专项整治行动。</w:t>
      </w:r>
    </w:p>
    <w:p>
      <w:pPr>
        <w:pStyle w:val="23"/>
      </w:pPr>
      <w:r>
        <w:t>绩效指标：一是制定了促进市场主体增量工作方案，成立领导小组。明确任务，细化分工。落实责任，将市场主体增量各项指标分解到各分局，对全区企业、1个体工商户的发展实行量化考核。二是全力推进“双随机、一公开”工作，采取本单位联合检查和跨部门联合抽查等方法，抽查市场主体，其中通过登记的住所（经营场所）无法取得联系的，将其列入经营异常名录。完成企业的公示和复核；三是大力开展护农专项整治行动，围绕春耕“三夏”生产重要时段，着力开展护农专项行动，保障农民在春耕“三夏”生产期间用上放心农资，维护农民合法权益，有效杜绝坑农害农事件的发生。四是知识产权广告整治有新发展，工作中以“4.26知识产权宣传保护日”为契机，局领导带领相关科室工作人员通过走访高压电瓷、智能电子、河北香宇、京华制管等重点企业宣讲知识产权法律法规、扶持政策、驰名商标培育，现场解决企业遇到的疑难问题。</w:t>
      </w:r>
    </w:p>
    <w:p>
      <w:pPr>
        <w:pStyle w:val="23"/>
      </w:pPr>
      <w:r>
        <w:t>（二）完善机制，积极推进质量提升工程。</w:t>
      </w:r>
    </w:p>
    <w:p>
      <w:pPr>
        <w:pStyle w:val="23"/>
      </w:pPr>
      <w:r>
        <w:t>绩效目标：加速“质量强区”战略进程，标准计量平稳推进，推进特种设备工作稳中有进。</w:t>
      </w:r>
    </w:p>
    <w:p>
      <w:pPr>
        <w:pStyle w:val="23"/>
      </w:pPr>
      <w:r>
        <w:t>绩效指标：一是我局代区委区政府起草了《关于开展质量提升行动加快质量强区建设的实施意见》，《实施意见》的出台，明确了开展质量提升工程的政策纲领。二是标准计量平稳推进。三是特种设备稳中有进，年初制定了全年特种设备《工作目标》和《工作计划》，明确分工，实行“一岗双责”责任制，即“一把手”负总责，分管领导亲自抓，特种设备科具体抓，相关部门配合抓的工作机制。</w:t>
      </w:r>
    </w:p>
    <w:p>
      <w:pPr>
        <w:pStyle w:val="23"/>
      </w:pPr>
      <w:r>
        <w:t>（三）严格监管，打好食药安全工程硬仗。</w:t>
      </w:r>
    </w:p>
    <w:p>
      <w:pPr>
        <w:pStyle w:val="23"/>
      </w:pPr>
      <w:r>
        <w:t>绩效目标：开展食品、保健食品和化妆品隐患大排查和农村食品市场和校园周边食品等专项整治行动中。组织执法人员深入保健食品零售连锁企业和城乡结合部等经营单位，逐项对食品、保健食品和化妆品夸大宣传，误导欺骗消费者、高仿假冒产品等问题进行了全面排查。</w:t>
      </w:r>
    </w:p>
    <w:p>
      <w:pPr>
        <w:pStyle w:val="23"/>
      </w:pPr>
      <w:r>
        <w:t>绩效指标：按照季度、特殊日期开展食品、保健食品和化妆品隐患大排查和农村食品市场和校园周边食品等专项整治行动。专项整治行动定期不定期进行预计50次行动。组织执法人员深入保健食品零售连锁企业和城乡结合部等经营单位，逐项对全区300余家食品、保健食品和化妆品相关企业和个体夸大宣传，误导欺骗消费者、高仿假冒产品等问题进行了全面排查。</w:t>
      </w:r>
    </w:p>
    <w:p>
      <w:pPr>
        <w:pStyle w:val="23"/>
      </w:pPr>
      <w:r>
        <w:t>（四）组织和指导全区市场监管综合执法工作。</w:t>
      </w:r>
    </w:p>
    <w:p>
      <w:pPr>
        <w:pStyle w:val="23"/>
      </w:pPr>
      <w:r>
        <w:t xml:space="preserve">绩效目标：组织和指导全区市场监管综合执法工作。指导全区市场监管综合执法队伍整合和建设，推动实行统一的市场监管。组织查处违法案件。规范市场监管行政执法行为。 </w:t>
      </w:r>
    </w:p>
    <w:p>
      <w:pPr>
        <w:pStyle w:val="23"/>
      </w:pPr>
      <w:r>
        <w:t>绩效指标：在网剑专项行动中，采取网上巡查和实地检查相结合方法，重点检查了虚假违法广告、虚假宣传、商标侵权等网络交易违法行为，有效推进了网络市场一体化全面监管进程。消费维权工作有新成效,充分利用“3•15” 国际消费者权益日活动平台，组织建立消费维权志愿者队伍，开展汽车及供热市场的消费调查，并提出意见建议，规范经营者经营行为，使一些消费纠纷解决在萌芽阶段。在成品油市场监管工作中，对51家加油站进行全面检查，对成品油经营单位的成品油进行了抽检，抽检覆盖率100%，对不合格油品全部立案查处。在依法办案工作中，我局要按照“严纪律、正作风、强监管、树形象”的方针，充分履行市场监管职责，加大执法工作力度，突出重点领域、重点行业，大力查处损害公平竞争秩序和消费者权益的重大案件，维护公平竞争的市场秩序。</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我局的工作的目标是;认真贯彻市委经济工作会议精神，全面落实科学的发展观，深入整顿规范市场经济秩序，努力营造公平竞争的市场环境；继续推进制度创新和监管方式创新，着力提高执法效能；大力加强队伍建设，进一步提高队伍素质和依法行政水平</w:t>
      </w:r>
    </w:p>
    <w:p>
      <w:pPr>
        <w:pStyle w:val="24"/>
      </w:pPr>
      <w:r>
        <w:t>为实现上述目标，全局上下统一思想，本着围绕中心、服务大局、夯实基础，开拓创新的工作思路。以强力推进省局实施的“七项工程”为抓手。全力提升市场监管上新台阶，保证做好以下工作:</w:t>
      </w:r>
    </w:p>
    <w:p>
      <w:pPr>
        <w:pStyle w:val="24"/>
      </w:pPr>
      <w:r>
        <w:t>一是继续强力推进市场监管和环境净化工程，继续深入开展“双随机一公开”工作，结合本地实际加强科学指导，找差距，定措施，补短板，努力提高“双随机一公开”工作水平。强化专项行动，整治市场秩序努力实现新突破。深入开展以制售假冒伪劣商品、消费欺诈等为重点的专项行动，全方位排查整治各类危害市场经济秩序的问题隐患。加大依法办案力度，做到有案必查，提高办案质量，严厉打击各类违法违规行为，努力营造良好的市场环境。优化服务措施，努力提升企业信用监管水平，严厉打击合同欺诈和利用合同形式侵害国家、集体利益和社会公共利益行为。努力维护良好市场经济秩序。创优维权环境，努力提升12315护民生服务水平。多层次，全方位提供消费维权服务，切实保护消费者的合法权益。狠抓治污工作，强化排查整治力度，增加抽检批次和巡查频次，严厉打击破坏环境的违法违规行为，规范油品和煤炭市场经营秩序，努力提升空气净化指数。</w:t>
      </w:r>
    </w:p>
    <w:p>
      <w:pPr>
        <w:pStyle w:val="24"/>
      </w:pPr>
      <w:r>
        <w:t>二是继续强力实施食药监管工程，持续强化措施，狠抓落实，扎实开展食品安全专项整治行动”，确保食品药品安全形势的总体稳定。继续加大餐饮服务食品安全监管力度。全面提升我区的餐饮服务质量。继续加强食品生产企业和流通环节食品监管。进一步完善不合格产品核查处置制度，加大对不合格产品的核查处置力度。确保辖区食品生产企业和流通环节食品安全。</w:t>
      </w:r>
    </w:p>
    <w:p>
      <w:pPr>
        <w:pStyle w:val="24"/>
      </w:pPr>
      <w:r>
        <w:t>三是继续强力实施质量提升工程，着力提升产品质量。推动企业质量管理水平不断升级。着力提升品牌争创力度。继继提升全民品牌意识，鼓励企业申报争创知名品牌商标和优质产品，质量效益型企业。力争培育知名品牌和省优质产品有新突破。着力提升标计服务效能。继续组织开展计量惠民活动。全力推行产品质量动态监管和分类监管取得新成绩。着力提升特种设备安全指数，继续加大特种设备安全检查力度，严厉打击各种非法、违法使用特种设备的行为。确保特种设备安全运行。为区域经济社会持续发展再做新贡献！</w:t>
      </w:r>
    </w:p>
    <w:p>
      <w:pPr>
        <w:pStyle w:val="24"/>
        <w:sectPr>
          <w:pgSz w:w="16840" w:h="11900" w:orient="landscape"/>
          <w:pgMar w:top="1361" w:right="1020" w:bottom="1361" w:left="1020" w:header="720" w:footer="720" w:gutter="0"/>
          <w:cols w:space="720" w:num="1"/>
        </w:sectPr>
      </w:pPr>
      <w:r>
        <w:t>四是继续深化基层建设提升工程。以落实省巡视组和区委第一巡察组工作要求为契机，深入开展“不忘初心，牢记使命”主题教育活动，对照问题找差距，努力营造守初心担使命，做贡献浓厚氛围。拓宽为民服务渠道。切实转变作风，努力提升队伍监管能力水平，为优化新时代市场监管工作环境奠定坚实基础。</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5617"/>
      <w:r>
        <w:rPr>
          <w:rFonts w:hint="eastAsia" w:ascii="黑体" w:hAnsi="黑体" w:eastAsia="黑体" w:cs="黑体"/>
          <w:color w:val="000000"/>
          <w:sz w:val="32"/>
          <w:lang w:val="en-US" w:eastAsia="zh-CN"/>
        </w:rPr>
        <w:t>六</w:t>
      </w:r>
      <w:r>
        <w:rPr>
          <w:rFonts w:ascii="黑体" w:hAnsi="黑体" w:eastAsia="黑体" w:cs="黑体"/>
          <w:color w:val="000000"/>
          <w:sz w:val="32"/>
        </w:rPr>
        <w:t>、部门项目预算安排情况及绩效目标</w:t>
      </w:r>
      <w:bookmarkEnd w:id="14"/>
    </w:p>
    <w:p>
      <w:pPr>
        <w:spacing w:before="0" w:after="0"/>
        <w:ind w:firstLine="560"/>
        <w:jc w:val="left"/>
        <w:outlineLvl w:val="9"/>
      </w:pPr>
      <w:r>
        <w:rPr>
          <w:rFonts w:ascii="方正仿宋_GBK" w:hAnsi="方正仿宋_GBK" w:eastAsia="方正仿宋_GBK" w:cs="方正仿宋_GBK"/>
          <w:color w:val="000000"/>
          <w:sz w:val="28"/>
        </w:rPr>
        <w:t>1、本级”双随机、一公开“监管经费绩效目标表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13020525P00910810002P</w:t>
            </w:r>
          </w:p>
        </w:tc>
        <w:tc>
          <w:tcPr>
            <w:tcW w:w="2835" w:type="dxa"/>
            <w:vAlign w:val="center"/>
          </w:tcPr>
          <w:p>
            <w:pPr>
              <w:pStyle w:val="11"/>
            </w:pPr>
            <w:r>
              <w:t>项目名称</w:t>
            </w:r>
          </w:p>
        </w:tc>
        <w:tc>
          <w:tcPr>
            <w:tcW w:w="6095" w:type="dxa"/>
            <w:gridSpan w:val="3"/>
            <w:vAlign w:val="center"/>
          </w:tcPr>
          <w:p>
            <w:pPr>
              <w:pStyle w:val="13"/>
            </w:pPr>
            <w:r>
              <w:t>本级”双随机、一公开“监管经费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18.65</w:t>
            </w:r>
          </w:p>
        </w:tc>
        <w:tc>
          <w:tcPr>
            <w:tcW w:w="2835" w:type="dxa"/>
            <w:vAlign w:val="center"/>
          </w:tcPr>
          <w:p>
            <w:pPr>
              <w:pStyle w:val="11"/>
            </w:pPr>
            <w:r>
              <w:t>其中：财政    资金</w:t>
            </w:r>
          </w:p>
        </w:tc>
        <w:tc>
          <w:tcPr>
            <w:tcW w:w="2551" w:type="dxa"/>
            <w:vAlign w:val="center"/>
          </w:tcPr>
          <w:p>
            <w:pPr>
              <w:pStyle w:val="13"/>
            </w:pPr>
            <w:r>
              <w:t>18.65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聘请会计师事务所对辖区市场主体相关事宜开展抽查工作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1.聘请会计师事务所对辖区市场主体相关事宜开展抽查工作。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调查企业户数</w:t>
            </w:r>
          </w:p>
        </w:tc>
        <w:tc>
          <w:tcPr>
            <w:tcW w:w="5386" w:type="dxa"/>
            <w:vAlign w:val="center"/>
          </w:tcPr>
          <w:p>
            <w:pPr>
              <w:pStyle w:val="13"/>
            </w:pPr>
            <w:r>
              <w:t>调查企业户数</w:t>
            </w:r>
          </w:p>
        </w:tc>
        <w:tc>
          <w:tcPr>
            <w:tcW w:w="2268" w:type="dxa"/>
            <w:vAlign w:val="center"/>
          </w:tcPr>
          <w:p>
            <w:pPr>
              <w:pStyle w:val="13"/>
            </w:pPr>
            <w:r>
              <w:t>373户</w:t>
            </w:r>
          </w:p>
        </w:tc>
        <w:tc>
          <w:tcPr>
            <w:tcW w:w="1276" w:type="dxa"/>
            <w:vAlign w:val="center"/>
          </w:tcPr>
          <w:p>
            <w:pPr>
              <w:pStyle w:val="13"/>
            </w:pPr>
            <w:r>
              <w:t>调查企业户数等于373户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执法评估报告完成数量</w:t>
            </w:r>
          </w:p>
        </w:tc>
        <w:tc>
          <w:tcPr>
            <w:tcW w:w="5386" w:type="dxa"/>
            <w:vAlign w:val="center"/>
          </w:tcPr>
          <w:p>
            <w:pPr>
              <w:pStyle w:val="13"/>
            </w:pPr>
            <w:r>
              <w:t>执法评估报告完成数量</w:t>
            </w:r>
          </w:p>
        </w:tc>
        <w:tc>
          <w:tcPr>
            <w:tcW w:w="2268" w:type="dxa"/>
            <w:vAlign w:val="center"/>
          </w:tcPr>
          <w:p>
            <w:pPr>
              <w:pStyle w:val="13"/>
            </w:pPr>
            <w:r>
              <w:t>373份</w:t>
            </w:r>
          </w:p>
        </w:tc>
        <w:tc>
          <w:tcPr>
            <w:tcW w:w="1276" w:type="dxa"/>
            <w:vAlign w:val="center"/>
          </w:tcPr>
          <w:p>
            <w:pPr>
              <w:pStyle w:val="13"/>
            </w:pPr>
            <w:r>
              <w:t>执法评估报告完成数量等于373份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按期完成率</w:t>
            </w:r>
          </w:p>
        </w:tc>
        <w:tc>
          <w:tcPr>
            <w:tcW w:w="5386" w:type="dxa"/>
            <w:vAlign w:val="center"/>
          </w:tcPr>
          <w:p>
            <w:pPr>
              <w:pStyle w:val="13"/>
            </w:pPr>
            <w:r>
              <w:t>按期完成率</w:t>
            </w:r>
          </w:p>
        </w:tc>
        <w:tc>
          <w:tcPr>
            <w:tcW w:w="2268" w:type="dxa"/>
            <w:vAlign w:val="center"/>
          </w:tcPr>
          <w:p>
            <w:pPr>
              <w:pStyle w:val="13"/>
            </w:pPr>
            <w:r>
              <w:t>≥95%</w:t>
            </w:r>
          </w:p>
        </w:tc>
        <w:tc>
          <w:tcPr>
            <w:tcW w:w="1276" w:type="dxa"/>
            <w:vAlign w:val="center"/>
          </w:tcPr>
          <w:p>
            <w:pPr>
              <w:pStyle w:val="13"/>
            </w:pPr>
            <w:r>
              <w:t>按期完成率不低于95%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完成工作需要资金</w:t>
            </w:r>
          </w:p>
        </w:tc>
        <w:tc>
          <w:tcPr>
            <w:tcW w:w="5386" w:type="dxa"/>
            <w:vAlign w:val="center"/>
          </w:tcPr>
          <w:p>
            <w:pPr>
              <w:pStyle w:val="13"/>
            </w:pPr>
            <w:r>
              <w:t>完成工作需要资金</w:t>
            </w:r>
          </w:p>
        </w:tc>
        <w:tc>
          <w:tcPr>
            <w:tcW w:w="2268" w:type="dxa"/>
            <w:vAlign w:val="center"/>
          </w:tcPr>
          <w:p>
            <w:pPr>
              <w:pStyle w:val="13"/>
            </w:pPr>
            <w:r>
              <w:t>≤186500元</w:t>
            </w:r>
          </w:p>
        </w:tc>
        <w:tc>
          <w:tcPr>
            <w:tcW w:w="1276" w:type="dxa"/>
            <w:vAlign w:val="center"/>
          </w:tcPr>
          <w:p>
            <w:pPr>
              <w:pStyle w:val="13"/>
            </w:pPr>
            <w:r>
              <w:t>完成工作需要资金不超过186500元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资金使用效率</w:t>
            </w:r>
          </w:p>
        </w:tc>
        <w:tc>
          <w:tcPr>
            <w:tcW w:w="5386" w:type="dxa"/>
            <w:vAlign w:val="center"/>
          </w:tcPr>
          <w:p>
            <w:pPr>
              <w:pStyle w:val="13"/>
            </w:pPr>
            <w:r>
              <w:t>资金使用效率</w:t>
            </w:r>
          </w:p>
        </w:tc>
        <w:tc>
          <w:tcPr>
            <w:tcW w:w="2268" w:type="dxa"/>
            <w:vAlign w:val="center"/>
          </w:tcPr>
          <w:p>
            <w:pPr>
              <w:pStyle w:val="13"/>
            </w:pPr>
            <w:r>
              <w:t>≥90%</w:t>
            </w:r>
          </w:p>
        </w:tc>
        <w:tc>
          <w:tcPr>
            <w:tcW w:w="1276" w:type="dxa"/>
            <w:vAlign w:val="center"/>
          </w:tcPr>
          <w:p>
            <w:pPr>
              <w:pStyle w:val="13"/>
            </w:pPr>
            <w:r>
              <w:t>资金使用效率不低于90%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促进重点工作有效开展</w:t>
            </w:r>
          </w:p>
        </w:tc>
        <w:tc>
          <w:tcPr>
            <w:tcW w:w="5386" w:type="dxa"/>
            <w:vAlign w:val="center"/>
          </w:tcPr>
          <w:p>
            <w:pPr>
              <w:pStyle w:val="13"/>
            </w:pPr>
            <w:r>
              <w:t>促进重点工作有效开展</w:t>
            </w:r>
          </w:p>
        </w:tc>
        <w:tc>
          <w:tcPr>
            <w:tcW w:w="2268" w:type="dxa"/>
            <w:vAlign w:val="center"/>
          </w:tcPr>
          <w:p>
            <w:pPr>
              <w:pStyle w:val="13"/>
            </w:pPr>
            <w:r>
              <w:t>≥90%</w:t>
            </w:r>
          </w:p>
        </w:tc>
        <w:tc>
          <w:tcPr>
            <w:tcW w:w="1276" w:type="dxa"/>
            <w:vAlign w:val="center"/>
          </w:tcPr>
          <w:p>
            <w:pPr>
              <w:pStyle w:val="13"/>
            </w:pPr>
            <w:r>
              <w:t>促进重点工作有效开展不低于90%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监督检查结果应用</w:t>
            </w:r>
          </w:p>
          <w:p>
            <w:pPr>
              <w:pStyle w:val="13"/>
            </w:pPr>
          </w:p>
        </w:tc>
        <w:tc>
          <w:tcPr>
            <w:tcW w:w="5386" w:type="dxa"/>
            <w:vAlign w:val="center"/>
          </w:tcPr>
          <w:p>
            <w:pPr>
              <w:pStyle w:val="13"/>
            </w:pPr>
            <w:r>
              <w:t>监督检查结果应用</w:t>
            </w:r>
          </w:p>
          <w:p>
            <w:pPr>
              <w:pStyle w:val="13"/>
            </w:pPr>
          </w:p>
        </w:tc>
        <w:tc>
          <w:tcPr>
            <w:tcW w:w="2268" w:type="dxa"/>
            <w:vAlign w:val="center"/>
          </w:tcPr>
          <w:p>
            <w:pPr>
              <w:pStyle w:val="13"/>
            </w:pPr>
            <w:r>
              <w:t>≥90%</w:t>
            </w:r>
          </w:p>
        </w:tc>
        <w:tc>
          <w:tcPr>
            <w:tcW w:w="1276" w:type="dxa"/>
            <w:vAlign w:val="center"/>
          </w:tcPr>
          <w:p>
            <w:pPr>
              <w:pStyle w:val="13"/>
            </w:pPr>
            <w:r>
              <w:t>监督检查结果应用不低于90%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群众满意度不低于95%</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2、本级创文明城、食安城经费绩效目标表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13020525P009165100022</w:t>
            </w:r>
          </w:p>
        </w:tc>
        <w:tc>
          <w:tcPr>
            <w:tcW w:w="2835" w:type="dxa"/>
            <w:vAlign w:val="center"/>
          </w:tcPr>
          <w:p>
            <w:pPr>
              <w:pStyle w:val="11"/>
            </w:pPr>
            <w:r>
              <w:t>项目名称</w:t>
            </w:r>
          </w:p>
        </w:tc>
        <w:tc>
          <w:tcPr>
            <w:tcW w:w="6095" w:type="dxa"/>
            <w:gridSpan w:val="3"/>
            <w:vAlign w:val="center"/>
          </w:tcPr>
          <w:p>
            <w:pPr>
              <w:pStyle w:val="13"/>
            </w:pPr>
            <w:r>
              <w:t>本级创文明城、食安城经费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创文明城、食安城</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1.按时按质发放创文明城、食安城经费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食安城创建材料</w:t>
            </w:r>
          </w:p>
        </w:tc>
        <w:tc>
          <w:tcPr>
            <w:tcW w:w="5386" w:type="dxa"/>
            <w:vAlign w:val="center"/>
          </w:tcPr>
          <w:p>
            <w:pPr>
              <w:pStyle w:val="13"/>
            </w:pPr>
            <w:r>
              <w:t>食安城创建材料</w:t>
            </w:r>
          </w:p>
        </w:tc>
        <w:tc>
          <w:tcPr>
            <w:tcW w:w="2268" w:type="dxa"/>
            <w:vAlign w:val="center"/>
          </w:tcPr>
          <w:p>
            <w:pPr>
              <w:pStyle w:val="13"/>
            </w:pPr>
            <w:r>
              <w:t>500个</w:t>
            </w:r>
          </w:p>
        </w:tc>
        <w:tc>
          <w:tcPr>
            <w:tcW w:w="1276" w:type="dxa"/>
            <w:vAlign w:val="center"/>
          </w:tcPr>
          <w:p>
            <w:pPr>
              <w:pStyle w:val="13"/>
            </w:pPr>
            <w:r>
              <w:t>食安城创建材料等于500个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监督质量</w:t>
            </w:r>
          </w:p>
        </w:tc>
        <w:tc>
          <w:tcPr>
            <w:tcW w:w="5386" w:type="dxa"/>
            <w:vAlign w:val="center"/>
          </w:tcPr>
          <w:p>
            <w:pPr>
              <w:pStyle w:val="13"/>
            </w:pPr>
            <w:r>
              <w:t>监督质量</w:t>
            </w:r>
          </w:p>
        </w:tc>
        <w:tc>
          <w:tcPr>
            <w:tcW w:w="2268" w:type="dxa"/>
            <w:vAlign w:val="center"/>
          </w:tcPr>
          <w:p>
            <w:pPr>
              <w:pStyle w:val="13"/>
            </w:pPr>
            <w:r>
              <w:t>≥90%</w:t>
            </w:r>
          </w:p>
        </w:tc>
        <w:tc>
          <w:tcPr>
            <w:tcW w:w="1276" w:type="dxa"/>
            <w:vAlign w:val="center"/>
          </w:tcPr>
          <w:p>
            <w:pPr>
              <w:pStyle w:val="13"/>
            </w:pPr>
            <w:r>
              <w:t>监督质量不低于90%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日常监管检查工作进度</w:t>
            </w:r>
          </w:p>
        </w:tc>
        <w:tc>
          <w:tcPr>
            <w:tcW w:w="5386" w:type="dxa"/>
            <w:vAlign w:val="center"/>
          </w:tcPr>
          <w:p>
            <w:pPr>
              <w:pStyle w:val="13"/>
            </w:pPr>
            <w:r>
              <w:t>日常监管检查工作进度</w:t>
            </w:r>
          </w:p>
        </w:tc>
        <w:tc>
          <w:tcPr>
            <w:tcW w:w="2268" w:type="dxa"/>
            <w:vAlign w:val="center"/>
          </w:tcPr>
          <w:p>
            <w:pPr>
              <w:pStyle w:val="13"/>
            </w:pPr>
            <w:r>
              <w:t>≥90%</w:t>
            </w:r>
          </w:p>
        </w:tc>
        <w:tc>
          <w:tcPr>
            <w:tcW w:w="1276" w:type="dxa"/>
            <w:vAlign w:val="center"/>
          </w:tcPr>
          <w:p>
            <w:pPr>
              <w:pStyle w:val="13"/>
            </w:pPr>
            <w:r>
              <w:t>日常监管检查工作进度不低于90%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项目所需资金</w:t>
            </w:r>
          </w:p>
        </w:tc>
        <w:tc>
          <w:tcPr>
            <w:tcW w:w="5386" w:type="dxa"/>
            <w:vAlign w:val="center"/>
          </w:tcPr>
          <w:p>
            <w:pPr>
              <w:pStyle w:val="13"/>
            </w:pPr>
            <w:r>
              <w:t>项目所需资金</w:t>
            </w:r>
          </w:p>
        </w:tc>
        <w:tc>
          <w:tcPr>
            <w:tcW w:w="2268" w:type="dxa"/>
            <w:vAlign w:val="center"/>
          </w:tcPr>
          <w:p>
            <w:pPr>
              <w:pStyle w:val="13"/>
            </w:pPr>
            <w:r>
              <w:t>50000元</w:t>
            </w:r>
          </w:p>
        </w:tc>
        <w:tc>
          <w:tcPr>
            <w:tcW w:w="1276" w:type="dxa"/>
            <w:vAlign w:val="center"/>
          </w:tcPr>
          <w:p>
            <w:pPr>
              <w:pStyle w:val="13"/>
            </w:pPr>
            <w:r>
              <w:t>项目所需资金等于50000元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w:t>
            </w:r>
          </w:p>
        </w:tc>
        <w:tc>
          <w:tcPr>
            <w:tcW w:w="1276" w:type="dxa"/>
            <w:vAlign w:val="center"/>
          </w:tcPr>
          <w:p>
            <w:pPr>
              <w:pStyle w:val="13"/>
            </w:pPr>
            <w:r>
              <w:t>资金使用效益不低于90%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监管覆盖率</w:t>
            </w:r>
          </w:p>
        </w:tc>
        <w:tc>
          <w:tcPr>
            <w:tcW w:w="5386" w:type="dxa"/>
            <w:vAlign w:val="center"/>
          </w:tcPr>
          <w:p>
            <w:pPr>
              <w:pStyle w:val="13"/>
            </w:pPr>
            <w:r>
              <w:t>监管覆盖率</w:t>
            </w:r>
          </w:p>
        </w:tc>
        <w:tc>
          <w:tcPr>
            <w:tcW w:w="2268" w:type="dxa"/>
            <w:vAlign w:val="center"/>
          </w:tcPr>
          <w:p>
            <w:pPr>
              <w:pStyle w:val="13"/>
            </w:pPr>
            <w:r>
              <w:t>≥90%</w:t>
            </w:r>
          </w:p>
        </w:tc>
        <w:tc>
          <w:tcPr>
            <w:tcW w:w="1276" w:type="dxa"/>
            <w:vAlign w:val="center"/>
          </w:tcPr>
          <w:p>
            <w:pPr>
              <w:pStyle w:val="13"/>
            </w:pPr>
            <w:r>
              <w:t>监管覆盖率不低于90%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服务对象满意度不低于95%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3、本级独生子女父母退休一次性奖励绩效目标表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13020525P00008610035M</w:t>
            </w:r>
          </w:p>
        </w:tc>
        <w:tc>
          <w:tcPr>
            <w:tcW w:w="2835" w:type="dxa"/>
            <w:vAlign w:val="center"/>
          </w:tcPr>
          <w:p>
            <w:pPr>
              <w:pStyle w:val="11"/>
            </w:pPr>
            <w:r>
              <w:t>项目名称</w:t>
            </w:r>
          </w:p>
        </w:tc>
        <w:tc>
          <w:tcPr>
            <w:tcW w:w="6095" w:type="dxa"/>
            <w:gridSpan w:val="3"/>
            <w:vAlign w:val="center"/>
          </w:tcPr>
          <w:p>
            <w:pPr>
              <w:pStyle w:val="13"/>
            </w:pPr>
            <w:r>
              <w:t>本级独生子女父母退休一次性奖励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w:t>
            </w:r>
          </w:p>
        </w:tc>
        <w:tc>
          <w:tcPr>
            <w:tcW w:w="2835" w:type="dxa"/>
            <w:vAlign w:val="center"/>
          </w:tcPr>
          <w:p>
            <w:pPr>
              <w:pStyle w:val="11"/>
            </w:pPr>
            <w:r>
              <w:t>其中：财政    资金</w:t>
            </w:r>
          </w:p>
        </w:tc>
        <w:tc>
          <w:tcPr>
            <w:tcW w:w="2551" w:type="dxa"/>
            <w:vAlign w:val="center"/>
          </w:tcPr>
          <w:p>
            <w:pPr>
              <w:pStyle w:val="13"/>
            </w:pPr>
            <w:r>
              <w:t>2.10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发放独生子女父母退休一次性奖励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1.按时发放独生子女父母退休一次性奖励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发放人数</w:t>
            </w:r>
          </w:p>
        </w:tc>
        <w:tc>
          <w:tcPr>
            <w:tcW w:w="2268" w:type="dxa"/>
            <w:vAlign w:val="center"/>
          </w:tcPr>
          <w:p>
            <w:pPr>
              <w:pStyle w:val="13"/>
            </w:pPr>
            <w:r>
              <w:t>7人</w:t>
            </w:r>
          </w:p>
        </w:tc>
        <w:tc>
          <w:tcPr>
            <w:tcW w:w="1276" w:type="dxa"/>
            <w:vAlign w:val="center"/>
          </w:tcPr>
          <w:p>
            <w:pPr>
              <w:pStyle w:val="13"/>
            </w:pPr>
            <w:r>
              <w:t>发放人数等于7人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退休独生子女父母奖励覆盖率</w:t>
            </w:r>
          </w:p>
        </w:tc>
        <w:tc>
          <w:tcPr>
            <w:tcW w:w="5386" w:type="dxa"/>
            <w:vAlign w:val="center"/>
          </w:tcPr>
          <w:p>
            <w:pPr>
              <w:pStyle w:val="13"/>
            </w:pPr>
            <w:r>
              <w:t>退休独生子女父母奖励覆盖率</w:t>
            </w:r>
          </w:p>
        </w:tc>
        <w:tc>
          <w:tcPr>
            <w:tcW w:w="2268" w:type="dxa"/>
            <w:vAlign w:val="center"/>
          </w:tcPr>
          <w:p>
            <w:pPr>
              <w:pStyle w:val="13"/>
            </w:pPr>
            <w:r>
              <w:t>≥95%</w:t>
            </w:r>
          </w:p>
        </w:tc>
        <w:tc>
          <w:tcPr>
            <w:tcW w:w="1276" w:type="dxa"/>
            <w:vAlign w:val="center"/>
          </w:tcPr>
          <w:p>
            <w:pPr>
              <w:pStyle w:val="13"/>
            </w:pPr>
            <w:r>
              <w:t>退休独生子女父母奖励覆盖率不低于95%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奖励发放及时率</w:t>
            </w:r>
          </w:p>
        </w:tc>
        <w:tc>
          <w:tcPr>
            <w:tcW w:w="5386" w:type="dxa"/>
            <w:vAlign w:val="center"/>
          </w:tcPr>
          <w:p>
            <w:pPr>
              <w:pStyle w:val="13"/>
            </w:pPr>
            <w:r>
              <w:t>奖励发放及时率</w:t>
            </w:r>
          </w:p>
        </w:tc>
        <w:tc>
          <w:tcPr>
            <w:tcW w:w="2268" w:type="dxa"/>
            <w:vAlign w:val="center"/>
          </w:tcPr>
          <w:p>
            <w:pPr>
              <w:pStyle w:val="13"/>
            </w:pPr>
            <w:r>
              <w:t>≥90%</w:t>
            </w:r>
          </w:p>
        </w:tc>
        <w:tc>
          <w:tcPr>
            <w:tcW w:w="1276" w:type="dxa"/>
            <w:vAlign w:val="center"/>
          </w:tcPr>
          <w:p>
            <w:pPr>
              <w:pStyle w:val="13"/>
            </w:pPr>
            <w:r>
              <w:t>奖励发放及时率不低于90%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发放金额</w:t>
            </w:r>
          </w:p>
        </w:tc>
        <w:tc>
          <w:tcPr>
            <w:tcW w:w="5386" w:type="dxa"/>
            <w:vAlign w:val="center"/>
          </w:tcPr>
          <w:p>
            <w:pPr>
              <w:pStyle w:val="13"/>
            </w:pPr>
            <w:r>
              <w:t>发放金额</w:t>
            </w:r>
          </w:p>
        </w:tc>
        <w:tc>
          <w:tcPr>
            <w:tcW w:w="2268" w:type="dxa"/>
            <w:vAlign w:val="center"/>
          </w:tcPr>
          <w:p>
            <w:pPr>
              <w:pStyle w:val="13"/>
            </w:pPr>
            <w:r>
              <w:t>21000元</w:t>
            </w:r>
          </w:p>
        </w:tc>
        <w:tc>
          <w:tcPr>
            <w:tcW w:w="1276" w:type="dxa"/>
            <w:vAlign w:val="center"/>
          </w:tcPr>
          <w:p>
            <w:pPr>
              <w:pStyle w:val="13"/>
            </w:pPr>
            <w:r>
              <w:t>发放金额等于21000元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每人发放金额</w:t>
            </w:r>
          </w:p>
        </w:tc>
        <w:tc>
          <w:tcPr>
            <w:tcW w:w="5386" w:type="dxa"/>
            <w:vAlign w:val="center"/>
          </w:tcPr>
          <w:p>
            <w:pPr>
              <w:pStyle w:val="13"/>
            </w:pPr>
            <w:r>
              <w:t>每人发放金额</w:t>
            </w:r>
          </w:p>
        </w:tc>
        <w:tc>
          <w:tcPr>
            <w:tcW w:w="2268" w:type="dxa"/>
            <w:vAlign w:val="center"/>
          </w:tcPr>
          <w:p>
            <w:pPr>
              <w:pStyle w:val="13"/>
            </w:pPr>
            <w:r>
              <w:t>3000元</w:t>
            </w:r>
          </w:p>
        </w:tc>
        <w:tc>
          <w:tcPr>
            <w:tcW w:w="1276" w:type="dxa"/>
            <w:vAlign w:val="center"/>
          </w:tcPr>
          <w:p>
            <w:pPr>
              <w:pStyle w:val="13"/>
            </w:pPr>
            <w:r>
              <w:t>每人发放金额等于3000元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提升退休人员满意度</w:t>
            </w:r>
          </w:p>
        </w:tc>
        <w:tc>
          <w:tcPr>
            <w:tcW w:w="5386" w:type="dxa"/>
            <w:vAlign w:val="center"/>
          </w:tcPr>
          <w:p>
            <w:pPr>
              <w:pStyle w:val="13"/>
            </w:pPr>
            <w:r>
              <w:t>提升退休人员满意度</w:t>
            </w:r>
          </w:p>
        </w:tc>
        <w:tc>
          <w:tcPr>
            <w:tcW w:w="2268" w:type="dxa"/>
            <w:vAlign w:val="center"/>
          </w:tcPr>
          <w:p>
            <w:pPr>
              <w:pStyle w:val="13"/>
            </w:pPr>
            <w:r>
              <w:t>≥95%</w:t>
            </w:r>
          </w:p>
        </w:tc>
        <w:tc>
          <w:tcPr>
            <w:tcW w:w="1276" w:type="dxa"/>
            <w:vAlign w:val="center"/>
          </w:tcPr>
          <w:p>
            <w:pPr>
              <w:pStyle w:val="13"/>
            </w:pPr>
            <w:r>
              <w:t>提升退休人员满意度不低于95%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≥95%</w:t>
            </w:r>
          </w:p>
        </w:tc>
        <w:tc>
          <w:tcPr>
            <w:tcW w:w="1276" w:type="dxa"/>
            <w:vAlign w:val="center"/>
          </w:tcPr>
          <w:p>
            <w:pPr>
              <w:pStyle w:val="13"/>
            </w:pPr>
            <w:r>
              <w:t>维护社会稳定不低于95%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≥95%</w:t>
            </w:r>
          </w:p>
        </w:tc>
        <w:tc>
          <w:tcPr>
            <w:tcW w:w="1276" w:type="dxa"/>
            <w:vAlign w:val="center"/>
          </w:tcPr>
          <w:p>
            <w:pPr>
              <w:pStyle w:val="13"/>
            </w:pPr>
            <w:r>
              <w:t>服务群众满意度不低于95%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4、本级日常监管、执法办案、风险监测、监督抽检、疫情防控等经费绩效目标表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13020525P00914910002A</w:t>
            </w:r>
          </w:p>
        </w:tc>
        <w:tc>
          <w:tcPr>
            <w:tcW w:w="2835" w:type="dxa"/>
            <w:vAlign w:val="center"/>
          </w:tcPr>
          <w:p>
            <w:pPr>
              <w:pStyle w:val="11"/>
            </w:pPr>
            <w:r>
              <w:t>项目名称</w:t>
            </w:r>
          </w:p>
        </w:tc>
        <w:tc>
          <w:tcPr>
            <w:tcW w:w="6095" w:type="dxa"/>
            <w:gridSpan w:val="3"/>
            <w:vAlign w:val="center"/>
          </w:tcPr>
          <w:p>
            <w:pPr>
              <w:pStyle w:val="13"/>
            </w:pPr>
            <w:r>
              <w:t>本级日常监管、执法办案、风险监测、监督抽检、疫情防控等经费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日常监管、执法办案、风险监测、疫情防控等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1.按时按质发放日常监管、执法办案、风险监测、疫情防控等经费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宣传产品</w:t>
            </w:r>
          </w:p>
        </w:tc>
        <w:tc>
          <w:tcPr>
            <w:tcW w:w="5386" w:type="dxa"/>
            <w:vAlign w:val="center"/>
          </w:tcPr>
          <w:p>
            <w:pPr>
              <w:pStyle w:val="13"/>
            </w:pPr>
            <w:r>
              <w:t>宣传产品</w:t>
            </w:r>
          </w:p>
        </w:tc>
        <w:tc>
          <w:tcPr>
            <w:tcW w:w="2268" w:type="dxa"/>
            <w:vAlign w:val="center"/>
          </w:tcPr>
          <w:p>
            <w:pPr>
              <w:pStyle w:val="13"/>
            </w:pPr>
            <w:r>
              <w:t>100个</w:t>
            </w:r>
          </w:p>
        </w:tc>
        <w:tc>
          <w:tcPr>
            <w:tcW w:w="1276" w:type="dxa"/>
            <w:vAlign w:val="center"/>
          </w:tcPr>
          <w:p>
            <w:pPr>
              <w:pStyle w:val="13"/>
            </w:pPr>
            <w:r>
              <w:t>宣传产品等于100个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执法精准度</w:t>
            </w:r>
          </w:p>
        </w:tc>
        <w:tc>
          <w:tcPr>
            <w:tcW w:w="5386" w:type="dxa"/>
            <w:vAlign w:val="center"/>
          </w:tcPr>
          <w:p>
            <w:pPr>
              <w:pStyle w:val="13"/>
            </w:pPr>
            <w:r>
              <w:t>执法精准度</w:t>
            </w:r>
          </w:p>
        </w:tc>
        <w:tc>
          <w:tcPr>
            <w:tcW w:w="2268" w:type="dxa"/>
            <w:vAlign w:val="center"/>
          </w:tcPr>
          <w:p>
            <w:pPr>
              <w:pStyle w:val="13"/>
            </w:pPr>
            <w:r>
              <w:t>≥90%</w:t>
            </w:r>
          </w:p>
        </w:tc>
        <w:tc>
          <w:tcPr>
            <w:tcW w:w="1276" w:type="dxa"/>
            <w:vAlign w:val="center"/>
          </w:tcPr>
          <w:p>
            <w:pPr>
              <w:pStyle w:val="13"/>
            </w:pPr>
            <w:r>
              <w:t>执法精准度不低于90%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日常监管检查工作进度</w:t>
            </w:r>
          </w:p>
        </w:tc>
        <w:tc>
          <w:tcPr>
            <w:tcW w:w="5386" w:type="dxa"/>
            <w:vAlign w:val="center"/>
          </w:tcPr>
          <w:p>
            <w:pPr>
              <w:pStyle w:val="13"/>
            </w:pPr>
            <w:r>
              <w:t>日常监管检查工作进度</w:t>
            </w:r>
          </w:p>
        </w:tc>
        <w:tc>
          <w:tcPr>
            <w:tcW w:w="2268" w:type="dxa"/>
            <w:vAlign w:val="center"/>
          </w:tcPr>
          <w:p>
            <w:pPr>
              <w:pStyle w:val="13"/>
            </w:pPr>
            <w:r>
              <w:t>≥90%</w:t>
            </w:r>
          </w:p>
        </w:tc>
        <w:tc>
          <w:tcPr>
            <w:tcW w:w="1276" w:type="dxa"/>
            <w:vAlign w:val="center"/>
          </w:tcPr>
          <w:p>
            <w:pPr>
              <w:pStyle w:val="13"/>
            </w:pPr>
            <w:r>
              <w:t>日常监管检查工作进度不低于90%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项目所需经费</w:t>
            </w:r>
          </w:p>
        </w:tc>
        <w:tc>
          <w:tcPr>
            <w:tcW w:w="5386" w:type="dxa"/>
            <w:vAlign w:val="center"/>
          </w:tcPr>
          <w:p>
            <w:pPr>
              <w:pStyle w:val="13"/>
            </w:pPr>
            <w:r>
              <w:t>项目所需经费</w:t>
            </w:r>
          </w:p>
        </w:tc>
        <w:tc>
          <w:tcPr>
            <w:tcW w:w="2268" w:type="dxa"/>
            <w:vAlign w:val="center"/>
          </w:tcPr>
          <w:p>
            <w:pPr>
              <w:pStyle w:val="13"/>
            </w:pPr>
            <w:r>
              <w:t>≤250000元</w:t>
            </w:r>
          </w:p>
        </w:tc>
        <w:tc>
          <w:tcPr>
            <w:tcW w:w="1276" w:type="dxa"/>
            <w:vAlign w:val="center"/>
          </w:tcPr>
          <w:p>
            <w:pPr>
              <w:pStyle w:val="13"/>
            </w:pPr>
            <w:r>
              <w:t>项目所需经费不超过250000元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w:t>
            </w:r>
          </w:p>
        </w:tc>
        <w:tc>
          <w:tcPr>
            <w:tcW w:w="1276" w:type="dxa"/>
            <w:vAlign w:val="center"/>
          </w:tcPr>
          <w:p>
            <w:pPr>
              <w:pStyle w:val="13"/>
            </w:pPr>
            <w:r>
              <w:t>资金使用效益不低于90%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监管覆盖率</w:t>
            </w:r>
          </w:p>
        </w:tc>
        <w:tc>
          <w:tcPr>
            <w:tcW w:w="5386" w:type="dxa"/>
            <w:vAlign w:val="center"/>
          </w:tcPr>
          <w:p>
            <w:pPr>
              <w:pStyle w:val="13"/>
            </w:pPr>
            <w:r>
              <w:t>监管覆盖率</w:t>
            </w:r>
          </w:p>
        </w:tc>
        <w:tc>
          <w:tcPr>
            <w:tcW w:w="2268" w:type="dxa"/>
            <w:vAlign w:val="center"/>
          </w:tcPr>
          <w:p>
            <w:pPr>
              <w:pStyle w:val="13"/>
            </w:pPr>
            <w:r>
              <w:t>≥90%</w:t>
            </w:r>
          </w:p>
        </w:tc>
        <w:tc>
          <w:tcPr>
            <w:tcW w:w="1276" w:type="dxa"/>
            <w:vAlign w:val="center"/>
          </w:tcPr>
          <w:p>
            <w:pPr>
              <w:pStyle w:val="13"/>
            </w:pPr>
            <w:r>
              <w:t>监管覆盖率不低于90%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服务对象满意度不低于95%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5、本级食品安全抽检经费绩效目标表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13020525P00918810002H</w:t>
            </w:r>
          </w:p>
        </w:tc>
        <w:tc>
          <w:tcPr>
            <w:tcW w:w="2835" w:type="dxa"/>
            <w:vAlign w:val="center"/>
          </w:tcPr>
          <w:p>
            <w:pPr>
              <w:pStyle w:val="11"/>
            </w:pPr>
            <w:r>
              <w:t>项目名称</w:t>
            </w:r>
          </w:p>
        </w:tc>
        <w:tc>
          <w:tcPr>
            <w:tcW w:w="6095" w:type="dxa"/>
            <w:gridSpan w:val="3"/>
            <w:vAlign w:val="center"/>
          </w:tcPr>
          <w:p>
            <w:pPr>
              <w:pStyle w:val="13"/>
            </w:pPr>
            <w:r>
              <w:t>本级食品安全抽检经费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27.40</w:t>
            </w:r>
          </w:p>
        </w:tc>
        <w:tc>
          <w:tcPr>
            <w:tcW w:w="2835" w:type="dxa"/>
            <w:vAlign w:val="center"/>
          </w:tcPr>
          <w:p>
            <w:pPr>
              <w:pStyle w:val="11"/>
            </w:pPr>
            <w:r>
              <w:t>其中：财政    资金</w:t>
            </w:r>
          </w:p>
        </w:tc>
        <w:tc>
          <w:tcPr>
            <w:tcW w:w="2551" w:type="dxa"/>
            <w:vAlign w:val="center"/>
          </w:tcPr>
          <w:p>
            <w:pPr>
              <w:pStyle w:val="13"/>
            </w:pPr>
            <w:r>
              <w:t>27.40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食品安全抽检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1.及时高效地使用抽检经费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抽检所需材料</w:t>
            </w:r>
          </w:p>
        </w:tc>
        <w:tc>
          <w:tcPr>
            <w:tcW w:w="5386" w:type="dxa"/>
            <w:vAlign w:val="center"/>
          </w:tcPr>
          <w:p>
            <w:pPr>
              <w:pStyle w:val="13"/>
            </w:pPr>
            <w:r>
              <w:t>抽检所需材料</w:t>
            </w:r>
          </w:p>
        </w:tc>
        <w:tc>
          <w:tcPr>
            <w:tcW w:w="2268" w:type="dxa"/>
            <w:vAlign w:val="center"/>
          </w:tcPr>
          <w:p>
            <w:pPr>
              <w:pStyle w:val="13"/>
            </w:pPr>
            <w:r>
              <w:t>500个</w:t>
            </w:r>
          </w:p>
        </w:tc>
        <w:tc>
          <w:tcPr>
            <w:tcW w:w="1276" w:type="dxa"/>
            <w:vAlign w:val="center"/>
          </w:tcPr>
          <w:p>
            <w:pPr>
              <w:pStyle w:val="13"/>
            </w:pPr>
            <w:r>
              <w:t>抽检所需材料等于500个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绩效评价</w:t>
            </w:r>
          </w:p>
        </w:tc>
        <w:tc>
          <w:tcPr>
            <w:tcW w:w="5386" w:type="dxa"/>
            <w:vAlign w:val="center"/>
          </w:tcPr>
          <w:p>
            <w:pPr>
              <w:pStyle w:val="13"/>
            </w:pPr>
            <w:r>
              <w:t>绩效评价</w:t>
            </w:r>
          </w:p>
        </w:tc>
        <w:tc>
          <w:tcPr>
            <w:tcW w:w="2268" w:type="dxa"/>
            <w:vAlign w:val="center"/>
          </w:tcPr>
          <w:p>
            <w:pPr>
              <w:pStyle w:val="13"/>
            </w:pPr>
            <w:r>
              <w:t>≥90%</w:t>
            </w:r>
          </w:p>
        </w:tc>
        <w:tc>
          <w:tcPr>
            <w:tcW w:w="1276" w:type="dxa"/>
            <w:vAlign w:val="center"/>
          </w:tcPr>
          <w:p>
            <w:pPr>
              <w:pStyle w:val="13"/>
            </w:pPr>
            <w:r>
              <w:t>绩效评价优秀率不低于90%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日程监管检查工作进度</w:t>
            </w:r>
          </w:p>
        </w:tc>
        <w:tc>
          <w:tcPr>
            <w:tcW w:w="5386" w:type="dxa"/>
            <w:vAlign w:val="center"/>
          </w:tcPr>
          <w:p>
            <w:pPr>
              <w:pStyle w:val="13"/>
            </w:pPr>
            <w:r>
              <w:t>日程监管检查工作进度</w:t>
            </w:r>
          </w:p>
        </w:tc>
        <w:tc>
          <w:tcPr>
            <w:tcW w:w="2268" w:type="dxa"/>
            <w:vAlign w:val="center"/>
          </w:tcPr>
          <w:p>
            <w:pPr>
              <w:pStyle w:val="13"/>
            </w:pPr>
            <w:r>
              <w:t>≥90%</w:t>
            </w:r>
          </w:p>
        </w:tc>
        <w:tc>
          <w:tcPr>
            <w:tcW w:w="1276" w:type="dxa"/>
            <w:vAlign w:val="center"/>
          </w:tcPr>
          <w:p>
            <w:pPr>
              <w:pStyle w:val="13"/>
            </w:pPr>
            <w:r>
              <w:t>日程监管检查工作进度不低于90%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项目所需资金</w:t>
            </w:r>
          </w:p>
        </w:tc>
        <w:tc>
          <w:tcPr>
            <w:tcW w:w="5386" w:type="dxa"/>
            <w:vAlign w:val="center"/>
          </w:tcPr>
          <w:p>
            <w:pPr>
              <w:pStyle w:val="13"/>
            </w:pPr>
            <w:r>
              <w:t>项目所需资金</w:t>
            </w:r>
          </w:p>
        </w:tc>
        <w:tc>
          <w:tcPr>
            <w:tcW w:w="2268" w:type="dxa"/>
            <w:vAlign w:val="center"/>
          </w:tcPr>
          <w:p>
            <w:pPr>
              <w:pStyle w:val="13"/>
            </w:pPr>
            <w:r>
              <w:t>≤274000元</w:t>
            </w:r>
          </w:p>
        </w:tc>
        <w:tc>
          <w:tcPr>
            <w:tcW w:w="1276" w:type="dxa"/>
            <w:vAlign w:val="center"/>
          </w:tcPr>
          <w:p>
            <w:pPr>
              <w:pStyle w:val="13"/>
            </w:pPr>
            <w:r>
              <w:t>项目所需资金不超过274000元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w:t>
            </w:r>
          </w:p>
        </w:tc>
        <w:tc>
          <w:tcPr>
            <w:tcW w:w="1276" w:type="dxa"/>
            <w:vAlign w:val="center"/>
          </w:tcPr>
          <w:p>
            <w:pPr>
              <w:pStyle w:val="13"/>
            </w:pPr>
            <w:r>
              <w:t>资金使用效益不低于90%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监管覆盖率</w:t>
            </w:r>
          </w:p>
        </w:tc>
        <w:tc>
          <w:tcPr>
            <w:tcW w:w="5386" w:type="dxa"/>
            <w:vAlign w:val="center"/>
          </w:tcPr>
          <w:p>
            <w:pPr>
              <w:pStyle w:val="13"/>
            </w:pPr>
            <w:r>
              <w:t>监管覆盖率</w:t>
            </w:r>
          </w:p>
        </w:tc>
        <w:tc>
          <w:tcPr>
            <w:tcW w:w="2268" w:type="dxa"/>
            <w:vAlign w:val="center"/>
          </w:tcPr>
          <w:p>
            <w:pPr>
              <w:pStyle w:val="13"/>
            </w:pPr>
            <w:r>
              <w:t>≥90%</w:t>
            </w:r>
          </w:p>
        </w:tc>
        <w:tc>
          <w:tcPr>
            <w:tcW w:w="1276" w:type="dxa"/>
            <w:vAlign w:val="center"/>
          </w:tcPr>
          <w:p>
            <w:pPr>
              <w:pStyle w:val="13"/>
            </w:pPr>
            <w:r>
              <w:t>监管覆盖率不低于90%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服务对象满意度不低于95%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6、本级食品安全协管员补贴绩效目标表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13020525P009109100083</w:t>
            </w:r>
          </w:p>
        </w:tc>
        <w:tc>
          <w:tcPr>
            <w:tcW w:w="2835" w:type="dxa"/>
            <w:vAlign w:val="center"/>
          </w:tcPr>
          <w:p>
            <w:pPr>
              <w:pStyle w:val="11"/>
            </w:pPr>
            <w:r>
              <w:t>项目名称</w:t>
            </w:r>
          </w:p>
        </w:tc>
        <w:tc>
          <w:tcPr>
            <w:tcW w:w="6095" w:type="dxa"/>
            <w:gridSpan w:val="3"/>
            <w:vAlign w:val="center"/>
          </w:tcPr>
          <w:p>
            <w:pPr>
              <w:pStyle w:val="13"/>
            </w:pPr>
            <w:r>
              <w:t>本级食品安全协管员补贴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16.44</w:t>
            </w:r>
          </w:p>
        </w:tc>
        <w:tc>
          <w:tcPr>
            <w:tcW w:w="2835" w:type="dxa"/>
            <w:vAlign w:val="center"/>
          </w:tcPr>
          <w:p>
            <w:pPr>
              <w:pStyle w:val="11"/>
            </w:pPr>
            <w:r>
              <w:t>其中：财政    资金</w:t>
            </w:r>
          </w:p>
        </w:tc>
        <w:tc>
          <w:tcPr>
            <w:tcW w:w="2551" w:type="dxa"/>
            <w:vAlign w:val="center"/>
          </w:tcPr>
          <w:p>
            <w:pPr>
              <w:pStyle w:val="13"/>
            </w:pPr>
            <w:r>
              <w:t>16.44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发放2024年食品药品安全协管员补助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1.准时、足额发放2024年食品药品安全协管员补助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补贴涉及人数</w:t>
            </w:r>
          </w:p>
        </w:tc>
        <w:tc>
          <w:tcPr>
            <w:tcW w:w="5386" w:type="dxa"/>
            <w:vAlign w:val="center"/>
          </w:tcPr>
          <w:p>
            <w:pPr>
              <w:pStyle w:val="13"/>
            </w:pPr>
            <w:r>
              <w:t>补贴涉及人数</w:t>
            </w:r>
          </w:p>
        </w:tc>
        <w:tc>
          <w:tcPr>
            <w:tcW w:w="2268" w:type="dxa"/>
            <w:vAlign w:val="center"/>
          </w:tcPr>
          <w:p>
            <w:pPr>
              <w:pStyle w:val="13"/>
            </w:pPr>
            <w:r>
              <w:t>274人</w:t>
            </w:r>
          </w:p>
        </w:tc>
        <w:tc>
          <w:tcPr>
            <w:tcW w:w="1276" w:type="dxa"/>
            <w:vAlign w:val="center"/>
          </w:tcPr>
          <w:p>
            <w:pPr>
              <w:pStyle w:val="13"/>
            </w:pPr>
            <w:r>
              <w:t>补贴涉及人数为274人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绩效评价优秀率</w:t>
            </w:r>
          </w:p>
        </w:tc>
        <w:tc>
          <w:tcPr>
            <w:tcW w:w="5386" w:type="dxa"/>
            <w:vAlign w:val="center"/>
          </w:tcPr>
          <w:p>
            <w:pPr>
              <w:pStyle w:val="13"/>
            </w:pPr>
            <w:r>
              <w:t>绩效评价优秀率</w:t>
            </w:r>
          </w:p>
        </w:tc>
        <w:tc>
          <w:tcPr>
            <w:tcW w:w="2268" w:type="dxa"/>
            <w:vAlign w:val="center"/>
          </w:tcPr>
          <w:p>
            <w:pPr>
              <w:pStyle w:val="13"/>
            </w:pPr>
            <w:r>
              <w:t>≥90%</w:t>
            </w:r>
          </w:p>
        </w:tc>
        <w:tc>
          <w:tcPr>
            <w:tcW w:w="1276" w:type="dxa"/>
            <w:vAlign w:val="center"/>
          </w:tcPr>
          <w:p>
            <w:pPr>
              <w:pStyle w:val="13"/>
            </w:pPr>
            <w:r>
              <w:t>绩效评价优秀率不低于90%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5386" w:type="dxa"/>
            <w:vAlign w:val="center"/>
          </w:tcPr>
          <w:p>
            <w:pPr>
              <w:pStyle w:val="13"/>
            </w:pPr>
            <w:r>
              <w:t>任务完成及时率</w:t>
            </w:r>
          </w:p>
        </w:tc>
        <w:tc>
          <w:tcPr>
            <w:tcW w:w="2268" w:type="dxa"/>
            <w:vAlign w:val="center"/>
          </w:tcPr>
          <w:p>
            <w:pPr>
              <w:pStyle w:val="13"/>
            </w:pPr>
            <w:r>
              <w:t>≥90%</w:t>
            </w:r>
          </w:p>
        </w:tc>
        <w:tc>
          <w:tcPr>
            <w:tcW w:w="1276" w:type="dxa"/>
            <w:vAlign w:val="center"/>
          </w:tcPr>
          <w:p>
            <w:pPr>
              <w:pStyle w:val="13"/>
            </w:pPr>
            <w:r>
              <w:t>任务完成及时率不低于90%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项目经费</w:t>
            </w:r>
          </w:p>
        </w:tc>
        <w:tc>
          <w:tcPr>
            <w:tcW w:w="5386" w:type="dxa"/>
            <w:vAlign w:val="center"/>
          </w:tcPr>
          <w:p>
            <w:pPr>
              <w:pStyle w:val="13"/>
            </w:pPr>
            <w:r>
              <w:t>项目经费</w:t>
            </w:r>
          </w:p>
        </w:tc>
        <w:tc>
          <w:tcPr>
            <w:tcW w:w="2268" w:type="dxa"/>
            <w:vAlign w:val="center"/>
          </w:tcPr>
          <w:p>
            <w:pPr>
              <w:pStyle w:val="13"/>
            </w:pPr>
            <w:r>
              <w:t>≤164400元</w:t>
            </w:r>
          </w:p>
        </w:tc>
        <w:tc>
          <w:tcPr>
            <w:tcW w:w="1276" w:type="dxa"/>
            <w:vAlign w:val="center"/>
          </w:tcPr>
          <w:p>
            <w:pPr>
              <w:pStyle w:val="13"/>
            </w:pPr>
            <w:r>
              <w:t>项目经费不超过164400元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≥90%</w:t>
            </w:r>
          </w:p>
        </w:tc>
        <w:tc>
          <w:tcPr>
            <w:tcW w:w="1276" w:type="dxa"/>
            <w:vAlign w:val="center"/>
          </w:tcPr>
          <w:p>
            <w:pPr>
              <w:pStyle w:val="13"/>
            </w:pPr>
            <w:r>
              <w:t>成本利用率不低于90%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检查发现问题整改率（%）</w:t>
            </w:r>
          </w:p>
        </w:tc>
        <w:tc>
          <w:tcPr>
            <w:tcW w:w="5386" w:type="dxa"/>
            <w:vAlign w:val="center"/>
          </w:tcPr>
          <w:p>
            <w:pPr>
              <w:pStyle w:val="13"/>
            </w:pPr>
            <w:r>
              <w:t>检查发现问题整改率（%）</w:t>
            </w:r>
          </w:p>
        </w:tc>
        <w:tc>
          <w:tcPr>
            <w:tcW w:w="2268" w:type="dxa"/>
            <w:vAlign w:val="center"/>
          </w:tcPr>
          <w:p>
            <w:pPr>
              <w:pStyle w:val="13"/>
            </w:pPr>
            <w:r>
              <w:t>≥90%</w:t>
            </w:r>
          </w:p>
        </w:tc>
        <w:tc>
          <w:tcPr>
            <w:tcW w:w="1276" w:type="dxa"/>
            <w:vAlign w:val="center"/>
          </w:tcPr>
          <w:p>
            <w:pPr>
              <w:pStyle w:val="13"/>
            </w:pPr>
            <w:r>
              <w:t>检查发现问题整改率不低于90%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服务对象满意度不低于95%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7、本级政府质量奖奖励经费绩效目标表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13020525P009221100026</w:t>
            </w:r>
          </w:p>
        </w:tc>
        <w:tc>
          <w:tcPr>
            <w:tcW w:w="2835" w:type="dxa"/>
            <w:vAlign w:val="center"/>
          </w:tcPr>
          <w:p>
            <w:pPr>
              <w:pStyle w:val="11"/>
            </w:pPr>
            <w:r>
              <w:t>项目名称</w:t>
            </w:r>
          </w:p>
        </w:tc>
        <w:tc>
          <w:tcPr>
            <w:tcW w:w="6095" w:type="dxa"/>
            <w:gridSpan w:val="3"/>
            <w:vAlign w:val="center"/>
          </w:tcPr>
          <w:p>
            <w:pPr>
              <w:pStyle w:val="13"/>
            </w:pPr>
            <w:r>
              <w:t>本级政府质量奖奖励经费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评选优秀组织及个人，给予奖励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1.按时按质评选优秀组织及个人，确保资金使用效益。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评审优秀企业及个人</w:t>
            </w:r>
          </w:p>
        </w:tc>
        <w:tc>
          <w:tcPr>
            <w:tcW w:w="5386" w:type="dxa"/>
            <w:vAlign w:val="center"/>
          </w:tcPr>
          <w:p>
            <w:pPr>
              <w:pStyle w:val="13"/>
            </w:pPr>
            <w:r>
              <w:t>评审优秀企业及个人</w:t>
            </w:r>
          </w:p>
        </w:tc>
        <w:tc>
          <w:tcPr>
            <w:tcW w:w="2268" w:type="dxa"/>
            <w:vAlign w:val="center"/>
          </w:tcPr>
          <w:p>
            <w:pPr>
              <w:pStyle w:val="13"/>
            </w:pPr>
            <w:r>
              <w:t>6个</w:t>
            </w:r>
          </w:p>
        </w:tc>
        <w:tc>
          <w:tcPr>
            <w:tcW w:w="1276" w:type="dxa"/>
            <w:vAlign w:val="center"/>
          </w:tcPr>
          <w:p>
            <w:pPr>
              <w:pStyle w:val="13"/>
            </w:pPr>
            <w:r>
              <w:t>评审优秀企业及个人等于6个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确保评审质量</w:t>
            </w:r>
          </w:p>
        </w:tc>
        <w:tc>
          <w:tcPr>
            <w:tcW w:w="5386" w:type="dxa"/>
            <w:vAlign w:val="center"/>
          </w:tcPr>
          <w:p>
            <w:pPr>
              <w:pStyle w:val="13"/>
            </w:pPr>
            <w:r>
              <w:t>确保评审质量</w:t>
            </w:r>
          </w:p>
        </w:tc>
        <w:tc>
          <w:tcPr>
            <w:tcW w:w="2268" w:type="dxa"/>
            <w:vAlign w:val="center"/>
          </w:tcPr>
          <w:p>
            <w:pPr>
              <w:pStyle w:val="13"/>
            </w:pPr>
            <w:r>
              <w:t>≥95%</w:t>
            </w:r>
          </w:p>
        </w:tc>
        <w:tc>
          <w:tcPr>
            <w:tcW w:w="1276" w:type="dxa"/>
            <w:vAlign w:val="center"/>
          </w:tcPr>
          <w:p>
            <w:pPr>
              <w:pStyle w:val="13"/>
            </w:pPr>
            <w:r>
              <w:t>确保评审质量不低于95%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经费拨付及时率</w:t>
            </w:r>
          </w:p>
        </w:tc>
        <w:tc>
          <w:tcPr>
            <w:tcW w:w="5386" w:type="dxa"/>
            <w:vAlign w:val="center"/>
          </w:tcPr>
          <w:p>
            <w:pPr>
              <w:pStyle w:val="13"/>
            </w:pPr>
            <w:r>
              <w:t>经费拨付及时率</w:t>
            </w:r>
          </w:p>
        </w:tc>
        <w:tc>
          <w:tcPr>
            <w:tcW w:w="2268" w:type="dxa"/>
            <w:vAlign w:val="center"/>
          </w:tcPr>
          <w:p>
            <w:pPr>
              <w:pStyle w:val="13"/>
            </w:pPr>
            <w:r>
              <w:t>≥90%</w:t>
            </w:r>
          </w:p>
        </w:tc>
        <w:tc>
          <w:tcPr>
            <w:tcW w:w="1276" w:type="dxa"/>
            <w:vAlign w:val="center"/>
          </w:tcPr>
          <w:p>
            <w:pPr>
              <w:pStyle w:val="13"/>
            </w:pPr>
            <w:r>
              <w:t>经费拨付及时率不低于90%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项目经费</w:t>
            </w:r>
          </w:p>
        </w:tc>
        <w:tc>
          <w:tcPr>
            <w:tcW w:w="5386" w:type="dxa"/>
            <w:vAlign w:val="center"/>
          </w:tcPr>
          <w:p>
            <w:pPr>
              <w:pStyle w:val="13"/>
            </w:pPr>
            <w:r>
              <w:t>项目经费</w:t>
            </w:r>
          </w:p>
        </w:tc>
        <w:tc>
          <w:tcPr>
            <w:tcW w:w="2268" w:type="dxa"/>
            <w:vAlign w:val="center"/>
          </w:tcPr>
          <w:p>
            <w:pPr>
              <w:pStyle w:val="13"/>
            </w:pPr>
            <w:r>
              <w:t>≤180000元</w:t>
            </w:r>
          </w:p>
        </w:tc>
        <w:tc>
          <w:tcPr>
            <w:tcW w:w="1276" w:type="dxa"/>
            <w:vAlign w:val="center"/>
          </w:tcPr>
          <w:p>
            <w:pPr>
              <w:pStyle w:val="13"/>
            </w:pPr>
            <w:r>
              <w:t>项目经费不超过180000元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w:t>
            </w:r>
          </w:p>
        </w:tc>
        <w:tc>
          <w:tcPr>
            <w:tcW w:w="1276" w:type="dxa"/>
            <w:vAlign w:val="center"/>
          </w:tcPr>
          <w:p>
            <w:pPr>
              <w:pStyle w:val="13"/>
            </w:pPr>
            <w:r>
              <w:t>资金使用效益不低于90%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达到质量卓越的企业个数</w:t>
            </w:r>
          </w:p>
        </w:tc>
        <w:tc>
          <w:tcPr>
            <w:tcW w:w="5386" w:type="dxa"/>
            <w:vAlign w:val="center"/>
          </w:tcPr>
          <w:p>
            <w:pPr>
              <w:pStyle w:val="13"/>
            </w:pPr>
            <w:r>
              <w:t>达到质量卓越的企业个数</w:t>
            </w:r>
          </w:p>
        </w:tc>
        <w:tc>
          <w:tcPr>
            <w:tcW w:w="2268" w:type="dxa"/>
            <w:vAlign w:val="center"/>
          </w:tcPr>
          <w:p>
            <w:pPr>
              <w:pStyle w:val="13"/>
            </w:pPr>
            <w:r>
              <w:t>≥3个</w:t>
            </w:r>
          </w:p>
        </w:tc>
        <w:tc>
          <w:tcPr>
            <w:tcW w:w="1276" w:type="dxa"/>
            <w:vAlign w:val="center"/>
          </w:tcPr>
          <w:p>
            <w:pPr>
              <w:pStyle w:val="13"/>
            </w:pPr>
            <w:r>
              <w:t>达到质量卓越的企业个数不少于3个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服务对象满意</w:t>
            </w:r>
          </w:p>
        </w:tc>
        <w:tc>
          <w:tcPr>
            <w:tcW w:w="2268" w:type="dxa"/>
            <w:vAlign w:val="center"/>
          </w:tcPr>
          <w:p>
            <w:pPr>
              <w:pStyle w:val="13"/>
            </w:pPr>
            <w:r>
              <w:t>≥95%</w:t>
            </w:r>
          </w:p>
        </w:tc>
        <w:tc>
          <w:tcPr>
            <w:tcW w:w="1276" w:type="dxa"/>
            <w:vAlign w:val="center"/>
          </w:tcPr>
          <w:p>
            <w:pPr>
              <w:pStyle w:val="13"/>
            </w:pPr>
            <w:r>
              <w:t>服务群众满意度不低于95%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8、本级专利奖补经费绩效目标表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13020525P00918710002U</w:t>
            </w:r>
          </w:p>
        </w:tc>
        <w:tc>
          <w:tcPr>
            <w:tcW w:w="2835" w:type="dxa"/>
            <w:vAlign w:val="center"/>
          </w:tcPr>
          <w:p>
            <w:pPr>
              <w:pStyle w:val="11"/>
            </w:pPr>
            <w:r>
              <w:t>项目名称</w:t>
            </w:r>
          </w:p>
        </w:tc>
        <w:tc>
          <w:tcPr>
            <w:tcW w:w="6095" w:type="dxa"/>
            <w:gridSpan w:val="3"/>
            <w:vAlign w:val="center"/>
          </w:tcPr>
          <w:p>
            <w:pPr>
              <w:pStyle w:val="13"/>
            </w:pPr>
            <w:r>
              <w:t>本级专利奖补经费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22.60</w:t>
            </w:r>
          </w:p>
        </w:tc>
        <w:tc>
          <w:tcPr>
            <w:tcW w:w="2835" w:type="dxa"/>
            <w:vAlign w:val="center"/>
          </w:tcPr>
          <w:p>
            <w:pPr>
              <w:pStyle w:val="11"/>
            </w:pPr>
            <w:r>
              <w:t>其中：财政    资金</w:t>
            </w:r>
          </w:p>
        </w:tc>
        <w:tc>
          <w:tcPr>
            <w:tcW w:w="2551" w:type="dxa"/>
            <w:vAlign w:val="center"/>
          </w:tcPr>
          <w:p>
            <w:pPr>
              <w:pStyle w:val="13"/>
            </w:pPr>
            <w:r>
              <w:t>22.60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发放2025年专利补贴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1.按时按质发放2025年专利补贴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涉及补贴人数</w:t>
            </w:r>
          </w:p>
        </w:tc>
        <w:tc>
          <w:tcPr>
            <w:tcW w:w="5386" w:type="dxa"/>
            <w:vAlign w:val="center"/>
          </w:tcPr>
          <w:p>
            <w:pPr>
              <w:pStyle w:val="13"/>
            </w:pPr>
            <w:r>
              <w:t>涉及补贴人数</w:t>
            </w:r>
          </w:p>
        </w:tc>
        <w:tc>
          <w:tcPr>
            <w:tcW w:w="2268" w:type="dxa"/>
            <w:vAlign w:val="center"/>
          </w:tcPr>
          <w:p>
            <w:pPr>
              <w:pStyle w:val="13"/>
            </w:pPr>
            <w:r>
              <w:t>113人</w:t>
            </w:r>
          </w:p>
        </w:tc>
        <w:tc>
          <w:tcPr>
            <w:tcW w:w="1276" w:type="dxa"/>
            <w:vAlign w:val="center"/>
          </w:tcPr>
          <w:p>
            <w:pPr>
              <w:pStyle w:val="13"/>
            </w:pPr>
            <w:r>
              <w:t>涉及补贴人数等于113人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保障工作质量</w:t>
            </w:r>
          </w:p>
        </w:tc>
        <w:tc>
          <w:tcPr>
            <w:tcW w:w="5386" w:type="dxa"/>
            <w:vAlign w:val="center"/>
          </w:tcPr>
          <w:p>
            <w:pPr>
              <w:pStyle w:val="13"/>
            </w:pPr>
            <w:r>
              <w:t>保障工作质量</w:t>
            </w:r>
          </w:p>
        </w:tc>
        <w:tc>
          <w:tcPr>
            <w:tcW w:w="2268" w:type="dxa"/>
            <w:vAlign w:val="center"/>
          </w:tcPr>
          <w:p>
            <w:pPr>
              <w:pStyle w:val="13"/>
            </w:pPr>
            <w:r>
              <w:t>≥95%</w:t>
            </w:r>
          </w:p>
        </w:tc>
        <w:tc>
          <w:tcPr>
            <w:tcW w:w="1276" w:type="dxa"/>
            <w:vAlign w:val="center"/>
          </w:tcPr>
          <w:p>
            <w:pPr>
              <w:pStyle w:val="13"/>
            </w:pPr>
            <w:r>
              <w:t>保障工作质量不低于95%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按期完成率</w:t>
            </w:r>
          </w:p>
        </w:tc>
        <w:tc>
          <w:tcPr>
            <w:tcW w:w="5386" w:type="dxa"/>
            <w:vAlign w:val="center"/>
          </w:tcPr>
          <w:p>
            <w:pPr>
              <w:pStyle w:val="13"/>
            </w:pPr>
            <w:r>
              <w:t>按期完成率</w:t>
            </w:r>
          </w:p>
        </w:tc>
        <w:tc>
          <w:tcPr>
            <w:tcW w:w="2268" w:type="dxa"/>
            <w:vAlign w:val="center"/>
          </w:tcPr>
          <w:p>
            <w:pPr>
              <w:pStyle w:val="13"/>
            </w:pPr>
            <w:r>
              <w:t>≥90%</w:t>
            </w:r>
          </w:p>
        </w:tc>
        <w:tc>
          <w:tcPr>
            <w:tcW w:w="1276" w:type="dxa"/>
            <w:vAlign w:val="center"/>
          </w:tcPr>
          <w:p>
            <w:pPr>
              <w:pStyle w:val="13"/>
            </w:pPr>
            <w:r>
              <w:t>按期完成率不低于90%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项目所需资金</w:t>
            </w:r>
          </w:p>
        </w:tc>
        <w:tc>
          <w:tcPr>
            <w:tcW w:w="5386" w:type="dxa"/>
            <w:vAlign w:val="center"/>
          </w:tcPr>
          <w:p>
            <w:pPr>
              <w:pStyle w:val="13"/>
            </w:pPr>
            <w:r>
              <w:t>项目所需资金</w:t>
            </w:r>
          </w:p>
        </w:tc>
        <w:tc>
          <w:tcPr>
            <w:tcW w:w="2268" w:type="dxa"/>
            <w:vAlign w:val="center"/>
          </w:tcPr>
          <w:p>
            <w:pPr>
              <w:pStyle w:val="13"/>
            </w:pPr>
            <w:r>
              <w:t>≤226000元</w:t>
            </w:r>
          </w:p>
        </w:tc>
        <w:tc>
          <w:tcPr>
            <w:tcW w:w="1276" w:type="dxa"/>
            <w:vAlign w:val="center"/>
          </w:tcPr>
          <w:p>
            <w:pPr>
              <w:pStyle w:val="13"/>
            </w:pPr>
            <w:r>
              <w:t>项目所需资金不超过226000元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≥90%</w:t>
            </w:r>
          </w:p>
        </w:tc>
        <w:tc>
          <w:tcPr>
            <w:tcW w:w="1276" w:type="dxa"/>
            <w:vAlign w:val="center"/>
          </w:tcPr>
          <w:p>
            <w:pPr>
              <w:pStyle w:val="13"/>
            </w:pPr>
            <w:r>
              <w:t>资金的使用效率不低于90%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社会积极评价率</w:t>
            </w:r>
          </w:p>
        </w:tc>
        <w:tc>
          <w:tcPr>
            <w:tcW w:w="5386" w:type="dxa"/>
            <w:vAlign w:val="center"/>
          </w:tcPr>
          <w:p>
            <w:pPr>
              <w:pStyle w:val="13"/>
            </w:pPr>
            <w:r>
              <w:t>社会积极评价率</w:t>
            </w:r>
          </w:p>
        </w:tc>
        <w:tc>
          <w:tcPr>
            <w:tcW w:w="2268" w:type="dxa"/>
            <w:vAlign w:val="center"/>
          </w:tcPr>
          <w:p>
            <w:pPr>
              <w:pStyle w:val="13"/>
            </w:pPr>
            <w:r>
              <w:t>≥90%</w:t>
            </w:r>
          </w:p>
        </w:tc>
        <w:tc>
          <w:tcPr>
            <w:tcW w:w="1276" w:type="dxa"/>
            <w:vAlign w:val="center"/>
          </w:tcPr>
          <w:p>
            <w:pPr>
              <w:pStyle w:val="13"/>
            </w:pPr>
            <w:r>
              <w:t>社会积极评价率不低于90%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服务对象满意度不低于95%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9、唐财行【2024】19号省级关于提前下达2025年市场监管专项补助经费的通知绩效目标表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13020525P00912310188P</w:t>
            </w:r>
          </w:p>
        </w:tc>
        <w:tc>
          <w:tcPr>
            <w:tcW w:w="2835" w:type="dxa"/>
            <w:vAlign w:val="center"/>
          </w:tcPr>
          <w:p>
            <w:pPr>
              <w:pStyle w:val="11"/>
            </w:pPr>
            <w:r>
              <w:t>项目名称</w:t>
            </w:r>
          </w:p>
        </w:tc>
        <w:tc>
          <w:tcPr>
            <w:tcW w:w="6095" w:type="dxa"/>
            <w:gridSpan w:val="3"/>
            <w:vAlign w:val="center"/>
          </w:tcPr>
          <w:p>
            <w:pPr>
              <w:pStyle w:val="13"/>
            </w:pPr>
            <w:r>
              <w:t>唐财行【2024】19号省级关于提前下达2025年市场监管专项补助经费的通知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46.00</w:t>
            </w:r>
          </w:p>
        </w:tc>
        <w:tc>
          <w:tcPr>
            <w:tcW w:w="2835" w:type="dxa"/>
            <w:vAlign w:val="center"/>
          </w:tcPr>
          <w:p>
            <w:pPr>
              <w:pStyle w:val="11"/>
            </w:pPr>
            <w:r>
              <w:t>其中：财政    资金</w:t>
            </w:r>
          </w:p>
        </w:tc>
        <w:tc>
          <w:tcPr>
            <w:tcW w:w="2551" w:type="dxa"/>
            <w:vAlign w:val="center"/>
          </w:tcPr>
          <w:p>
            <w:pPr>
              <w:pStyle w:val="13"/>
            </w:pPr>
            <w:r>
              <w:t>46.00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用于2025年市场监管工作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1.按时按质使用经费用于市场监管工作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监督检查次数</w:t>
            </w:r>
          </w:p>
        </w:tc>
        <w:tc>
          <w:tcPr>
            <w:tcW w:w="5386" w:type="dxa"/>
            <w:vAlign w:val="center"/>
          </w:tcPr>
          <w:p>
            <w:pPr>
              <w:pStyle w:val="13"/>
            </w:pPr>
            <w:r>
              <w:t>监督检查次数</w:t>
            </w:r>
          </w:p>
        </w:tc>
        <w:tc>
          <w:tcPr>
            <w:tcW w:w="2268" w:type="dxa"/>
            <w:vAlign w:val="center"/>
          </w:tcPr>
          <w:p>
            <w:pPr>
              <w:pStyle w:val="13"/>
            </w:pPr>
            <w:r>
              <w:t>≥50次</w:t>
            </w:r>
          </w:p>
        </w:tc>
        <w:tc>
          <w:tcPr>
            <w:tcW w:w="1276" w:type="dxa"/>
            <w:vAlign w:val="center"/>
          </w:tcPr>
          <w:p>
            <w:pPr>
              <w:pStyle w:val="13"/>
            </w:pPr>
            <w:r>
              <w:t>监督检查次数不低于50次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案件办结率</w:t>
            </w:r>
          </w:p>
        </w:tc>
        <w:tc>
          <w:tcPr>
            <w:tcW w:w="5386" w:type="dxa"/>
            <w:vAlign w:val="center"/>
          </w:tcPr>
          <w:p>
            <w:pPr>
              <w:pStyle w:val="13"/>
            </w:pPr>
            <w:r>
              <w:t>案件办结率</w:t>
            </w:r>
          </w:p>
        </w:tc>
        <w:tc>
          <w:tcPr>
            <w:tcW w:w="2268" w:type="dxa"/>
            <w:vAlign w:val="center"/>
          </w:tcPr>
          <w:p>
            <w:pPr>
              <w:pStyle w:val="13"/>
            </w:pPr>
            <w:r>
              <w:t>≥90%</w:t>
            </w:r>
          </w:p>
        </w:tc>
        <w:tc>
          <w:tcPr>
            <w:tcW w:w="1276" w:type="dxa"/>
            <w:vAlign w:val="center"/>
          </w:tcPr>
          <w:p>
            <w:pPr>
              <w:pStyle w:val="13"/>
            </w:pPr>
            <w:r>
              <w:t>案件办结率不低于90%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监管执法及时率</w:t>
            </w:r>
          </w:p>
        </w:tc>
        <w:tc>
          <w:tcPr>
            <w:tcW w:w="5386" w:type="dxa"/>
            <w:vAlign w:val="center"/>
          </w:tcPr>
          <w:p>
            <w:pPr>
              <w:pStyle w:val="13"/>
            </w:pPr>
            <w:r>
              <w:t>监管执法及时率</w:t>
            </w:r>
          </w:p>
        </w:tc>
        <w:tc>
          <w:tcPr>
            <w:tcW w:w="2268" w:type="dxa"/>
            <w:vAlign w:val="center"/>
          </w:tcPr>
          <w:p>
            <w:pPr>
              <w:pStyle w:val="13"/>
            </w:pPr>
            <w:r>
              <w:t>≥90%</w:t>
            </w:r>
          </w:p>
        </w:tc>
        <w:tc>
          <w:tcPr>
            <w:tcW w:w="1276" w:type="dxa"/>
            <w:vAlign w:val="center"/>
          </w:tcPr>
          <w:p>
            <w:pPr>
              <w:pStyle w:val="13"/>
            </w:pPr>
            <w:r>
              <w:t>监管执法及时率不低于90%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项目经费</w:t>
            </w:r>
          </w:p>
        </w:tc>
        <w:tc>
          <w:tcPr>
            <w:tcW w:w="5386" w:type="dxa"/>
            <w:vAlign w:val="center"/>
          </w:tcPr>
          <w:p>
            <w:pPr>
              <w:pStyle w:val="13"/>
            </w:pPr>
            <w:r>
              <w:t>项目经费</w:t>
            </w:r>
          </w:p>
        </w:tc>
        <w:tc>
          <w:tcPr>
            <w:tcW w:w="2268" w:type="dxa"/>
            <w:vAlign w:val="center"/>
          </w:tcPr>
          <w:p>
            <w:pPr>
              <w:pStyle w:val="13"/>
            </w:pPr>
            <w:r>
              <w:t>≤460000元</w:t>
            </w:r>
          </w:p>
        </w:tc>
        <w:tc>
          <w:tcPr>
            <w:tcW w:w="1276" w:type="dxa"/>
            <w:vAlign w:val="center"/>
          </w:tcPr>
          <w:p>
            <w:pPr>
              <w:pStyle w:val="13"/>
            </w:pPr>
            <w:r>
              <w:t>项目经费不超过460000元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w:t>
            </w:r>
          </w:p>
        </w:tc>
        <w:tc>
          <w:tcPr>
            <w:tcW w:w="1276" w:type="dxa"/>
            <w:vAlign w:val="center"/>
          </w:tcPr>
          <w:p>
            <w:pPr>
              <w:pStyle w:val="13"/>
            </w:pPr>
            <w:r>
              <w:t>资金使用效益不低于90%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配套相关宣传工作</w:t>
            </w:r>
          </w:p>
        </w:tc>
        <w:tc>
          <w:tcPr>
            <w:tcW w:w="5386" w:type="dxa"/>
            <w:vAlign w:val="center"/>
          </w:tcPr>
          <w:p>
            <w:pPr>
              <w:pStyle w:val="13"/>
            </w:pPr>
            <w:r>
              <w:t>配套相关宣传工作</w:t>
            </w:r>
          </w:p>
        </w:tc>
        <w:tc>
          <w:tcPr>
            <w:tcW w:w="2268" w:type="dxa"/>
            <w:vAlign w:val="center"/>
          </w:tcPr>
          <w:p>
            <w:pPr>
              <w:pStyle w:val="13"/>
            </w:pPr>
            <w:r>
              <w:t>≥20次</w:t>
            </w:r>
          </w:p>
        </w:tc>
        <w:tc>
          <w:tcPr>
            <w:tcW w:w="1276" w:type="dxa"/>
            <w:vAlign w:val="center"/>
          </w:tcPr>
          <w:p>
            <w:pPr>
              <w:pStyle w:val="13"/>
            </w:pPr>
            <w:r>
              <w:t>配套相关宣传工作不低于20次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服务对象满意度不低于95%</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7189"/>
      <w:r>
        <w:rPr>
          <w:rFonts w:hint="eastAsia" w:ascii="黑体" w:hAnsi="黑体" w:eastAsia="黑体" w:cs="黑体"/>
          <w:color w:val="000000"/>
          <w:sz w:val="32"/>
          <w:lang w:val="en-US" w:eastAsia="zh-CN"/>
        </w:rPr>
        <w:t>七</w:t>
      </w:r>
      <w:r>
        <w:rPr>
          <w:rFonts w:ascii="黑体" w:hAnsi="黑体" w:eastAsia="黑体" w:cs="黑体"/>
          <w:color w:val="000000"/>
          <w:sz w:val="32"/>
        </w:rPr>
        <w:t>、政府采购预算情况</w:t>
      </w:r>
      <w:bookmarkEnd w:id="15"/>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414唐山市开平区市场监督管理局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2.46</w:t>
            </w:r>
          </w:p>
        </w:tc>
        <w:tc>
          <w:tcPr>
            <w:tcW w:w="964" w:type="dxa"/>
            <w:vAlign w:val="center"/>
          </w:tcPr>
          <w:p>
            <w:pPr>
              <w:pStyle w:val="16"/>
            </w:pPr>
            <w:r>
              <w:t>2.46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唐山市开平区市场监督管理局本级小计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2.46</w:t>
            </w:r>
          </w:p>
        </w:tc>
        <w:tc>
          <w:tcPr>
            <w:tcW w:w="964" w:type="dxa"/>
            <w:vAlign w:val="center"/>
          </w:tcPr>
          <w:p>
            <w:pPr>
              <w:pStyle w:val="16"/>
            </w:pPr>
            <w:r>
              <w:t>2.46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62.70</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6</w:t>
            </w:r>
          </w:p>
        </w:tc>
        <w:tc>
          <w:tcPr>
            <w:tcW w:w="850" w:type="dxa"/>
            <w:vAlign w:val="center"/>
          </w:tcPr>
          <w:p>
            <w:pPr>
              <w:pStyle w:val="12"/>
            </w:pPr>
            <w:r>
              <w:t>0.15</w:t>
            </w:r>
          </w:p>
        </w:tc>
        <w:tc>
          <w:tcPr>
            <w:tcW w:w="964" w:type="dxa"/>
            <w:vAlign w:val="center"/>
          </w:tcPr>
          <w:p>
            <w:pPr>
              <w:pStyle w:val="12"/>
            </w:pPr>
            <w:r>
              <w:t>0.90</w:t>
            </w:r>
          </w:p>
        </w:tc>
        <w:tc>
          <w:tcPr>
            <w:tcW w:w="964" w:type="dxa"/>
            <w:vAlign w:val="center"/>
          </w:tcPr>
          <w:p>
            <w:pPr>
              <w:pStyle w:val="12"/>
            </w:pPr>
            <w:r>
              <w:t>0.90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62.70</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6</w:t>
            </w:r>
          </w:p>
        </w:tc>
        <w:tc>
          <w:tcPr>
            <w:tcW w:w="850" w:type="dxa"/>
            <w:vAlign w:val="center"/>
          </w:tcPr>
          <w:p>
            <w:pPr>
              <w:pStyle w:val="12"/>
            </w:pPr>
            <w:r>
              <w:t>0.26</w:t>
            </w:r>
          </w:p>
        </w:tc>
        <w:tc>
          <w:tcPr>
            <w:tcW w:w="964" w:type="dxa"/>
            <w:vAlign w:val="center"/>
          </w:tcPr>
          <w:p>
            <w:pPr>
              <w:pStyle w:val="12"/>
            </w:pPr>
            <w:r>
              <w:t>1.56</w:t>
            </w:r>
          </w:p>
        </w:tc>
        <w:tc>
          <w:tcPr>
            <w:tcW w:w="964" w:type="dxa"/>
            <w:vAlign w:val="center"/>
          </w:tcPr>
          <w:p>
            <w:pPr>
              <w:pStyle w:val="12"/>
            </w:pPr>
            <w:r>
              <w:t>1.56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1.56</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14627"/>
      <w:r>
        <w:rPr>
          <w:rFonts w:hint="eastAsia" w:ascii="黑体" w:hAnsi="黑体" w:eastAsia="黑体" w:cs="黑体"/>
          <w:color w:val="000000"/>
          <w:sz w:val="32"/>
          <w:lang w:val="en-US" w:eastAsia="zh-CN"/>
        </w:rPr>
        <w:t>八</w:t>
      </w:r>
      <w:r>
        <w:rPr>
          <w:rFonts w:ascii="黑体" w:hAnsi="黑体" w:eastAsia="黑体" w:cs="黑体"/>
          <w:color w:val="000000"/>
          <w:sz w:val="32"/>
        </w:rPr>
        <w:t>、国有资产信息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唐山市开平区市场监督管理局（含所属单位）上年末固定资产金额为</w:t>
      </w:r>
      <w:r>
        <w:rPr>
          <w:rFonts w:hint="eastAsia" w:eastAsia="方正仿宋_GBK" w:cs="Times New Roman"/>
          <w:b w:val="0"/>
          <w:color w:val="000000"/>
          <w:sz w:val="28"/>
          <w:lang w:val="en-US" w:eastAsia="zh-CN"/>
        </w:rPr>
        <w:t>366.92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414唐山市开平区市场监督管理局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w:t>
            </w:r>
            <w:r>
              <w:rPr>
                <w:rFonts w:hint="eastAsia"/>
                <w:lang w:val="en-US" w:eastAsia="zh-CN"/>
              </w:rPr>
              <w:t>4</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rPr>
                <w:rFonts w:hint="default" w:eastAsia="方正书宋_GBK"/>
                <w:lang w:val="en-US" w:eastAsia="zh-CN"/>
              </w:rPr>
            </w:pPr>
            <w:r>
              <w:t>3</w:t>
            </w:r>
            <w:r>
              <w:rPr>
                <w:rFonts w:hint="eastAsia"/>
                <w:lang w:val="en-US" w:eastAsia="zh-CN"/>
              </w:rPr>
              <w:t>66.92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7280</w:t>
            </w:r>
          </w:p>
        </w:tc>
        <w:tc>
          <w:tcPr>
            <w:tcW w:w="2835" w:type="dxa"/>
            <w:vAlign w:val="center"/>
          </w:tcPr>
          <w:p>
            <w:pPr>
              <w:pStyle w:val="12"/>
              <w:rPr>
                <w:rFonts w:hint="default" w:eastAsia="方正书宋_GBK"/>
                <w:lang w:val="en-US" w:eastAsia="zh-CN"/>
              </w:rPr>
            </w:pPr>
            <w:r>
              <w:rPr>
                <w:rFonts w:hint="eastAsia"/>
                <w:lang w:val="en-US" w:eastAsia="zh-CN"/>
              </w:rPr>
              <w:t>201.77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7280</w:t>
            </w:r>
          </w:p>
        </w:tc>
        <w:tc>
          <w:tcPr>
            <w:tcW w:w="2835" w:type="dxa"/>
            <w:vAlign w:val="center"/>
          </w:tcPr>
          <w:p>
            <w:pPr>
              <w:pStyle w:val="12"/>
              <w:rPr>
                <w:rFonts w:hint="default" w:eastAsia="方正书宋_GBK"/>
                <w:lang w:val="en-US" w:eastAsia="zh-CN"/>
              </w:rPr>
            </w:pPr>
            <w:r>
              <w:rPr>
                <w:rFonts w:hint="eastAsia"/>
                <w:lang w:val="en-US" w:eastAsia="zh-CN"/>
              </w:rPr>
              <w:t>201.77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rPr>
                <w:rFonts w:hint="eastAsia" w:eastAsia="方正书宋_GBK"/>
                <w:lang w:val="en-US" w:eastAsia="zh-CN"/>
              </w:rPr>
            </w:pPr>
            <w:r>
              <w:t>1</w:t>
            </w:r>
            <w:r>
              <w:rPr>
                <w:rFonts w:hint="eastAsia"/>
                <w:lang w:val="en-US" w:eastAsia="zh-CN"/>
              </w:rPr>
              <w:t>4</w:t>
            </w:r>
          </w:p>
        </w:tc>
        <w:tc>
          <w:tcPr>
            <w:tcW w:w="2835" w:type="dxa"/>
            <w:vAlign w:val="center"/>
          </w:tcPr>
          <w:p>
            <w:pPr>
              <w:pStyle w:val="12"/>
              <w:rPr>
                <w:rFonts w:hint="default" w:eastAsia="方正书宋_GBK"/>
                <w:lang w:val="en-US" w:eastAsia="zh-CN"/>
              </w:rPr>
            </w:pPr>
            <w:r>
              <w:rPr>
                <w:rFonts w:hint="eastAsia"/>
                <w:lang w:val="en-US" w:eastAsia="zh-CN"/>
              </w:rPr>
              <w:t>38.65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rPr>
                <w:rFonts w:hint="default" w:eastAsia="方正书宋_GBK"/>
                <w:lang w:val="en-US" w:eastAsia="zh-CN"/>
              </w:rPr>
            </w:pPr>
            <w:r>
              <w:t>24</w:t>
            </w:r>
            <w:r>
              <w:rPr>
                <w:rFonts w:hint="eastAsia"/>
                <w:lang w:val="en-US" w:eastAsia="zh-CN"/>
              </w:rPr>
              <w:t>78</w:t>
            </w:r>
          </w:p>
        </w:tc>
        <w:tc>
          <w:tcPr>
            <w:tcW w:w="2835" w:type="dxa"/>
            <w:vAlign w:val="center"/>
          </w:tcPr>
          <w:p>
            <w:pPr>
              <w:pStyle w:val="12"/>
              <w:rPr>
                <w:rFonts w:hint="default" w:eastAsia="方正书宋_GBK"/>
                <w:lang w:val="en-US" w:eastAsia="zh-CN"/>
              </w:rPr>
            </w:pPr>
            <w:r>
              <w:rPr>
                <w:rFonts w:hint="eastAsia"/>
                <w:lang w:val="en-US" w:eastAsia="zh-CN"/>
              </w:rPr>
              <w:t>126.5</w:t>
            </w:r>
          </w:p>
        </w:tc>
      </w:tr>
    </w:tbl>
    <w:p>
      <w:pPr>
        <w:spacing w:before="0" w:after="0"/>
        <w:jc w:val="left"/>
        <w:outlineLvl w:val="9"/>
      </w:pPr>
      <w:bookmarkStart w:id="19" w:name="_GoBack"/>
      <w:bookmarkEnd w:id="19"/>
    </w:p>
    <w:p>
      <w:pPr>
        <w:spacing w:before="10" w:after="10" w:line="240" w:lineRule="auto"/>
        <w:ind w:firstLine="640"/>
        <w:jc w:val="left"/>
        <w:outlineLvl w:val="2"/>
      </w:pPr>
      <w:bookmarkStart w:id="17" w:name="_Toc23930"/>
      <w:r>
        <w:rPr>
          <w:rFonts w:hint="eastAsia" w:ascii="黑体" w:hAnsi="黑体" w:eastAsia="黑体" w:cs="黑体"/>
          <w:color w:val="000000"/>
          <w:sz w:val="32"/>
          <w:lang w:val="en-US" w:eastAsia="zh-CN"/>
        </w:rPr>
        <w:t>九</w:t>
      </w:r>
      <w:r>
        <w:rPr>
          <w:rFonts w:ascii="黑体" w:hAnsi="黑体" w:eastAsia="黑体" w:cs="黑体"/>
          <w:color w:val="000000"/>
          <w:sz w:val="32"/>
        </w:rPr>
        <w:t>、名词解释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8" w:name="_Toc8220"/>
      <w:r>
        <w:rPr>
          <w:rFonts w:ascii="黑体" w:hAnsi="黑体" w:eastAsia="黑体" w:cs="黑体"/>
          <w:color w:val="000000"/>
          <w:sz w:val="32"/>
        </w:rPr>
        <w:t>十、其他需要说明的事项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D651A"/>
    <w:rsid w:val="52C3475E"/>
    <w:rsid w:val="55114A3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48</Pages>
  <Words>1970</Words>
  <Characters>2888</Characters>
  <TotalTime>0</TotalTime>
  <ScaleCrop>false</ScaleCrop>
  <LinksUpToDate>false</LinksUpToDate>
  <CharactersWithSpaces>2936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2025-02-11T15:23:00Z</dcterms:created>
  <dc:creator>Administrator</dc:creator>
  <cp:lastModifiedBy>Administrator</cp:lastModifiedBy>
  <dcterms:modified xsi:type="dcterms:W3CDTF">2025-09-09T01:58:26Z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784F38899871400A8F06F623FDB9817C</vt:lpwstr>
  </property>
  <property fmtid="{D5CDD505-2E9C-101B-9397-08002B2CF9AE}" pid="4" name="KSOTemplateDocerSaveRecord">
    <vt:lpwstr>eyJoZGlkIjoiODY5OTc4OGNiNWZhM2Y5MGMxOWQxNjFmYmVhOTlhZjcifQ==</vt:lpwstr>
  </property>
</Properties>
</file>