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bookmarkStart w:id="18" w:name="_GoBack"/>
      <w:bookmarkEnd w:id="18"/>
      <w:r>
        <w:rPr>
          <w:rFonts w:ascii="黑体" w:hAnsi="黑体" w:eastAsia="黑体" w:cs="黑体"/>
          <w:b/>
          <w:color w:val="000000"/>
          <w:sz w:val="44"/>
        </w:rPr>
        <w:t>2023年</w:t>
      </w:r>
      <w:r>
        <w:rPr>
          <w:rFonts w:hint="eastAsia" w:ascii="黑体" w:hAnsi="黑体" w:eastAsia="黑体" w:cs="黑体"/>
          <w:b/>
          <w:color w:val="000000"/>
          <w:sz w:val="44"/>
          <w:lang w:eastAsia="zh-CN"/>
        </w:rPr>
        <w:t>单位</w:t>
      </w:r>
      <w:r>
        <w:rPr>
          <w:rFonts w:ascii="黑体" w:hAnsi="黑体" w:eastAsia="黑体" w:cs="黑体"/>
          <w:b/>
          <w:color w:val="000000"/>
          <w:sz w:val="44"/>
        </w:rPr>
        <w:t>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预算公开表</w:t>
      </w:r>
    </w:p>
    <w:p>
      <w:pPr>
        <w:pStyle w:val="5"/>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lang w:eastAsia="zh-CN"/>
        </w:rPr>
        <w:t>单位</w:t>
      </w:r>
      <w:r>
        <w:t>预算收支总表</w:t>
      </w:r>
      <w:r>
        <w:tab/>
      </w:r>
      <w:r>
        <w:rPr>
          <w:rFonts w:hint="eastAsia"/>
          <w:lang w:val="en-US" w:eastAsia="zh-CN"/>
        </w:rPr>
        <w:t>3</w:t>
      </w:r>
      <w:r>
        <w:fldChar w:fldCharType="end"/>
      </w:r>
    </w:p>
    <w:p>
      <w:pPr>
        <w:pStyle w:val="5"/>
        <w:tabs>
          <w:tab w:val="right" w:leader="dot" w:pos="14562"/>
        </w:tabs>
      </w:pPr>
      <w:r>
        <w:fldChar w:fldCharType="begin"/>
      </w:r>
      <w:r>
        <w:instrText xml:space="preserve"> HYPERLINK \l "_Toc_2_2_0000000002" </w:instrText>
      </w:r>
      <w:r>
        <w:fldChar w:fldCharType="separate"/>
      </w:r>
      <w:r>
        <w:rPr>
          <w:rFonts w:hint="eastAsia"/>
          <w:lang w:eastAsia="zh-CN"/>
        </w:rPr>
        <w:t>单位</w:t>
      </w:r>
      <w:r>
        <w:t>预算收入总表</w:t>
      </w:r>
      <w:r>
        <w:tab/>
      </w:r>
      <w:r>
        <w:rPr>
          <w:rFonts w:hint="eastAsia"/>
          <w:lang w:val="en-US" w:eastAsia="zh-CN"/>
        </w:rPr>
        <w:t>7</w:t>
      </w:r>
      <w:r>
        <w:fldChar w:fldCharType="end"/>
      </w:r>
    </w:p>
    <w:p>
      <w:pPr>
        <w:pStyle w:val="5"/>
        <w:tabs>
          <w:tab w:val="right" w:leader="dot" w:pos="14562"/>
        </w:tabs>
        <w:rPr>
          <w:rFonts w:hint="eastAsia" w:eastAsia="方正仿宋_GBK"/>
          <w:lang w:val="en-US" w:eastAsia="zh-CN"/>
        </w:rPr>
      </w:pPr>
      <w:r>
        <w:fldChar w:fldCharType="begin"/>
      </w:r>
      <w:r>
        <w:instrText xml:space="preserve"> HYPERLINK \l "_Toc_2_2_0000000003" </w:instrText>
      </w:r>
      <w:r>
        <w:fldChar w:fldCharType="separate"/>
      </w:r>
      <w:r>
        <w:rPr>
          <w:rFonts w:hint="eastAsia"/>
          <w:lang w:eastAsia="zh-CN"/>
        </w:rPr>
        <w:t>单位</w:t>
      </w:r>
      <w:r>
        <w:t>预算支出总表</w:t>
      </w:r>
      <w:r>
        <w:tab/>
      </w:r>
      <w:r>
        <w:rPr>
          <w:rFonts w:hint="eastAsia"/>
          <w:lang w:val="en-US" w:eastAsia="zh-CN"/>
        </w:rPr>
        <w:t>1</w:t>
      </w:r>
      <w:r>
        <w:fldChar w:fldCharType="end"/>
      </w:r>
      <w:r>
        <w:rPr>
          <w:rFonts w:hint="eastAsia"/>
          <w:lang w:val="en-US" w:eastAsia="zh-CN"/>
        </w:rPr>
        <w:t>0</w:t>
      </w:r>
    </w:p>
    <w:p>
      <w:pPr>
        <w:pStyle w:val="5"/>
        <w:tabs>
          <w:tab w:val="right" w:leader="dot" w:pos="14562"/>
        </w:tabs>
        <w:rPr>
          <w:rFonts w:hint="eastAsia" w:eastAsia="方正仿宋_GBK"/>
          <w:lang w:val="en-US" w:eastAsia="zh-CN"/>
        </w:rPr>
      </w:pPr>
      <w:r>
        <w:fldChar w:fldCharType="begin"/>
      </w:r>
      <w:r>
        <w:instrText xml:space="preserve"> HYPERLINK \l "_Toc_2_2_0000000004" </w:instrText>
      </w:r>
      <w:r>
        <w:fldChar w:fldCharType="separate"/>
      </w:r>
      <w:r>
        <w:rPr>
          <w:rFonts w:hint="eastAsia"/>
          <w:lang w:eastAsia="zh-CN"/>
        </w:rPr>
        <w:t>单位</w:t>
      </w:r>
      <w:r>
        <w:t>预算财政拨款收支总表</w:t>
      </w:r>
      <w:r>
        <w:tab/>
      </w:r>
      <w:r>
        <w:rPr>
          <w:rFonts w:hint="eastAsia"/>
          <w:lang w:val="en-US" w:eastAsia="zh-CN"/>
        </w:rPr>
        <w:t>1</w:t>
      </w:r>
      <w:r>
        <w:fldChar w:fldCharType="end"/>
      </w:r>
      <w:r>
        <w:rPr>
          <w:rFonts w:hint="eastAsia"/>
          <w:lang w:val="en-US" w:eastAsia="zh-CN"/>
        </w:rPr>
        <w:t>2</w:t>
      </w:r>
    </w:p>
    <w:p>
      <w:pPr>
        <w:pStyle w:val="5"/>
        <w:tabs>
          <w:tab w:val="right" w:leader="dot" w:pos="14562"/>
        </w:tabs>
        <w:rPr>
          <w:rFonts w:hint="eastAsia" w:eastAsia="方正仿宋_GBK"/>
          <w:lang w:val="en-US" w:eastAsia="zh-CN"/>
        </w:rPr>
      </w:pPr>
      <w:r>
        <w:fldChar w:fldCharType="begin"/>
      </w:r>
      <w:r>
        <w:instrText xml:space="preserve"> HYPERLINK \l "_Toc_2_2_0000000005" </w:instrText>
      </w:r>
      <w:r>
        <w:fldChar w:fldCharType="separate"/>
      </w:r>
      <w:r>
        <w:rPr>
          <w:rFonts w:hint="eastAsia"/>
          <w:lang w:eastAsia="zh-CN"/>
        </w:rPr>
        <w:t>单位</w:t>
      </w:r>
      <w:r>
        <w:t>预算一般公共预算财政拨款支出表</w:t>
      </w:r>
      <w:r>
        <w:tab/>
      </w:r>
      <w:r>
        <w:rPr>
          <w:rFonts w:hint="eastAsia"/>
          <w:lang w:val="en-US" w:eastAsia="zh-CN"/>
        </w:rPr>
        <w:t>1</w:t>
      </w:r>
      <w:r>
        <w:fldChar w:fldCharType="end"/>
      </w:r>
      <w:r>
        <w:rPr>
          <w:rFonts w:hint="eastAsia"/>
          <w:lang w:val="en-US" w:eastAsia="zh-CN"/>
        </w:rPr>
        <w:t>9</w:t>
      </w:r>
    </w:p>
    <w:p>
      <w:pPr>
        <w:pStyle w:val="5"/>
        <w:tabs>
          <w:tab w:val="right" w:leader="dot" w:pos="14562"/>
        </w:tabs>
        <w:rPr>
          <w:rFonts w:hint="eastAsia" w:eastAsia="方正仿宋_GBK"/>
          <w:lang w:val="en-US" w:eastAsia="zh-CN"/>
        </w:rPr>
      </w:pPr>
      <w:r>
        <w:fldChar w:fldCharType="begin"/>
      </w:r>
      <w:r>
        <w:instrText xml:space="preserve"> HYPERLINK \l "_Toc_2_2_0000000006" </w:instrText>
      </w:r>
      <w:r>
        <w:fldChar w:fldCharType="separate"/>
      </w:r>
      <w:r>
        <w:rPr>
          <w:rFonts w:hint="eastAsia"/>
          <w:lang w:eastAsia="zh-CN"/>
        </w:rPr>
        <w:t>单位</w:t>
      </w:r>
      <w:r>
        <w:t>预算一般公共预算财政拨款基本支出表</w:t>
      </w:r>
      <w:r>
        <w:tab/>
      </w:r>
      <w:r>
        <w:rPr>
          <w:rFonts w:hint="eastAsia"/>
          <w:lang w:val="en-US" w:eastAsia="zh-CN"/>
        </w:rPr>
        <w:t>2</w:t>
      </w:r>
      <w:r>
        <w:fldChar w:fldCharType="end"/>
      </w:r>
      <w:r>
        <w:rPr>
          <w:rFonts w:hint="eastAsia"/>
          <w:lang w:val="en-US" w:eastAsia="zh-CN"/>
        </w:rPr>
        <w:t>1</w:t>
      </w:r>
    </w:p>
    <w:p>
      <w:pPr>
        <w:pStyle w:val="5"/>
        <w:tabs>
          <w:tab w:val="right" w:leader="dot" w:pos="14562"/>
        </w:tabs>
        <w:rPr>
          <w:rFonts w:hint="eastAsia" w:eastAsia="方正仿宋_GBK"/>
          <w:lang w:val="en-US" w:eastAsia="zh-CN"/>
        </w:rPr>
      </w:pPr>
      <w:r>
        <w:fldChar w:fldCharType="begin"/>
      </w:r>
      <w:r>
        <w:instrText xml:space="preserve"> HYPERLINK \l "_Toc_2_2_0000000007" </w:instrText>
      </w:r>
      <w:r>
        <w:fldChar w:fldCharType="separate"/>
      </w:r>
      <w:r>
        <w:rPr>
          <w:rFonts w:hint="eastAsia"/>
          <w:lang w:eastAsia="zh-CN"/>
        </w:rPr>
        <w:t>单位</w:t>
      </w:r>
      <w:r>
        <w:t>预算政府基金预算财政拨款支出表</w:t>
      </w:r>
      <w:r>
        <w:tab/>
      </w:r>
      <w:r>
        <w:rPr>
          <w:rFonts w:hint="eastAsia"/>
          <w:lang w:val="en-US" w:eastAsia="zh-CN"/>
        </w:rPr>
        <w:t>2</w:t>
      </w:r>
      <w:r>
        <w:fldChar w:fldCharType="end"/>
      </w:r>
      <w:r>
        <w:rPr>
          <w:rFonts w:hint="eastAsia"/>
          <w:lang w:val="en-US" w:eastAsia="zh-CN"/>
        </w:rPr>
        <w:t>3</w:t>
      </w:r>
    </w:p>
    <w:p>
      <w:pPr>
        <w:pStyle w:val="5"/>
        <w:tabs>
          <w:tab w:val="right" w:leader="dot" w:pos="14562"/>
        </w:tabs>
        <w:rPr>
          <w:rFonts w:hint="eastAsia" w:eastAsia="方正仿宋_GBK"/>
          <w:lang w:val="en-US" w:eastAsia="zh-CN"/>
        </w:rPr>
      </w:pPr>
      <w:r>
        <w:fldChar w:fldCharType="begin"/>
      </w:r>
      <w:r>
        <w:instrText xml:space="preserve"> HYPERLINK \l "_Toc_2_2_0000000008" </w:instrText>
      </w:r>
      <w:r>
        <w:fldChar w:fldCharType="separate"/>
      </w:r>
      <w:r>
        <w:rPr>
          <w:rFonts w:hint="eastAsia"/>
          <w:lang w:eastAsia="zh-CN"/>
        </w:rPr>
        <w:t>单位</w:t>
      </w:r>
      <w:r>
        <w:t>预算国有资本经营预算财政拨款支出表</w:t>
      </w:r>
      <w:r>
        <w:tab/>
      </w:r>
      <w:r>
        <w:rPr>
          <w:rFonts w:hint="eastAsia"/>
          <w:lang w:val="en-US" w:eastAsia="zh-CN"/>
        </w:rPr>
        <w:t>2</w:t>
      </w:r>
      <w:r>
        <w:fldChar w:fldCharType="end"/>
      </w:r>
      <w:r>
        <w:rPr>
          <w:rFonts w:hint="eastAsia"/>
          <w:lang w:val="en-US" w:eastAsia="zh-CN"/>
        </w:rPr>
        <w:t>4</w:t>
      </w:r>
    </w:p>
    <w:p>
      <w:pPr>
        <w:pStyle w:val="5"/>
        <w:tabs>
          <w:tab w:val="right" w:leader="dot" w:pos="14562"/>
        </w:tabs>
        <w:rPr>
          <w:rFonts w:hint="eastAsia" w:eastAsia="方正仿宋_GBK"/>
          <w:lang w:val="en-US" w:eastAsia="zh-CN"/>
        </w:rPr>
      </w:pPr>
      <w:r>
        <w:fldChar w:fldCharType="begin"/>
      </w:r>
      <w:r>
        <w:instrText xml:space="preserve"> HYPERLINK \l "_Toc_2_2_0000000009" </w:instrText>
      </w:r>
      <w:r>
        <w:fldChar w:fldCharType="separate"/>
      </w:r>
      <w:r>
        <w:rPr>
          <w:rFonts w:hint="eastAsia"/>
          <w:lang w:eastAsia="zh-CN"/>
        </w:rPr>
        <w:t>单位</w:t>
      </w:r>
      <w:r>
        <w:t>预算财政拨款“三公”经费支出表</w:t>
      </w:r>
      <w:r>
        <w:tab/>
      </w:r>
      <w:r>
        <w:rPr>
          <w:rFonts w:hint="eastAsia"/>
          <w:lang w:val="en-US" w:eastAsia="zh-CN"/>
        </w:rPr>
        <w:t>2</w:t>
      </w:r>
      <w:r>
        <w:fldChar w:fldCharType="end"/>
      </w:r>
      <w:r>
        <w:rPr>
          <w:rFonts w:hint="eastAsia"/>
          <w:lang w:val="en-US" w:eastAsia="zh-CN"/>
        </w:rPr>
        <w:t>5</w:t>
      </w:r>
    </w:p>
    <w:p>
      <w:r>
        <w:fldChar w:fldCharType="end"/>
      </w:r>
    </w:p>
    <w:p>
      <w:pPr>
        <w:spacing w:before="0" w:after="0" w:line="240" w:lineRule="auto"/>
        <w:ind w:firstLine="0"/>
        <w:jc w:val="left"/>
        <w:outlineLvl w:val="9"/>
      </w:pPr>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预算信息公开情况说明</w:t>
      </w:r>
    </w:p>
    <w:p>
      <w:pPr>
        <w:pStyle w:val="5"/>
        <w:tabs>
          <w:tab w:val="right" w:leader="dot" w:pos="14562"/>
        </w:tabs>
        <w:rPr>
          <w:rFonts w:hint="eastAsia" w:eastAsia="方正仿宋_GBK"/>
          <w:lang w:val="en-US" w:eastAsia="zh-CN"/>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w:t>
      </w:r>
      <w:r>
        <w:rPr>
          <w:rFonts w:hint="eastAsia"/>
          <w:lang w:eastAsia="zh-CN"/>
        </w:rPr>
        <w:t>单位</w:t>
      </w:r>
      <w:r>
        <w:t>职责及机构设置情况</w:t>
      </w:r>
      <w:r>
        <w:tab/>
      </w:r>
      <w:r>
        <w:rPr>
          <w:rFonts w:hint="eastAsia"/>
          <w:lang w:val="en-US" w:eastAsia="zh-CN"/>
        </w:rPr>
        <w:t>2</w:t>
      </w:r>
      <w:r>
        <w:fldChar w:fldCharType="end"/>
      </w:r>
      <w:r>
        <w:rPr>
          <w:rFonts w:hint="eastAsia"/>
          <w:lang w:val="en-US" w:eastAsia="zh-CN"/>
        </w:rPr>
        <w:t>7</w:t>
      </w:r>
    </w:p>
    <w:p>
      <w:pPr>
        <w:pStyle w:val="5"/>
        <w:tabs>
          <w:tab w:val="right" w:leader="dot" w:pos="14562"/>
        </w:tabs>
        <w:rPr>
          <w:rFonts w:hint="eastAsia" w:eastAsia="方正仿宋_GBK"/>
          <w:lang w:val="en-US" w:eastAsia="zh-CN"/>
        </w:rPr>
      </w:pPr>
      <w:r>
        <w:fldChar w:fldCharType="begin"/>
      </w:r>
      <w:r>
        <w:instrText xml:space="preserve"> HYPERLINK \l "_Toc_3_3_0000000011" </w:instrText>
      </w:r>
      <w:r>
        <w:fldChar w:fldCharType="separate"/>
      </w:r>
      <w:r>
        <w:t>二、</w:t>
      </w:r>
      <w:r>
        <w:rPr>
          <w:rFonts w:hint="eastAsia"/>
          <w:lang w:eastAsia="zh-CN"/>
        </w:rPr>
        <w:t>单位</w:t>
      </w:r>
      <w:r>
        <w:t>预算安排的总体情况</w:t>
      </w:r>
      <w:r>
        <w:tab/>
      </w:r>
      <w:r>
        <w:rPr>
          <w:rFonts w:hint="eastAsia"/>
          <w:lang w:val="en-US" w:eastAsia="zh-CN"/>
        </w:rPr>
        <w:t>2</w:t>
      </w:r>
      <w:r>
        <w:fldChar w:fldCharType="end"/>
      </w:r>
      <w:r>
        <w:rPr>
          <w:rFonts w:hint="eastAsia"/>
          <w:lang w:val="en-US" w:eastAsia="zh-CN"/>
        </w:rPr>
        <w:t>8</w:t>
      </w:r>
    </w:p>
    <w:p>
      <w:pPr>
        <w:pStyle w:val="5"/>
        <w:tabs>
          <w:tab w:val="right" w:leader="dot" w:pos="14562"/>
        </w:tabs>
        <w:rPr>
          <w:rFonts w:hint="eastAsia" w:eastAsia="方正仿宋_GBK"/>
          <w:lang w:val="en-US" w:eastAsia="zh-CN"/>
        </w:rPr>
      </w:pPr>
      <w:r>
        <w:fldChar w:fldCharType="begin"/>
      </w:r>
      <w:r>
        <w:instrText xml:space="preserve"> HYPERLINK \l "_Toc_3_3_0000000012" </w:instrText>
      </w:r>
      <w:r>
        <w:fldChar w:fldCharType="separate"/>
      </w:r>
      <w:r>
        <w:t>三、机关运行经费安排情况</w:t>
      </w:r>
      <w:r>
        <w:tab/>
      </w:r>
      <w:r>
        <w:rPr>
          <w:rFonts w:hint="eastAsia"/>
          <w:lang w:val="en-US" w:eastAsia="zh-CN"/>
        </w:rPr>
        <w:t>2</w:t>
      </w:r>
      <w:r>
        <w:fldChar w:fldCharType="end"/>
      </w:r>
      <w:r>
        <w:rPr>
          <w:rFonts w:hint="eastAsia"/>
          <w:lang w:val="en-US" w:eastAsia="zh-CN"/>
        </w:rPr>
        <w:t>9</w:t>
      </w:r>
    </w:p>
    <w:p>
      <w:pPr>
        <w:pStyle w:val="5"/>
        <w:tabs>
          <w:tab w:val="right" w:leader="dot" w:pos="14562"/>
        </w:tabs>
        <w:rPr>
          <w:rFonts w:hint="eastAsia" w:eastAsia="方正仿宋_GBK"/>
          <w:lang w:val="en-US" w:eastAsia="zh-CN"/>
        </w:rPr>
      </w:pPr>
      <w:r>
        <w:fldChar w:fldCharType="begin"/>
      </w:r>
      <w:r>
        <w:instrText xml:space="preserve"> HYPERLINK \l "_Toc_3_3_0000000013" </w:instrText>
      </w:r>
      <w:r>
        <w:fldChar w:fldCharType="separate"/>
      </w:r>
      <w:r>
        <w:t>四、财政拨款“三公”经费预算情况及增减变化原因</w:t>
      </w:r>
      <w:r>
        <w:tab/>
      </w:r>
      <w:r>
        <w:rPr>
          <w:rFonts w:hint="eastAsia"/>
          <w:lang w:val="en-US" w:eastAsia="zh-CN"/>
        </w:rPr>
        <w:t>2</w:t>
      </w:r>
      <w:r>
        <w:fldChar w:fldCharType="end"/>
      </w:r>
      <w:r>
        <w:rPr>
          <w:rFonts w:hint="eastAsia"/>
          <w:lang w:val="en-US" w:eastAsia="zh-CN"/>
        </w:rPr>
        <w:t>9</w:t>
      </w:r>
    </w:p>
    <w:p>
      <w:pPr>
        <w:pStyle w:val="5"/>
        <w:tabs>
          <w:tab w:val="right" w:leader="dot" w:pos="14562"/>
        </w:tabs>
        <w:rPr>
          <w:rFonts w:hint="eastAsia" w:eastAsia="方正仿宋_GBK"/>
          <w:lang w:val="en-US" w:eastAsia="zh-CN"/>
        </w:rPr>
      </w:pPr>
      <w:r>
        <w:fldChar w:fldCharType="begin"/>
      </w:r>
      <w:r>
        <w:instrText xml:space="preserve"> HYPERLINK \l "_Toc_3_3_0000000014" </w:instrText>
      </w:r>
      <w:r>
        <w:fldChar w:fldCharType="separate"/>
      </w:r>
      <w:r>
        <w:t>五、预算绩效信息</w:t>
      </w:r>
      <w:r>
        <w:tab/>
      </w:r>
      <w:r>
        <w:rPr>
          <w:rFonts w:hint="eastAsia"/>
          <w:lang w:val="en-US" w:eastAsia="zh-CN"/>
        </w:rPr>
        <w:t>3</w:t>
      </w:r>
      <w:r>
        <w:fldChar w:fldCharType="end"/>
      </w:r>
      <w:r>
        <w:rPr>
          <w:rFonts w:hint="eastAsia"/>
          <w:lang w:val="en-US" w:eastAsia="zh-CN"/>
        </w:rPr>
        <w:t>0</w:t>
      </w:r>
    </w:p>
    <w:p>
      <w:pPr>
        <w:pStyle w:val="5"/>
        <w:tabs>
          <w:tab w:val="right" w:leader="dot" w:pos="14562"/>
        </w:tabs>
        <w:rPr>
          <w:rFonts w:hint="eastAsia" w:eastAsia="方正仿宋_GBK"/>
          <w:lang w:val="en-US" w:eastAsia="zh-CN"/>
        </w:rPr>
      </w:pPr>
      <w:r>
        <w:fldChar w:fldCharType="begin"/>
      </w:r>
      <w:r>
        <w:instrText xml:space="preserve"> HYPERLINK \l "_Toc_3_3_0000000015" </w:instrText>
      </w:r>
      <w:r>
        <w:fldChar w:fldCharType="separate"/>
      </w:r>
      <w:r>
        <w:t>六、政府采购预算情况</w:t>
      </w:r>
      <w:r>
        <w:tab/>
      </w:r>
      <w:r>
        <w:rPr>
          <w:rFonts w:hint="eastAsia"/>
          <w:lang w:val="en-US" w:eastAsia="zh-CN"/>
        </w:rPr>
        <w:t>4</w:t>
      </w:r>
      <w:r>
        <w:fldChar w:fldCharType="end"/>
      </w:r>
      <w:r>
        <w:rPr>
          <w:rFonts w:hint="eastAsia"/>
          <w:lang w:val="en-US" w:eastAsia="zh-CN"/>
        </w:rPr>
        <w:t>1</w:t>
      </w:r>
    </w:p>
    <w:p>
      <w:pPr>
        <w:pStyle w:val="5"/>
        <w:tabs>
          <w:tab w:val="right" w:leader="dot" w:pos="14562"/>
        </w:tabs>
        <w:rPr>
          <w:rFonts w:hint="eastAsia" w:eastAsia="方正仿宋_GBK"/>
          <w:lang w:val="en-US" w:eastAsia="zh-CN"/>
        </w:rPr>
      </w:pPr>
      <w:r>
        <w:fldChar w:fldCharType="begin"/>
      </w:r>
      <w:r>
        <w:instrText xml:space="preserve"> HYPERLINK \l "_Toc_3_3_0000000016" </w:instrText>
      </w:r>
      <w:r>
        <w:fldChar w:fldCharType="separate"/>
      </w:r>
      <w:r>
        <w:t>七、国有资产信息</w:t>
      </w:r>
      <w:r>
        <w:tab/>
      </w:r>
      <w:r>
        <w:rPr>
          <w:rFonts w:hint="eastAsia"/>
          <w:lang w:val="en-US" w:eastAsia="zh-CN"/>
        </w:rPr>
        <w:t>4</w:t>
      </w:r>
      <w:r>
        <w:fldChar w:fldCharType="end"/>
      </w:r>
      <w:r>
        <w:rPr>
          <w:rFonts w:hint="eastAsia"/>
          <w:lang w:val="en-US" w:eastAsia="zh-CN"/>
        </w:rPr>
        <w:t>2</w:t>
      </w:r>
    </w:p>
    <w:p>
      <w:pPr>
        <w:pStyle w:val="5"/>
        <w:tabs>
          <w:tab w:val="right" w:leader="dot" w:pos="14562"/>
        </w:tabs>
        <w:rPr>
          <w:rFonts w:hint="eastAsia" w:eastAsia="方正仿宋_GBK"/>
          <w:lang w:val="en-US" w:eastAsia="zh-CN"/>
        </w:rPr>
      </w:pPr>
      <w:r>
        <w:fldChar w:fldCharType="begin"/>
      </w:r>
      <w:r>
        <w:instrText xml:space="preserve"> HYPERLINK \l "_Toc_3_3_0000000017" </w:instrText>
      </w:r>
      <w:r>
        <w:fldChar w:fldCharType="separate"/>
      </w:r>
      <w:r>
        <w:t>八、名词解释</w:t>
      </w:r>
      <w:r>
        <w:tab/>
      </w:r>
      <w:r>
        <w:rPr>
          <w:rFonts w:hint="eastAsia"/>
          <w:lang w:val="en-US" w:eastAsia="zh-CN"/>
        </w:rPr>
        <w:t>4</w:t>
      </w:r>
      <w:r>
        <w:fldChar w:fldCharType="end"/>
      </w:r>
      <w:r>
        <w:rPr>
          <w:rFonts w:hint="eastAsia"/>
          <w:lang w:val="en-US" w:eastAsia="zh-CN"/>
        </w:rPr>
        <w:t>2</w:t>
      </w:r>
    </w:p>
    <w:p>
      <w:pPr>
        <w:pStyle w:val="5"/>
        <w:tabs>
          <w:tab w:val="right" w:leader="dot" w:pos="14562"/>
        </w:tabs>
        <w:rPr>
          <w:rFonts w:hint="eastAsia" w:eastAsia="方正仿宋_GBK"/>
          <w:lang w:val="en-US" w:eastAsia="zh-CN"/>
        </w:rPr>
      </w:pPr>
      <w:r>
        <w:fldChar w:fldCharType="begin"/>
      </w:r>
      <w:r>
        <w:instrText xml:space="preserve"> HYPERLINK \l "_Toc_3_3_0000000018" </w:instrText>
      </w:r>
      <w:r>
        <w:fldChar w:fldCharType="separate"/>
      </w:r>
      <w:r>
        <w:t>九、其他需要说明的事项</w:t>
      </w:r>
      <w:r>
        <w:tab/>
      </w:r>
      <w:r>
        <w:rPr>
          <w:rFonts w:hint="eastAsia"/>
          <w:lang w:val="en-US" w:eastAsia="zh-CN"/>
        </w:rPr>
        <w:t>4</w:t>
      </w:r>
      <w:r>
        <w:fldChar w:fldCharType="end"/>
      </w:r>
      <w:r>
        <w:rPr>
          <w:rFonts w:hint="eastAsia"/>
          <w:lang w:val="en-US" w:eastAsia="zh-CN"/>
        </w:rPr>
        <w:t>3</w:t>
      </w:r>
    </w:p>
    <w:p>
      <w:r>
        <w:fldChar w:fldCharType="end"/>
      </w:r>
    </w:p>
    <w:p/>
    <w:p/>
    <w:p>
      <w:pPr>
        <w:sectPr>
          <w:footerReference r:id="rId3" w:type="default"/>
          <w:footerReference r:id="rId4" w:type="even"/>
          <w:pgSz w:w="16840" w:h="11900" w:orient="landscape"/>
          <w:pgMar w:top="1587" w:right="1134" w:bottom="1361" w:left="1134" w:header="720" w:footer="720" w:gutter="0"/>
          <w:pgNumType w:start="1"/>
          <w:cols w:space="720" w:num="1"/>
        </w:sectPr>
      </w:pPr>
    </w:p>
    <w:p>
      <w:pPr>
        <w:spacing w:before="0" w:after="0" w:line="240" w:lineRule="auto"/>
        <w:ind w:firstLine="0"/>
        <w:jc w:val="center"/>
        <w:outlineLvl w:val="1"/>
      </w:pPr>
      <w:bookmarkStart w:id="0" w:name="_Toc_2_2_0000000001"/>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预算收支总表</w:t>
      </w:r>
      <w:bookmarkEnd w:id="0"/>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3"/>
            </w:pPr>
            <w:r>
              <w:t>101唐山市开平区人民代表大会常务委员会</w:t>
            </w:r>
          </w:p>
        </w:tc>
        <w:tc>
          <w:tcPr>
            <w:tcW w:w="2126" w:type="dxa"/>
            <w:tcBorders>
              <w:top w:val="single" w:color="FFFFFF" w:sz="6" w:space="0"/>
              <w:left w:val="single" w:color="FFFFFF" w:sz="6" w:space="0"/>
              <w:right w:val="single" w:color="FFFFFF" w:sz="6" w:space="0"/>
            </w:tcBorders>
            <w:vAlign w:val="center"/>
          </w:tcPr>
          <w:p>
            <w:pPr>
              <w:pStyle w:val="12"/>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6661" w:type="dxa"/>
            <w:gridSpan w:val="2"/>
            <w:vAlign w:val="center"/>
          </w:tcPr>
          <w:p>
            <w:pPr>
              <w:pStyle w:val="14"/>
            </w:pPr>
            <w:r>
              <w:t>收入</w:t>
            </w:r>
          </w:p>
        </w:tc>
        <w:tc>
          <w:tcPr>
            <w:tcW w:w="6661" w:type="dxa"/>
            <w:gridSpan w:val="2"/>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4"/>
            </w:pPr>
            <w:r>
              <w:t>项  目</w:t>
            </w:r>
          </w:p>
        </w:tc>
        <w:tc>
          <w:tcPr>
            <w:tcW w:w="2126" w:type="dxa"/>
            <w:vAlign w:val="center"/>
          </w:tcPr>
          <w:p>
            <w:pPr>
              <w:pStyle w:val="14"/>
            </w:pPr>
            <w:r>
              <w:t>预算数</w:t>
            </w:r>
          </w:p>
        </w:tc>
        <w:tc>
          <w:tcPr>
            <w:tcW w:w="4535" w:type="dxa"/>
            <w:vAlign w:val="center"/>
          </w:tcPr>
          <w:p>
            <w:pPr>
              <w:pStyle w:val="14"/>
            </w:pPr>
            <w:r>
              <w:t>项  目</w:t>
            </w:r>
          </w:p>
        </w:tc>
        <w:tc>
          <w:tcPr>
            <w:tcW w:w="2126" w:type="dxa"/>
            <w:vAlign w:val="center"/>
          </w:tcPr>
          <w:p>
            <w:pPr>
              <w:pStyle w:val="14"/>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4535" w:type="dxa"/>
            <w:vAlign w:val="center"/>
          </w:tcPr>
          <w:p>
            <w:pPr>
              <w:pStyle w:val="14"/>
            </w:pPr>
            <w:r>
              <w:t>1</w:t>
            </w:r>
          </w:p>
        </w:tc>
        <w:tc>
          <w:tcPr>
            <w:tcW w:w="2126" w:type="dxa"/>
            <w:vAlign w:val="center"/>
          </w:tcPr>
          <w:p>
            <w:pPr>
              <w:pStyle w:val="14"/>
            </w:pPr>
            <w:r>
              <w:t>2</w:t>
            </w:r>
          </w:p>
        </w:tc>
        <w:tc>
          <w:tcPr>
            <w:tcW w:w="4535" w:type="dxa"/>
            <w:vAlign w:val="center"/>
          </w:tcPr>
          <w:p>
            <w:pPr>
              <w:pStyle w:val="14"/>
            </w:pPr>
            <w:r>
              <w:t>3</w:t>
            </w:r>
          </w:p>
        </w:tc>
        <w:tc>
          <w:tcPr>
            <w:tcW w:w="2126" w:type="dxa"/>
            <w:vAlign w:val="center"/>
          </w:tcPr>
          <w:p>
            <w:pPr>
              <w:pStyle w:val="14"/>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4535" w:type="dxa"/>
            <w:vAlign w:val="center"/>
          </w:tcPr>
          <w:p>
            <w:pPr>
              <w:pStyle w:val="16"/>
            </w:pPr>
            <w:r>
              <w:t>一、一般公共预算拨款收入</w:t>
            </w:r>
          </w:p>
        </w:tc>
        <w:tc>
          <w:tcPr>
            <w:tcW w:w="2126" w:type="dxa"/>
            <w:vAlign w:val="center"/>
          </w:tcPr>
          <w:p>
            <w:pPr>
              <w:pStyle w:val="15"/>
            </w:pPr>
            <w:r>
              <w:t>675.49</w:t>
            </w:r>
          </w:p>
        </w:tc>
        <w:tc>
          <w:tcPr>
            <w:tcW w:w="4535" w:type="dxa"/>
            <w:vAlign w:val="center"/>
          </w:tcPr>
          <w:p>
            <w:pPr>
              <w:pStyle w:val="16"/>
            </w:pPr>
            <w:r>
              <w:t>一、一般公共服务支出</w:t>
            </w:r>
          </w:p>
        </w:tc>
        <w:tc>
          <w:tcPr>
            <w:tcW w:w="2126" w:type="dxa"/>
            <w:vAlign w:val="center"/>
          </w:tcPr>
          <w:p>
            <w:pPr>
              <w:pStyle w:val="15"/>
            </w:pPr>
            <w:r>
              <w:t>539.46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4535" w:type="dxa"/>
            <w:vAlign w:val="center"/>
          </w:tcPr>
          <w:p>
            <w:pPr>
              <w:pStyle w:val="16"/>
            </w:pPr>
            <w:r>
              <w:t>二、政府性基金预算拨款收入</w:t>
            </w:r>
          </w:p>
        </w:tc>
        <w:tc>
          <w:tcPr>
            <w:tcW w:w="2126" w:type="dxa"/>
            <w:vAlign w:val="center"/>
          </w:tcPr>
          <w:p>
            <w:pPr>
              <w:pStyle w:val="15"/>
            </w:pPr>
          </w:p>
        </w:tc>
        <w:tc>
          <w:tcPr>
            <w:tcW w:w="4535" w:type="dxa"/>
            <w:vAlign w:val="center"/>
          </w:tcPr>
          <w:p>
            <w:pPr>
              <w:pStyle w:val="16"/>
            </w:pPr>
            <w:r>
              <w:t>二、外交支出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4535" w:type="dxa"/>
            <w:vAlign w:val="center"/>
          </w:tcPr>
          <w:p>
            <w:pPr>
              <w:pStyle w:val="16"/>
            </w:pPr>
            <w:r>
              <w:t>三、国有资本经营预算拨款收入</w:t>
            </w:r>
          </w:p>
        </w:tc>
        <w:tc>
          <w:tcPr>
            <w:tcW w:w="2126" w:type="dxa"/>
            <w:vAlign w:val="center"/>
          </w:tcPr>
          <w:p>
            <w:pPr>
              <w:pStyle w:val="15"/>
            </w:pPr>
          </w:p>
        </w:tc>
        <w:tc>
          <w:tcPr>
            <w:tcW w:w="4535" w:type="dxa"/>
            <w:vAlign w:val="center"/>
          </w:tcPr>
          <w:p>
            <w:pPr>
              <w:pStyle w:val="16"/>
            </w:pPr>
            <w:r>
              <w:t>三、国防支出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4535" w:type="dxa"/>
            <w:vAlign w:val="center"/>
          </w:tcPr>
          <w:p>
            <w:pPr>
              <w:pStyle w:val="16"/>
            </w:pPr>
            <w:r>
              <w:t>四、财政专户管理资金收入</w:t>
            </w:r>
          </w:p>
        </w:tc>
        <w:tc>
          <w:tcPr>
            <w:tcW w:w="2126" w:type="dxa"/>
            <w:vAlign w:val="center"/>
          </w:tcPr>
          <w:p>
            <w:pPr>
              <w:pStyle w:val="15"/>
            </w:pPr>
          </w:p>
        </w:tc>
        <w:tc>
          <w:tcPr>
            <w:tcW w:w="4535" w:type="dxa"/>
            <w:vAlign w:val="center"/>
          </w:tcPr>
          <w:p>
            <w:pPr>
              <w:pStyle w:val="16"/>
            </w:pPr>
            <w:r>
              <w:t>四、公共安全支出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4535" w:type="dxa"/>
            <w:vAlign w:val="center"/>
          </w:tcPr>
          <w:p>
            <w:pPr>
              <w:pStyle w:val="16"/>
            </w:pPr>
            <w:r>
              <w:t>五、事业收入</w:t>
            </w:r>
          </w:p>
        </w:tc>
        <w:tc>
          <w:tcPr>
            <w:tcW w:w="2126" w:type="dxa"/>
            <w:vAlign w:val="center"/>
          </w:tcPr>
          <w:p>
            <w:pPr>
              <w:pStyle w:val="15"/>
            </w:pPr>
          </w:p>
        </w:tc>
        <w:tc>
          <w:tcPr>
            <w:tcW w:w="4535" w:type="dxa"/>
            <w:vAlign w:val="center"/>
          </w:tcPr>
          <w:p>
            <w:pPr>
              <w:pStyle w:val="16"/>
            </w:pPr>
            <w:r>
              <w:t>五、教育支出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4535" w:type="dxa"/>
            <w:vAlign w:val="center"/>
          </w:tcPr>
          <w:p>
            <w:pPr>
              <w:pStyle w:val="16"/>
            </w:pPr>
            <w:r>
              <w:t>六、事业单位经营收入</w:t>
            </w:r>
          </w:p>
        </w:tc>
        <w:tc>
          <w:tcPr>
            <w:tcW w:w="2126" w:type="dxa"/>
            <w:vAlign w:val="center"/>
          </w:tcPr>
          <w:p>
            <w:pPr>
              <w:pStyle w:val="15"/>
            </w:pPr>
          </w:p>
        </w:tc>
        <w:tc>
          <w:tcPr>
            <w:tcW w:w="4535" w:type="dxa"/>
            <w:vAlign w:val="center"/>
          </w:tcPr>
          <w:p>
            <w:pPr>
              <w:pStyle w:val="16"/>
            </w:pPr>
            <w:r>
              <w:t>六、科学技术支出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4535" w:type="dxa"/>
            <w:vAlign w:val="center"/>
          </w:tcPr>
          <w:p>
            <w:pPr>
              <w:pStyle w:val="16"/>
            </w:pPr>
            <w:r>
              <w:t>七、上级补助收入</w:t>
            </w:r>
          </w:p>
        </w:tc>
        <w:tc>
          <w:tcPr>
            <w:tcW w:w="2126" w:type="dxa"/>
            <w:vAlign w:val="center"/>
          </w:tcPr>
          <w:p>
            <w:pPr>
              <w:pStyle w:val="15"/>
            </w:pPr>
          </w:p>
        </w:tc>
        <w:tc>
          <w:tcPr>
            <w:tcW w:w="4535" w:type="dxa"/>
            <w:vAlign w:val="center"/>
          </w:tcPr>
          <w:p>
            <w:pPr>
              <w:pStyle w:val="16"/>
            </w:pPr>
            <w:r>
              <w:t>七、文化旅游体育与传媒支出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4535" w:type="dxa"/>
            <w:vAlign w:val="center"/>
          </w:tcPr>
          <w:p>
            <w:pPr>
              <w:pStyle w:val="16"/>
            </w:pPr>
            <w:r>
              <w:t>八、附属单位上缴收入</w:t>
            </w:r>
          </w:p>
        </w:tc>
        <w:tc>
          <w:tcPr>
            <w:tcW w:w="2126" w:type="dxa"/>
            <w:vAlign w:val="center"/>
          </w:tcPr>
          <w:p>
            <w:pPr>
              <w:pStyle w:val="15"/>
            </w:pPr>
          </w:p>
        </w:tc>
        <w:tc>
          <w:tcPr>
            <w:tcW w:w="4535" w:type="dxa"/>
            <w:vAlign w:val="center"/>
          </w:tcPr>
          <w:p>
            <w:pPr>
              <w:pStyle w:val="16"/>
            </w:pPr>
            <w:r>
              <w:t>八、社会保障和就业支出</w:t>
            </w:r>
          </w:p>
        </w:tc>
        <w:tc>
          <w:tcPr>
            <w:tcW w:w="2126" w:type="dxa"/>
            <w:vAlign w:val="center"/>
          </w:tcPr>
          <w:p>
            <w:pPr>
              <w:pStyle w:val="15"/>
            </w:pPr>
            <w:r>
              <w:t>51.05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4535" w:type="dxa"/>
            <w:vAlign w:val="center"/>
          </w:tcPr>
          <w:p>
            <w:pPr>
              <w:pStyle w:val="16"/>
            </w:pPr>
            <w:r>
              <w:t>九、其他收入</w:t>
            </w:r>
          </w:p>
        </w:tc>
        <w:tc>
          <w:tcPr>
            <w:tcW w:w="2126" w:type="dxa"/>
            <w:vAlign w:val="center"/>
          </w:tcPr>
          <w:p>
            <w:pPr>
              <w:pStyle w:val="15"/>
            </w:pPr>
          </w:p>
        </w:tc>
        <w:tc>
          <w:tcPr>
            <w:tcW w:w="4535" w:type="dxa"/>
            <w:vAlign w:val="center"/>
          </w:tcPr>
          <w:p>
            <w:pPr>
              <w:pStyle w:val="16"/>
            </w:pPr>
            <w:r>
              <w:t>九、社会保险基金支出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十、卫生健康支出</w:t>
            </w:r>
          </w:p>
        </w:tc>
        <w:tc>
          <w:tcPr>
            <w:tcW w:w="2126" w:type="dxa"/>
            <w:vAlign w:val="center"/>
          </w:tcPr>
          <w:p>
            <w:pPr>
              <w:pStyle w:val="15"/>
            </w:pPr>
            <w:r>
              <w:t>55.13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十一、节能环保支出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十二、城乡社区支出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十三、农林水支出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十四、交通运输支出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十五、资源勘探工业信息等支出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十六、商业服务业等支出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十七、金融支出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十八、援助其他地区支出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十九、自然资源海洋气象等支出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二十、住房保障支出</w:t>
            </w:r>
          </w:p>
        </w:tc>
        <w:tc>
          <w:tcPr>
            <w:tcW w:w="2126" w:type="dxa"/>
            <w:vAlign w:val="center"/>
          </w:tcPr>
          <w:p>
            <w:pPr>
              <w:pStyle w:val="15"/>
            </w:pPr>
            <w:r>
              <w:t>29.86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二十一、粮油物资储备支出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二十二、国有资本经营预算支出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二十三、灾害防治及应急管理支出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二十四、预备费</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二十五、其他支出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二十六、转移性支出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二十七、债务还本支出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二十八、债务付息支出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二十九、债务发行费用支出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三十、抗疫特别国债安排的支出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三十一、人行科目</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4535" w:type="dxa"/>
            <w:vAlign w:val="center"/>
          </w:tcPr>
          <w:p>
            <w:pPr>
              <w:pStyle w:val="18"/>
            </w:pPr>
            <w:r>
              <w:t>本年收入合计</w:t>
            </w:r>
          </w:p>
        </w:tc>
        <w:tc>
          <w:tcPr>
            <w:tcW w:w="2126" w:type="dxa"/>
            <w:vAlign w:val="center"/>
          </w:tcPr>
          <w:p>
            <w:pPr>
              <w:pStyle w:val="19"/>
            </w:pPr>
            <w:r>
              <w:t>675.49</w:t>
            </w:r>
          </w:p>
        </w:tc>
        <w:tc>
          <w:tcPr>
            <w:tcW w:w="4535" w:type="dxa"/>
            <w:vAlign w:val="center"/>
          </w:tcPr>
          <w:p>
            <w:pPr>
              <w:pStyle w:val="18"/>
            </w:pPr>
            <w:r>
              <w:t>本年支出合计</w:t>
            </w:r>
          </w:p>
        </w:tc>
        <w:tc>
          <w:tcPr>
            <w:tcW w:w="2126" w:type="dxa"/>
            <w:vAlign w:val="center"/>
          </w:tcPr>
          <w:p>
            <w:pPr>
              <w:pStyle w:val="19"/>
            </w:pPr>
            <w:r>
              <w:t>675.49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4535" w:type="dxa"/>
            <w:vAlign w:val="center"/>
          </w:tcPr>
          <w:p>
            <w:pPr>
              <w:pStyle w:val="16"/>
            </w:pPr>
            <w:r>
              <w:t>上年结转结余</w:t>
            </w:r>
          </w:p>
        </w:tc>
        <w:tc>
          <w:tcPr>
            <w:tcW w:w="2126" w:type="dxa"/>
            <w:vAlign w:val="center"/>
          </w:tcPr>
          <w:p>
            <w:pPr>
              <w:pStyle w:val="15"/>
            </w:pPr>
          </w:p>
        </w:tc>
        <w:tc>
          <w:tcPr>
            <w:tcW w:w="4535" w:type="dxa"/>
            <w:vAlign w:val="center"/>
          </w:tcPr>
          <w:p>
            <w:pPr>
              <w:pStyle w:val="16"/>
            </w:pPr>
            <w:r>
              <w:t>年终结转结余</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4535" w:type="dxa"/>
            <w:vAlign w:val="center"/>
          </w:tcPr>
          <w:p>
            <w:pPr>
              <w:pStyle w:val="18"/>
            </w:pPr>
            <w:r>
              <w:t>收入总计</w:t>
            </w:r>
          </w:p>
        </w:tc>
        <w:tc>
          <w:tcPr>
            <w:tcW w:w="2126" w:type="dxa"/>
            <w:vAlign w:val="center"/>
          </w:tcPr>
          <w:p>
            <w:pPr>
              <w:pStyle w:val="19"/>
            </w:pPr>
            <w:r>
              <w:t>675.49</w:t>
            </w:r>
          </w:p>
        </w:tc>
        <w:tc>
          <w:tcPr>
            <w:tcW w:w="4535" w:type="dxa"/>
            <w:vAlign w:val="center"/>
          </w:tcPr>
          <w:p>
            <w:pPr>
              <w:pStyle w:val="18"/>
            </w:pPr>
            <w:r>
              <w:t>支出总计</w:t>
            </w:r>
          </w:p>
        </w:tc>
        <w:tc>
          <w:tcPr>
            <w:tcW w:w="2126" w:type="dxa"/>
            <w:vAlign w:val="center"/>
          </w:tcPr>
          <w:p>
            <w:pPr>
              <w:pStyle w:val="19"/>
            </w:pPr>
            <w:r>
              <w:t>675.49</w:t>
            </w:r>
          </w:p>
        </w:tc>
      </w:tr>
    </w:tbl>
    <w:p>
      <w:pPr>
        <w:sectPr>
          <w:footerReference r:id="rId5" w:type="default"/>
          <w:footerReference r:id="rId6" w:type="even"/>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1" w:name="_Toc_2_2_0000000002"/>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预算收入总表</w:t>
      </w:r>
      <w:bookmarkEnd w:id="1"/>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3"/>
            </w:pPr>
            <w:r>
              <w:t>101唐山市开平区人民代表大会常务委员会</w:t>
            </w:r>
          </w:p>
        </w:tc>
        <w:tc>
          <w:tcPr>
            <w:tcW w:w="3402" w:type="dxa"/>
            <w:gridSpan w:val="3"/>
            <w:tcBorders>
              <w:top w:val="single" w:color="FFFFFF" w:sz="6" w:space="0"/>
              <w:left w:val="single" w:color="FFFFFF" w:sz="6" w:space="0"/>
              <w:right w:val="single" w:color="FFFFFF" w:sz="6" w:space="0"/>
            </w:tcBorders>
            <w:vAlign w:val="center"/>
          </w:tcPr>
          <w:p>
            <w:pPr>
              <w:pStyle w:val="12"/>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4"/>
            </w:pPr>
            <w:r>
              <w:t>序号</w:t>
            </w:r>
          </w:p>
        </w:tc>
        <w:tc>
          <w:tcPr>
            <w:tcW w:w="2551" w:type="dxa"/>
            <w:gridSpan w:val="2"/>
            <w:vAlign w:val="center"/>
          </w:tcPr>
          <w:p>
            <w:pPr>
              <w:pStyle w:val="14"/>
            </w:pPr>
            <w:r>
              <w:t>功能分类科目</w:t>
            </w:r>
          </w:p>
        </w:tc>
        <w:tc>
          <w:tcPr>
            <w:tcW w:w="1134" w:type="dxa"/>
            <w:vMerge w:val="restart"/>
            <w:vAlign w:val="center"/>
          </w:tcPr>
          <w:p>
            <w:pPr>
              <w:pStyle w:val="14"/>
            </w:pPr>
            <w:r>
              <w:t>合计</w:t>
            </w:r>
          </w:p>
        </w:tc>
        <w:tc>
          <w:tcPr>
            <w:tcW w:w="9071" w:type="dxa"/>
            <w:gridSpan w:val="8"/>
            <w:vAlign w:val="center"/>
          </w:tcPr>
          <w:p>
            <w:pPr>
              <w:pStyle w:val="14"/>
            </w:pPr>
            <w:r>
              <w:t>本年收入</w:t>
            </w:r>
          </w:p>
        </w:tc>
        <w:tc>
          <w:tcPr>
            <w:tcW w:w="1134" w:type="dxa"/>
            <w:vMerge w:val="restart"/>
            <w:vAlign w:val="center"/>
          </w:tcPr>
          <w:p>
            <w:pPr>
              <w:pStyle w:val="14"/>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4"/>
            </w:pPr>
            <w:r>
              <w:t>科目    编码</w:t>
            </w:r>
          </w:p>
        </w:tc>
        <w:tc>
          <w:tcPr>
            <w:tcW w:w="1559" w:type="dxa"/>
            <w:vAlign w:val="center"/>
          </w:tcPr>
          <w:p>
            <w:pPr>
              <w:pStyle w:val="14"/>
            </w:pPr>
            <w:r>
              <w:t>科目名称</w:t>
            </w:r>
          </w:p>
        </w:tc>
        <w:tc>
          <w:tcPr>
            <w:tcW w:w="1134" w:type="dxa"/>
            <w:vMerge w:val="continue"/>
          </w:tcPr>
          <w:p/>
        </w:tc>
        <w:tc>
          <w:tcPr>
            <w:tcW w:w="1134" w:type="dxa"/>
            <w:vAlign w:val="center"/>
          </w:tcPr>
          <w:p>
            <w:pPr>
              <w:pStyle w:val="14"/>
            </w:pPr>
            <w:r>
              <w:t>小计</w:t>
            </w:r>
          </w:p>
        </w:tc>
        <w:tc>
          <w:tcPr>
            <w:tcW w:w="1134" w:type="dxa"/>
            <w:vAlign w:val="center"/>
          </w:tcPr>
          <w:p>
            <w:pPr>
              <w:pStyle w:val="14"/>
            </w:pPr>
            <w:r>
              <w:t>财政拨款 收入</w:t>
            </w:r>
          </w:p>
        </w:tc>
        <w:tc>
          <w:tcPr>
            <w:tcW w:w="1134" w:type="dxa"/>
            <w:vAlign w:val="center"/>
          </w:tcPr>
          <w:p>
            <w:pPr>
              <w:pStyle w:val="14"/>
            </w:pPr>
            <w:r>
              <w:t>财政专户 收入</w:t>
            </w:r>
          </w:p>
        </w:tc>
        <w:tc>
          <w:tcPr>
            <w:tcW w:w="1134" w:type="dxa"/>
            <w:vAlign w:val="center"/>
          </w:tcPr>
          <w:p>
            <w:pPr>
              <w:pStyle w:val="14"/>
            </w:pPr>
            <w:r>
              <w:t>事业收入</w:t>
            </w:r>
          </w:p>
        </w:tc>
        <w:tc>
          <w:tcPr>
            <w:tcW w:w="1134" w:type="dxa"/>
            <w:vAlign w:val="center"/>
          </w:tcPr>
          <w:p>
            <w:pPr>
              <w:pStyle w:val="14"/>
            </w:pPr>
            <w:r>
              <w:t>经营收入</w:t>
            </w:r>
          </w:p>
        </w:tc>
        <w:tc>
          <w:tcPr>
            <w:tcW w:w="1134" w:type="dxa"/>
            <w:vAlign w:val="center"/>
          </w:tcPr>
          <w:p>
            <w:pPr>
              <w:pStyle w:val="14"/>
            </w:pPr>
            <w:r>
              <w:t>上级补助收入</w:t>
            </w:r>
          </w:p>
        </w:tc>
        <w:tc>
          <w:tcPr>
            <w:tcW w:w="1134" w:type="dxa"/>
            <w:vAlign w:val="center"/>
          </w:tcPr>
          <w:p>
            <w:pPr>
              <w:pStyle w:val="14"/>
            </w:pPr>
            <w:r>
              <w:t>附属单位上缴收入</w:t>
            </w:r>
          </w:p>
        </w:tc>
        <w:tc>
          <w:tcPr>
            <w:tcW w:w="1134" w:type="dxa"/>
            <w:vAlign w:val="center"/>
          </w:tcPr>
          <w:p>
            <w:pPr>
              <w:pStyle w:val="14"/>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4"/>
            </w:pPr>
            <w:r>
              <w:t>栏次</w:t>
            </w:r>
          </w:p>
        </w:tc>
        <w:tc>
          <w:tcPr>
            <w:tcW w:w="992" w:type="dxa"/>
            <w:vAlign w:val="center"/>
          </w:tcPr>
          <w:p>
            <w:pPr>
              <w:pStyle w:val="14"/>
            </w:pPr>
            <w:r>
              <w:t>1</w:t>
            </w:r>
          </w:p>
        </w:tc>
        <w:tc>
          <w:tcPr>
            <w:tcW w:w="1559" w:type="dxa"/>
            <w:vAlign w:val="center"/>
          </w:tcPr>
          <w:p>
            <w:pPr>
              <w:pStyle w:val="14"/>
            </w:pPr>
            <w:r>
              <w:t>2</w:t>
            </w:r>
          </w:p>
        </w:tc>
        <w:tc>
          <w:tcPr>
            <w:tcW w:w="1134" w:type="dxa"/>
            <w:vAlign w:val="center"/>
          </w:tcPr>
          <w:p>
            <w:pPr>
              <w:pStyle w:val="14"/>
            </w:pPr>
            <w:r>
              <w:t>3</w:t>
            </w:r>
          </w:p>
        </w:tc>
        <w:tc>
          <w:tcPr>
            <w:tcW w:w="1134" w:type="dxa"/>
            <w:vAlign w:val="center"/>
          </w:tcPr>
          <w:p>
            <w:pPr>
              <w:pStyle w:val="14"/>
            </w:pPr>
            <w:r>
              <w:t>4</w:t>
            </w:r>
          </w:p>
        </w:tc>
        <w:tc>
          <w:tcPr>
            <w:tcW w:w="1134" w:type="dxa"/>
            <w:vAlign w:val="center"/>
          </w:tcPr>
          <w:p>
            <w:pPr>
              <w:pStyle w:val="14"/>
            </w:pPr>
            <w:r>
              <w:t>5</w:t>
            </w:r>
          </w:p>
        </w:tc>
        <w:tc>
          <w:tcPr>
            <w:tcW w:w="1134" w:type="dxa"/>
            <w:vAlign w:val="center"/>
          </w:tcPr>
          <w:p>
            <w:pPr>
              <w:pStyle w:val="14"/>
            </w:pPr>
            <w:r>
              <w:t>6</w:t>
            </w:r>
          </w:p>
        </w:tc>
        <w:tc>
          <w:tcPr>
            <w:tcW w:w="1134" w:type="dxa"/>
            <w:vAlign w:val="center"/>
          </w:tcPr>
          <w:p>
            <w:pPr>
              <w:pStyle w:val="14"/>
            </w:pPr>
            <w:r>
              <w:t>7</w:t>
            </w:r>
          </w:p>
        </w:tc>
        <w:tc>
          <w:tcPr>
            <w:tcW w:w="1134" w:type="dxa"/>
            <w:vAlign w:val="center"/>
          </w:tcPr>
          <w:p>
            <w:pPr>
              <w:pStyle w:val="14"/>
            </w:pPr>
            <w:r>
              <w:t>8</w:t>
            </w:r>
          </w:p>
        </w:tc>
        <w:tc>
          <w:tcPr>
            <w:tcW w:w="1134" w:type="dxa"/>
            <w:vAlign w:val="center"/>
          </w:tcPr>
          <w:p>
            <w:pPr>
              <w:pStyle w:val="14"/>
            </w:pPr>
            <w:r>
              <w:t>9</w:t>
            </w:r>
          </w:p>
        </w:tc>
        <w:tc>
          <w:tcPr>
            <w:tcW w:w="1134" w:type="dxa"/>
            <w:vAlign w:val="center"/>
          </w:tcPr>
          <w:p>
            <w:pPr>
              <w:pStyle w:val="14"/>
            </w:pPr>
            <w:r>
              <w:t>10</w:t>
            </w:r>
          </w:p>
        </w:tc>
        <w:tc>
          <w:tcPr>
            <w:tcW w:w="1134" w:type="dxa"/>
            <w:vAlign w:val="center"/>
          </w:tcPr>
          <w:p>
            <w:pPr>
              <w:pStyle w:val="14"/>
            </w:pPr>
            <w:r>
              <w:t>11</w:t>
            </w:r>
          </w:p>
        </w:tc>
        <w:tc>
          <w:tcPr>
            <w:tcW w:w="1134" w:type="dxa"/>
            <w:vAlign w:val="center"/>
          </w:tcPr>
          <w:p>
            <w:pPr>
              <w:pStyle w:val="14"/>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w:t>
            </w:r>
          </w:p>
        </w:tc>
        <w:tc>
          <w:tcPr>
            <w:tcW w:w="992" w:type="dxa"/>
            <w:vAlign w:val="center"/>
          </w:tcPr>
          <w:p>
            <w:pPr>
              <w:pStyle w:val="20"/>
            </w:pPr>
          </w:p>
        </w:tc>
        <w:tc>
          <w:tcPr>
            <w:tcW w:w="1559" w:type="dxa"/>
            <w:vAlign w:val="center"/>
          </w:tcPr>
          <w:p>
            <w:pPr>
              <w:pStyle w:val="18"/>
            </w:pPr>
            <w:r>
              <w:t>合计</w:t>
            </w:r>
          </w:p>
        </w:tc>
        <w:tc>
          <w:tcPr>
            <w:tcW w:w="1134" w:type="dxa"/>
            <w:vAlign w:val="center"/>
          </w:tcPr>
          <w:p>
            <w:pPr>
              <w:pStyle w:val="19"/>
            </w:pPr>
            <w:r>
              <w:t>675.49</w:t>
            </w:r>
          </w:p>
        </w:tc>
        <w:tc>
          <w:tcPr>
            <w:tcW w:w="1134" w:type="dxa"/>
            <w:vAlign w:val="center"/>
          </w:tcPr>
          <w:p>
            <w:pPr>
              <w:pStyle w:val="19"/>
            </w:pPr>
            <w:r>
              <w:t>675.49</w:t>
            </w:r>
          </w:p>
        </w:tc>
        <w:tc>
          <w:tcPr>
            <w:tcW w:w="1134" w:type="dxa"/>
            <w:vAlign w:val="center"/>
          </w:tcPr>
          <w:p>
            <w:pPr>
              <w:pStyle w:val="19"/>
            </w:pPr>
            <w:r>
              <w:t>675.49</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w:t>
            </w:r>
          </w:p>
        </w:tc>
        <w:tc>
          <w:tcPr>
            <w:tcW w:w="992" w:type="dxa"/>
            <w:vAlign w:val="center"/>
          </w:tcPr>
          <w:p>
            <w:pPr>
              <w:pStyle w:val="16"/>
            </w:pPr>
            <w:r>
              <w:t>201</w:t>
            </w:r>
          </w:p>
        </w:tc>
        <w:tc>
          <w:tcPr>
            <w:tcW w:w="1559" w:type="dxa"/>
            <w:vAlign w:val="center"/>
          </w:tcPr>
          <w:p>
            <w:pPr>
              <w:pStyle w:val="16"/>
            </w:pPr>
            <w:r>
              <w:t>一般公共服务支出</w:t>
            </w:r>
          </w:p>
        </w:tc>
        <w:tc>
          <w:tcPr>
            <w:tcW w:w="1134" w:type="dxa"/>
            <w:vAlign w:val="center"/>
          </w:tcPr>
          <w:p>
            <w:pPr>
              <w:pStyle w:val="15"/>
            </w:pPr>
            <w:r>
              <w:t>539.46</w:t>
            </w:r>
          </w:p>
        </w:tc>
        <w:tc>
          <w:tcPr>
            <w:tcW w:w="1134" w:type="dxa"/>
            <w:vAlign w:val="center"/>
          </w:tcPr>
          <w:p>
            <w:pPr>
              <w:pStyle w:val="15"/>
            </w:pPr>
            <w:r>
              <w:t>539.46</w:t>
            </w:r>
          </w:p>
        </w:tc>
        <w:tc>
          <w:tcPr>
            <w:tcW w:w="1134" w:type="dxa"/>
            <w:vAlign w:val="center"/>
          </w:tcPr>
          <w:p>
            <w:pPr>
              <w:pStyle w:val="15"/>
            </w:pPr>
            <w:r>
              <w:t>539.46</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3</w:t>
            </w:r>
          </w:p>
        </w:tc>
        <w:tc>
          <w:tcPr>
            <w:tcW w:w="992" w:type="dxa"/>
            <w:vAlign w:val="center"/>
          </w:tcPr>
          <w:p>
            <w:pPr>
              <w:pStyle w:val="16"/>
            </w:pPr>
            <w:r>
              <w:t>20101</w:t>
            </w:r>
          </w:p>
        </w:tc>
        <w:tc>
          <w:tcPr>
            <w:tcW w:w="1559" w:type="dxa"/>
            <w:vAlign w:val="center"/>
          </w:tcPr>
          <w:p>
            <w:pPr>
              <w:pStyle w:val="16"/>
            </w:pPr>
            <w:r>
              <w:t>人大事务</w:t>
            </w:r>
          </w:p>
        </w:tc>
        <w:tc>
          <w:tcPr>
            <w:tcW w:w="1134" w:type="dxa"/>
            <w:vAlign w:val="center"/>
          </w:tcPr>
          <w:p>
            <w:pPr>
              <w:pStyle w:val="15"/>
            </w:pPr>
            <w:r>
              <w:t>539.46</w:t>
            </w:r>
          </w:p>
        </w:tc>
        <w:tc>
          <w:tcPr>
            <w:tcW w:w="1134" w:type="dxa"/>
            <w:vAlign w:val="center"/>
          </w:tcPr>
          <w:p>
            <w:pPr>
              <w:pStyle w:val="15"/>
            </w:pPr>
            <w:r>
              <w:t>539.46</w:t>
            </w:r>
          </w:p>
        </w:tc>
        <w:tc>
          <w:tcPr>
            <w:tcW w:w="1134" w:type="dxa"/>
            <w:vAlign w:val="center"/>
          </w:tcPr>
          <w:p>
            <w:pPr>
              <w:pStyle w:val="15"/>
            </w:pPr>
            <w:r>
              <w:t>539.46</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4</w:t>
            </w:r>
          </w:p>
        </w:tc>
        <w:tc>
          <w:tcPr>
            <w:tcW w:w="992" w:type="dxa"/>
            <w:vAlign w:val="center"/>
          </w:tcPr>
          <w:p>
            <w:pPr>
              <w:pStyle w:val="16"/>
            </w:pPr>
            <w:r>
              <w:t>2010101</w:t>
            </w:r>
          </w:p>
        </w:tc>
        <w:tc>
          <w:tcPr>
            <w:tcW w:w="1559" w:type="dxa"/>
            <w:vAlign w:val="center"/>
          </w:tcPr>
          <w:p>
            <w:pPr>
              <w:pStyle w:val="16"/>
            </w:pPr>
            <w:r>
              <w:t>行政运行</w:t>
            </w:r>
          </w:p>
        </w:tc>
        <w:tc>
          <w:tcPr>
            <w:tcW w:w="1134" w:type="dxa"/>
            <w:vAlign w:val="center"/>
          </w:tcPr>
          <w:p>
            <w:pPr>
              <w:pStyle w:val="15"/>
            </w:pPr>
            <w:r>
              <w:t>539.46</w:t>
            </w:r>
          </w:p>
        </w:tc>
        <w:tc>
          <w:tcPr>
            <w:tcW w:w="1134" w:type="dxa"/>
            <w:vAlign w:val="center"/>
          </w:tcPr>
          <w:p>
            <w:pPr>
              <w:pStyle w:val="15"/>
            </w:pPr>
            <w:r>
              <w:t>539.46</w:t>
            </w:r>
          </w:p>
        </w:tc>
        <w:tc>
          <w:tcPr>
            <w:tcW w:w="1134" w:type="dxa"/>
            <w:vAlign w:val="center"/>
          </w:tcPr>
          <w:p>
            <w:pPr>
              <w:pStyle w:val="15"/>
            </w:pPr>
            <w:r>
              <w:t>539.46</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5</w:t>
            </w:r>
          </w:p>
        </w:tc>
        <w:tc>
          <w:tcPr>
            <w:tcW w:w="992" w:type="dxa"/>
            <w:vAlign w:val="center"/>
          </w:tcPr>
          <w:p>
            <w:pPr>
              <w:pStyle w:val="16"/>
            </w:pPr>
            <w:r>
              <w:t>208</w:t>
            </w:r>
          </w:p>
        </w:tc>
        <w:tc>
          <w:tcPr>
            <w:tcW w:w="1559" w:type="dxa"/>
            <w:vAlign w:val="center"/>
          </w:tcPr>
          <w:p>
            <w:pPr>
              <w:pStyle w:val="16"/>
            </w:pPr>
            <w:r>
              <w:t>社会保障和就业支出</w:t>
            </w:r>
          </w:p>
        </w:tc>
        <w:tc>
          <w:tcPr>
            <w:tcW w:w="1134" w:type="dxa"/>
            <w:vAlign w:val="center"/>
          </w:tcPr>
          <w:p>
            <w:pPr>
              <w:pStyle w:val="15"/>
            </w:pPr>
            <w:r>
              <w:t>51.05</w:t>
            </w:r>
          </w:p>
        </w:tc>
        <w:tc>
          <w:tcPr>
            <w:tcW w:w="1134" w:type="dxa"/>
            <w:vAlign w:val="center"/>
          </w:tcPr>
          <w:p>
            <w:pPr>
              <w:pStyle w:val="15"/>
            </w:pPr>
            <w:r>
              <w:t>51.05</w:t>
            </w:r>
          </w:p>
        </w:tc>
        <w:tc>
          <w:tcPr>
            <w:tcW w:w="1134" w:type="dxa"/>
            <w:vAlign w:val="center"/>
          </w:tcPr>
          <w:p>
            <w:pPr>
              <w:pStyle w:val="15"/>
            </w:pPr>
            <w:r>
              <w:t>51.05</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6</w:t>
            </w:r>
          </w:p>
        </w:tc>
        <w:tc>
          <w:tcPr>
            <w:tcW w:w="992" w:type="dxa"/>
            <w:vAlign w:val="center"/>
          </w:tcPr>
          <w:p>
            <w:pPr>
              <w:pStyle w:val="16"/>
            </w:pPr>
            <w:r>
              <w:t>20805</w:t>
            </w:r>
          </w:p>
        </w:tc>
        <w:tc>
          <w:tcPr>
            <w:tcW w:w="1559" w:type="dxa"/>
            <w:vAlign w:val="center"/>
          </w:tcPr>
          <w:p>
            <w:pPr>
              <w:pStyle w:val="16"/>
            </w:pPr>
            <w:r>
              <w:t>行政事业单位养老支出</w:t>
            </w:r>
          </w:p>
        </w:tc>
        <w:tc>
          <w:tcPr>
            <w:tcW w:w="1134" w:type="dxa"/>
            <w:vAlign w:val="center"/>
          </w:tcPr>
          <w:p>
            <w:pPr>
              <w:pStyle w:val="15"/>
            </w:pPr>
            <w:r>
              <w:t>51.05</w:t>
            </w:r>
          </w:p>
        </w:tc>
        <w:tc>
          <w:tcPr>
            <w:tcW w:w="1134" w:type="dxa"/>
            <w:vAlign w:val="center"/>
          </w:tcPr>
          <w:p>
            <w:pPr>
              <w:pStyle w:val="15"/>
            </w:pPr>
            <w:r>
              <w:t>51.05</w:t>
            </w:r>
          </w:p>
        </w:tc>
        <w:tc>
          <w:tcPr>
            <w:tcW w:w="1134" w:type="dxa"/>
            <w:vAlign w:val="center"/>
          </w:tcPr>
          <w:p>
            <w:pPr>
              <w:pStyle w:val="15"/>
            </w:pPr>
            <w:r>
              <w:t>51.05</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7</w:t>
            </w:r>
          </w:p>
        </w:tc>
        <w:tc>
          <w:tcPr>
            <w:tcW w:w="992" w:type="dxa"/>
            <w:vAlign w:val="center"/>
          </w:tcPr>
          <w:p>
            <w:pPr>
              <w:pStyle w:val="16"/>
            </w:pPr>
            <w:r>
              <w:t>2080501</w:t>
            </w:r>
          </w:p>
        </w:tc>
        <w:tc>
          <w:tcPr>
            <w:tcW w:w="1559" w:type="dxa"/>
            <w:vAlign w:val="center"/>
          </w:tcPr>
          <w:p>
            <w:pPr>
              <w:pStyle w:val="16"/>
            </w:pPr>
            <w:r>
              <w:t>行政单位离退休</w:t>
            </w:r>
          </w:p>
        </w:tc>
        <w:tc>
          <w:tcPr>
            <w:tcW w:w="1134" w:type="dxa"/>
            <w:vAlign w:val="center"/>
          </w:tcPr>
          <w:p>
            <w:pPr>
              <w:pStyle w:val="15"/>
            </w:pPr>
            <w:r>
              <w:t>51.05</w:t>
            </w:r>
          </w:p>
        </w:tc>
        <w:tc>
          <w:tcPr>
            <w:tcW w:w="1134" w:type="dxa"/>
            <w:vAlign w:val="center"/>
          </w:tcPr>
          <w:p>
            <w:pPr>
              <w:pStyle w:val="15"/>
            </w:pPr>
            <w:r>
              <w:t>51.05</w:t>
            </w:r>
          </w:p>
        </w:tc>
        <w:tc>
          <w:tcPr>
            <w:tcW w:w="1134" w:type="dxa"/>
            <w:vAlign w:val="center"/>
          </w:tcPr>
          <w:p>
            <w:pPr>
              <w:pStyle w:val="15"/>
            </w:pPr>
            <w:r>
              <w:t>51.05</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8</w:t>
            </w:r>
          </w:p>
        </w:tc>
        <w:tc>
          <w:tcPr>
            <w:tcW w:w="992" w:type="dxa"/>
            <w:vAlign w:val="center"/>
          </w:tcPr>
          <w:p>
            <w:pPr>
              <w:pStyle w:val="16"/>
            </w:pPr>
            <w:r>
              <w:t>210</w:t>
            </w:r>
          </w:p>
        </w:tc>
        <w:tc>
          <w:tcPr>
            <w:tcW w:w="1559" w:type="dxa"/>
            <w:vAlign w:val="center"/>
          </w:tcPr>
          <w:p>
            <w:pPr>
              <w:pStyle w:val="16"/>
            </w:pPr>
            <w:r>
              <w:t>卫生健康支出</w:t>
            </w:r>
          </w:p>
        </w:tc>
        <w:tc>
          <w:tcPr>
            <w:tcW w:w="1134" w:type="dxa"/>
            <w:vAlign w:val="center"/>
          </w:tcPr>
          <w:p>
            <w:pPr>
              <w:pStyle w:val="15"/>
            </w:pPr>
            <w:r>
              <w:t>55.13</w:t>
            </w:r>
          </w:p>
        </w:tc>
        <w:tc>
          <w:tcPr>
            <w:tcW w:w="1134" w:type="dxa"/>
            <w:vAlign w:val="center"/>
          </w:tcPr>
          <w:p>
            <w:pPr>
              <w:pStyle w:val="15"/>
            </w:pPr>
            <w:r>
              <w:t>55.13</w:t>
            </w:r>
          </w:p>
        </w:tc>
        <w:tc>
          <w:tcPr>
            <w:tcW w:w="1134" w:type="dxa"/>
            <w:vAlign w:val="center"/>
          </w:tcPr>
          <w:p>
            <w:pPr>
              <w:pStyle w:val="15"/>
            </w:pPr>
            <w:r>
              <w:t>55.13</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9</w:t>
            </w:r>
          </w:p>
        </w:tc>
        <w:tc>
          <w:tcPr>
            <w:tcW w:w="992" w:type="dxa"/>
            <w:vAlign w:val="center"/>
          </w:tcPr>
          <w:p>
            <w:pPr>
              <w:pStyle w:val="16"/>
            </w:pPr>
            <w:r>
              <w:t>21011</w:t>
            </w:r>
          </w:p>
        </w:tc>
        <w:tc>
          <w:tcPr>
            <w:tcW w:w="1559" w:type="dxa"/>
            <w:vAlign w:val="center"/>
          </w:tcPr>
          <w:p>
            <w:pPr>
              <w:pStyle w:val="16"/>
            </w:pPr>
            <w:r>
              <w:t>行政事业单位医疗</w:t>
            </w:r>
          </w:p>
        </w:tc>
        <w:tc>
          <w:tcPr>
            <w:tcW w:w="1134" w:type="dxa"/>
            <w:vAlign w:val="center"/>
          </w:tcPr>
          <w:p>
            <w:pPr>
              <w:pStyle w:val="15"/>
            </w:pPr>
            <w:r>
              <w:t>55.13</w:t>
            </w:r>
          </w:p>
        </w:tc>
        <w:tc>
          <w:tcPr>
            <w:tcW w:w="1134" w:type="dxa"/>
            <w:vAlign w:val="center"/>
          </w:tcPr>
          <w:p>
            <w:pPr>
              <w:pStyle w:val="15"/>
            </w:pPr>
            <w:r>
              <w:t>55.13</w:t>
            </w:r>
          </w:p>
        </w:tc>
        <w:tc>
          <w:tcPr>
            <w:tcW w:w="1134" w:type="dxa"/>
            <w:vAlign w:val="center"/>
          </w:tcPr>
          <w:p>
            <w:pPr>
              <w:pStyle w:val="15"/>
            </w:pPr>
            <w:r>
              <w:t>55.13</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10</w:t>
            </w:r>
          </w:p>
        </w:tc>
        <w:tc>
          <w:tcPr>
            <w:tcW w:w="992" w:type="dxa"/>
            <w:vAlign w:val="center"/>
          </w:tcPr>
          <w:p>
            <w:pPr>
              <w:pStyle w:val="16"/>
            </w:pPr>
            <w:r>
              <w:t>2101101</w:t>
            </w:r>
          </w:p>
        </w:tc>
        <w:tc>
          <w:tcPr>
            <w:tcW w:w="1559" w:type="dxa"/>
            <w:vAlign w:val="center"/>
          </w:tcPr>
          <w:p>
            <w:pPr>
              <w:pStyle w:val="16"/>
            </w:pPr>
            <w:r>
              <w:t>行政单位医疗</w:t>
            </w:r>
          </w:p>
        </w:tc>
        <w:tc>
          <w:tcPr>
            <w:tcW w:w="1134" w:type="dxa"/>
            <w:vAlign w:val="center"/>
          </w:tcPr>
          <w:p>
            <w:pPr>
              <w:pStyle w:val="15"/>
            </w:pPr>
            <w:r>
              <w:t>55.13</w:t>
            </w:r>
          </w:p>
        </w:tc>
        <w:tc>
          <w:tcPr>
            <w:tcW w:w="1134" w:type="dxa"/>
            <w:vAlign w:val="center"/>
          </w:tcPr>
          <w:p>
            <w:pPr>
              <w:pStyle w:val="15"/>
            </w:pPr>
            <w:r>
              <w:t>55.13</w:t>
            </w:r>
          </w:p>
        </w:tc>
        <w:tc>
          <w:tcPr>
            <w:tcW w:w="1134" w:type="dxa"/>
            <w:vAlign w:val="center"/>
          </w:tcPr>
          <w:p>
            <w:pPr>
              <w:pStyle w:val="15"/>
            </w:pPr>
            <w:r>
              <w:t>55.13</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11</w:t>
            </w:r>
          </w:p>
        </w:tc>
        <w:tc>
          <w:tcPr>
            <w:tcW w:w="992" w:type="dxa"/>
            <w:vAlign w:val="center"/>
          </w:tcPr>
          <w:p>
            <w:pPr>
              <w:pStyle w:val="16"/>
            </w:pPr>
            <w:r>
              <w:t>221</w:t>
            </w:r>
          </w:p>
        </w:tc>
        <w:tc>
          <w:tcPr>
            <w:tcW w:w="1559" w:type="dxa"/>
            <w:vAlign w:val="center"/>
          </w:tcPr>
          <w:p>
            <w:pPr>
              <w:pStyle w:val="16"/>
            </w:pPr>
            <w:r>
              <w:t>住房保障支出</w:t>
            </w:r>
          </w:p>
        </w:tc>
        <w:tc>
          <w:tcPr>
            <w:tcW w:w="1134" w:type="dxa"/>
            <w:vAlign w:val="center"/>
          </w:tcPr>
          <w:p>
            <w:pPr>
              <w:pStyle w:val="15"/>
            </w:pPr>
            <w:r>
              <w:t>29.86</w:t>
            </w:r>
          </w:p>
        </w:tc>
        <w:tc>
          <w:tcPr>
            <w:tcW w:w="1134" w:type="dxa"/>
            <w:vAlign w:val="center"/>
          </w:tcPr>
          <w:p>
            <w:pPr>
              <w:pStyle w:val="15"/>
            </w:pPr>
            <w:r>
              <w:t>29.86</w:t>
            </w:r>
          </w:p>
        </w:tc>
        <w:tc>
          <w:tcPr>
            <w:tcW w:w="1134" w:type="dxa"/>
            <w:vAlign w:val="center"/>
          </w:tcPr>
          <w:p>
            <w:pPr>
              <w:pStyle w:val="15"/>
            </w:pPr>
            <w:r>
              <w:t>29.86</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12</w:t>
            </w:r>
          </w:p>
        </w:tc>
        <w:tc>
          <w:tcPr>
            <w:tcW w:w="992" w:type="dxa"/>
            <w:vAlign w:val="center"/>
          </w:tcPr>
          <w:p>
            <w:pPr>
              <w:pStyle w:val="16"/>
            </w:pPr>
            <w:r>
              <w:t>22102</w:t>
            </w:r>
          </w:p>
        </w:tc>
        <w:tc>
          <w:tcPr>
            <w:tcW w:w="1559" w:type="dxa"/>
            <w:vAlign w:val="center"/>
          </w:tcPr>
          <w:p>
            <w:pPr>
              <w:pStyle w:val="16"/>
            </w:pPr>
            <w:r>
              <w:t>住房改革支出</w:t>
            </w:r>
          </w:p>
        </w:tc>
        <w:tc>
          <w:tcPr>
            <w:tcW w:w="1134" w:type="dxa"/>
            <w:vAlign w:val="center"/>
          </w:tcPr>
          <w:p>
            <w:pPr>
              <w:pStyle w:val="15"/>
            </w:pPr>
            <w:r>
              <w:t>29.86</w:t>
            </w:r>
          </w:p>
        </w:tc>
        <w:tc>
          <w:tcPr>
            <w:tcW w:w="1134" w:type="dxa"/>
            <w:vAlign w:val="center"/>
          </w:tcPr>
          <w:p>
            <w:pPr>
              <w:pStyle w:val="15"/>
            </w:pPr>
            <w:r>
              <w:t>29.86</w:t>
            </w:r>
          </w:p>
        </w:tc>
        <w:tc>
          <w:tcPr>
            <w:tcW w:w="1134" w:type="dxa"/>
            <w:vAlign w:val="center"/>
          </w:tcPr>
          <w:p>
            <w:pPr>
              <w:pStyle w:val="15"/>
            </w:pPr>
            <w:r>
              <w:t>29.86</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13</w:t>
            </w:r>
          </w:p>
        </w:tc>
        <w:tc>
          <w:tcPr>
            <w:tcW w:w="992" w:type="dxa"/>
            <w:vAlign w:val="center"/>
          </w:tcPr>
          <w:p>
            <w:pPr>
              <w:pStyle w:val="16"/>
            </w:pPr>
            <w:r>
              <w:t>2210201</w:t>
            </w:r>
          </w:p>
        </w:tc>
        <w:tc>
          <w:tcPr>
            <w:tcW w:w="1559" w:type="dxa"/>
            <w:vAlign w:val="center"/>
          </w:tcPr>
          <w:p>
            <w:pPr>
              <w:pStyle w:val="16"/>
            </w:pPr>
            <w:r>
              <w:t>住房公积金</w:t>
            </w:r>
          </w:p>
        </w:tc>
        <w:tc>
          <w:tcPr>
            <w:tcW w:w="1134" w:type="dxa"/>
            <w:vAlign w:val="center"/>
          </w:tcPr>
          <w:p>
            <w:pPr>
              <w:pStyle w:val="15"/>
            </w:pPr>
            <w:r>
              <w:t>29.86</w:t>
            </w:r>
          </w:p>
        </w:tc>
        <w:tc>
          <w:tcPr>
            <w:tcW w:w="1134" w:type="dxa"/>
            <w:vAlign w:val="center"/>
          </w:tcPr>
          <w:p>
            <w:pPr>
              <w:pStyle w:val="15"/>
            </w:pPr>
            <w:r>
              <w:t>29.86</w:t>
            </w:r>
          </w:p>
        </w:tc>
        <w:tc>
          <w:tcPr>
            <w:tcW w:w="1134" w:type="dxa"/>
            <w:vAlign w:val="center"/>
          </w:tcPr>
          <w:p>
            <w:pPr>
              <w:pStyle w:val="15"/>
            </w:pPr>
            <w:r>
              <w:t>29.86</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预算支出总表</w:t>
      </w:r>
      <w:bookmarkEnd w:id="2"/>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3"/>
            </w:pPr>
            <w:r>
              <w:t>101唐山市开平区人民代表大会常务委员会</w:t>
            </w:r>
          </w:p>
        </w:tc>
        <w:tc>
          <w:tcPr>
            <w:tcW w:w="2721" w:type="dxa"/>
            <w:gridSpan w:val="2"/>
            <w:tcBorders>
              <w:top w:val="single" w:color="FFFFFF" w:sz="6" w:space="0"/>
              <w:left w:val="single" w:color="FFFFFF" w:sz="6" w:space="0"/>
              <w:right w:val="single" w:color="FFFFFF" w:sz="6" w:space="0"/>
            </w:tcBorders>
            <w:vAlign w:val="center"/>
          </w:tcPr>
          <w:p>
            <w:pPr>
              <w:pStyle w:val="12"/>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528" w:type="dxa"/>
            <w:gridSpan w:val="2"/>
            <w:vAlign w:val="center"/>
          </w:tcPr>
          <w:p>
            <w:pPr>
              <w:pStyle w:val="14"/>
            </w:pPr>
            <w:r>
              <w:t>功能分类科目</w:t>
            </w:r>
          </w:p>
        </w:tc>
        <w:tc>
          <w:tcPr>
            <w:tcW w:w="1361" w:type="dxa"/>
            <w:vMerge w:val="restart"/>
            <w:vAlign w:val="center"/>
          </w:tcPr>
          <w:p>
            <w:pPr>
              <w:pStyle w:val="14"/>
            </w:pPr>
            <w:r>
              <w:t>合计</w:t>
            </w:r>
          </w:p>
        </w:tc>
        <w:tc>
          <w:tcPr>
            <w:tcW w:w="1361" w:type="dxa"/>
            <w:vMerge w:val="restart"/>
            <w:vAlign w:val="center"/>
          </w:tcPr>
          <w:p>
            <w:pPr>
              <w:pStyle w:val="14"/>
            </w:pPr>
            <w:r>
              <w:t>基本支出</w:t>
            </w:r>
          </w:p>
        </w:tc>
        <w:tc>
          <w:tcPr>
            <w:tcW w:w="1361" w:type="dxa"/>
            <w:vMerge w:val="restart"/>
            <w:vAlign w:val="center"/>
          </w:tcPr>
          <w:p>
            <w:pPr>
              <w:pStyle w:val="14"/>
            </w:pPr>
            <w:r>
              <w:t>项目支出</w:t>
            </w:r>
          </w:p>
        </w:tc>
        <w:tc>
          <w:tcPr>
            <w:tcW w:w="1361" w:type="dxa"/>
            <w:vMerge w:val="restart"/>
            <w:vAlign w:val="center"/>
          </w:tcPr>
          <w:p>
            <w:pPr>
              <w:pStyle w:val="14"/>
            </w:pPr>
            <w:r>
              <w:t>经营支出</w:t>
            </w:r>
          </w:p>
        </w:tc>
        <w:tc>
          <w:tcPr>
            <w:tcW w:w="1361" w:type="dxa"/>
            <w:vMerge w:val="restart"/>
            <w:vAlign w:val="center"/>
          </w:tcPr>
          <w:p>
            <w:pPr>
              <w:pStyle w:val="14"/>
            </w:pPr>
            <w:r>
              <w:t>上解上级     支出</w:t>
            </w:r>
          </w:p>
        </w:tc>
        <w:tc>
          <w:tcPr>
            <w:tcW w:w="1361" w:type="dxa"/>
            <w:vMerge w:val="restart"/>
            <w:vAlign w:val="center"/>
          </w:tcPr>
          <w:p>
            <w:pPr>
              <w:pStyle w:val="14"/>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4"/>
            </w:pPr>
            <w:r>
              <w:t>科目    编码</w:t>
            </w:r>
          </w:p>
        </w:tc>
        <w:tc>
          <w:tcPr>
            <w:tcW w:w="4535" w:type="dxa"/>
            <w:vAlign w:val="center"/>
          </w:tcPr>
          <w:p>
            <w:pPr>
              <w:pStyle w:val="14"/>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992" w:type="dxa"/>
            <w:vAlign w:val="center"/>
          </w:tcPr>
          <w:p>
            <w:pPr>
              <w:pStyle w:val="14"/>
            </w:pPr>
            <w:r>
              <w:t>1</w:t>
            </w:r>
          </w:p>
        </w:tc>
        <w:tc>
          <w:tcPr>
            <w:tcW w:w="4535" w:type="dxa"/>
            <w:vAlign w:val="center"/>
          </w:tcPr>
          <w:p>
            <w:pPr>
              <w:pStyle w:val="14"/>
            </w:pPr>
            <w:r>
              <w:t>2</w:t>
            </w:r>
          </w:p>
        </w:tc>
        <w:tc>
          <w:tcPr>
            <w:tcW w:w="1361" w:type="dxa"/>
            <w:vAlign w:val="center"/>
          </w:tcPr>
          <w:p>
            <w:pPr>
              <w:pStyle w:val="14"/>
            </w:pPr>
            <w:r>
              <w:t>3</w:t>
            </w:r>
          </w:p>
        </w:tc>
        <w:tc>
          <w:tcPr>
            <w:tcW w:w="1361" w:type="dxa"/>
            <w:vAlign w:val="center"/>
          </w:tcPr>
          <w:p>
            <w:pPr>
              <w:pStyle w:val="14"/>
            </w:pPr>
            <w:r>
              <w:t>4</w:t>
            </w:r>
          </w:p>
        </w:tc>
        <w:tc>
          <w:tcPr>
            <w:tcW w:w="1361" w:type="dxa"/>
            <w:vAlign w:val="center"/>
          </w:tcPr>
          <w:p>
            <w:pPr>
              <w:pStyle w:val="14"/>
            </w:pPr>
            <w:r>
              <w:t>5</w:t>
            </w:r>
          </w:p>
        </w:tc>
        <w:tc>
          <w:tcPr>
            <w:tcW w:w="1361" w:type="dxa"/>
            <w:vAlign w:val="center"/>
          </w:tcPr>
          <w:p>
            <w:pPr>
              <w:pStyle w:val="14"/>
            </w:pPr>
            <w:r>
              <w:t>6</w:t>
            </w:r>
          </w:p>
        </w:tc>
        <w:tc>
          <w:tcPr>
            <w:tcW w:w="1361" w:type="dxa"/>
            <w:vAlign w:val="center"/>
          </w:tcPr>
          <w:p>
            <w:pPr>
              <w:pStyle w:val="14"/>
            </w:pPr>
            <w:r>
              <w:t>7</w:t>
            </w:r>
          </w:p>
        </w:tc>
        <w:tc>
          <w:tcPr>
            <w:tcW w:w="1361" w:type="dxa"/>
            <w:vAlign w:val="center"/>
          </w:tcPr>
          <w:p>
            <w:pPr>
              <w:pStyle w:val="14"/>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992" w:type="dxa"/>
            <w:vAlign w:val="center"/>
          </w:tcPr>
          <w:p>
            <w:pPr>
              <w:pStyle w:val="20"/>
            </w:pPr>
          </w:p>
        </w:tc>
        <w:tc>
          <w:tcPr>
            <w:tcW w:w="4535" w:type="dxa"/>
            <w:vAlign w:val="center"/>
          </w:tcPr>
          <w:p>
            <w:pPr>
              <w:pStyle w:val="18"/>
            </w:pPr>
            <w:r>
              <w:t>合计</w:t>
            </w:r>
          </w:p>
        </w:tc>
        <w:tc>
          <w:tcPr>
            <w:tcW w:w="1361" w:type="dxa"/>
            <w:vAlign w:val="center"/>
          </w:tcPr>
          <w:p>
            <w:pPr>
              <w:pStyle w:val="19"/>
            </w:pPr>
            <w:r>
              <w:t>675.49</w:t>
            </w:r>
          </w:p>
        </w:tc>
        <w:tc>
          <w:tcPr>
            <w:tcW w:w="1361" w:type="dxa"/>
            <w:vAlign w:val="center"/>
          </w:tcPr>
          <w:p>
            <w:pPr>
              <w:pStyle w:val="19"/>
            </w:pPr>
            <w:r>
              <w:t>589.49</w:t>
            </w:r>
          </w:p>
        </w:tc>
        <w:tc>
          <w:tcPr>
            <w:tcW w:w="1361" w:type="dxa"/>
            <w:vAlign w:val="center"/>
          </w:tcPr>
          <w:p>
            <w:pPr>
              <w:pStyle w:val="19"/>
            </w:pPr>
            <w:r>
              <w:t>86.00</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992" w:type="dxa"/>
            <w:vAlign w:val="center"/>
          </w:tcPr>
          <w:p>
            <w:pPr>
              <w:pStyle w:val="16"/>
            </w:pPr>
            <w:r>
              <w:t>201</w:t>
            </w:r>
          </w:p>
        </w:tc>
        <w:tc>
          <w:tcPr>
            <w:tcW w:w="4535" w:type="dxa"/>
            <w:vAlign w:val="center"/>
          </w:tcPr>
          <w:p>
            <w:pPr>
              <w:pStyle w:val="16"/>
            </w:pPr>
            <w:r>
              <w:t>一般公共服务支出</w:t>
            </w:r>
          </w:p>
        </w:tc>
        <w:tc>
          <w:tcPr>
            <w:tcW w:w="1361" w:type="dxa"/>
            <w:vAlign w:val="center"/>
          </w:tcPr>
          <w:p>
            <w:pPr>
              <w:pStyle w:val="15"/>
            </w:pPr>
            <w:r>
              <w:t>539.46</w:t>
            </w:r>
          </w:p>
        </w:tc>
        <w:tc>
          <w:tcPr>
            <w:tcW w:w="1361" w:type="dxa"/>
            <w:vAlign w:val="center"/>
          </w:tcPr>
          <w:p>
            <w:pPr>
              <w:pStyle w:val="15"/>
            </w:pPr>
            <w:r>
              <w:t>453.46</w:t>
            </w:r>
          </w:p>
        </w:tc>
        <w:tc>
          <w:tcPr>
            <w:tcW w:w="1361" w:type="dxa"/>
            <w:vAlign w:val="center"/>
          </w:tcPr>
          <w:p>
            <w:pPr>
              <w:pStyle w:val="15"/>
            </w:pPr>
            <w:r>
              <w:t>86.00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992" w:type="dxa"/>
            <w:vAlign w:val="center"/>
          </w:tcPr>
          <w:p>
            <w:pPr>
              <w:pStyle w:val="16"/>
            </w:pPr>
            <w:r>
              <w:t>20101</w:t>
            </w:r>
          </w:p>
        </w:tc>
        <w:tc>
          <w:tcPr>
            <w:tcW w:w="4535" w:type="dxa"/>
            <w:vAlign w:val="center"/>
          </w:tcPr>
          <w:p>
            <w:pPr>
              <w:pStyle w:val="16"/>
            </w:pPr>
            <w:r>
              <w:t>人大事务</w:t>
            </w:r>
          </w:p>
        </w:tc>
        <w:tc>
          <w:tcPr>
            <w:tcW w:w="1361" w:type="dxa"/>
            <w:vAlign w:val="center"/>
          </w:tcPr>
          <w:p>
            <w:pPr>
              <w:pStyle w:val="15"/>
            </w:pPr>
            <w:r>
              <w:t>539.46</w:t>
            </w:r>
          </w:p>
        </w:tc>
        <w:tc>
          <w:tcPr>
            <w:tcW w:w="1361" w:type="dxa"/>
            <w:vAlign w:val="center"/>
          </w:tcPr>
          <w:p>
            <w:pPr>
              <w:pStyle w:val="15"/>
            </w:pPr>
            <w:r>
              <w:t>453.46</w:t>
            </w:r>
          </w:p>
        </w:tc>
        <w:tc>
          <w:tcPr>
            <w:tcW w:w="1361" w:type="dxa"/>
            <w:vAlign w:val="center"/>
          </w:tcPr>
          <w:p>
            <w:pPr>
              <w:pStyle w:val="15"/>
            </w:pPr>
            <w:r>
              <w:t>86.00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992" w:type="dxa"/>
            <w:vAlign w:val="center"/>
          </w:tcPr>
          <w:p>
            <w:pPr>
              <w:pStyle w:val="16"/>
            </w:pPr>
            <w:r>
              <w:t>2010101</w:t>
            </w:r>
          </w:p>
        </w:tc>
        <w:tc>
          <w:tcPr>
            <w:tcW w:w="4535" w:type="dxa"/>
            <w:vAlign w:val="center"/>
          </w:tcPr>
          <w:p>
            <w:pPr>
              <w:pStyle w:val="16"/>
            </w:pPr>
            <w:r>
              <w:t>行政运行</w:t>
            </w:r>
          </w:p>
        </w:tc>
        <w:tc>
          <w:tcPr>
            <w:tcW w:w="1361" w:type="dxa"/>
            <w:vAlign w:val="center"/>
          </w:tcPr>
          <w:p>
            <w:pPr>
              <w:pStyle w:val="15"/>
            </w:pPr>
            <w:r>
              <w:t>539.46</w:t>
            </w:r>
          </w:p>
        </w:tc>
        <w:tc>
          <w:tcPr>
            <w:tcW w:w="1361" w:type="dxa"/>
            <w:vAlign w:val="center"/>
          </w:tcPr>
          <w:p>
            <w:pPr>
              <w:pStyle w:val="15"/>
            </w:pPr>
            <w:r>
              <w:t>453.46</w:t>
            </w:r>
          </w:p>
        </w:tc>
        <w:tc>
          <w:tcPr>
            <w:tcW w:w="1361" w:type="dxa"/>
            <w:vAlign w:val="center"/>
          </w:tcPr>
          <w:p>
            <w:pPr>
              <w:pStyle w:val="15"/>
            </w:pPr>
            <w:r>
              <w:t>86.00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992" w:type="dxa"/>
            <w:vAlign w:val="center"/>
          </w:tcPr>
          <w:p>
            <w:pPr>
              <w:pStyle w:val="16"/>
            </w:pPr>
            <w:r>
              <w:t>208</w:t>
            </w:r>
          </w:p>
        </w:tc>
        <w:tc>
          <w:tcPr>
            <w:tcW w:w="4535" w:type="dxa"/>
            <w:vAlign w:val="center"/>
          </w:tcPr>
          <w:p>
            <w:pPr>
              <w:pStyle w:val="16"/>
            </w:pPr>
            <w:r>
              <w:t>社会保障和就业支出</w:t>
            </w:r>
          </w:p>
        </w:tc>
        <w:tc>
          <w:tcPr>
            <w:tcW w:w="1361" w:type="dxa"/>
            <w:vAlign w:val="center"/>
          </w:tcPr>
          <w:p>
            <w:pPr>
              <w:pStyle w:val="15"/>
            </w:pPr>
            <w:r>
              <w:t>51.05</w:t>
            </w:r>
          </w:p>
        </w:tc>
        <w:tc>
          <w:tcPr>
            <w:tcW w:w="1361" w:type="dxa"/>
            <w:vAlign w:val="center"/>
          </w:tcPr>
          <w:p>
            <w:pPr>
              <w:pStyle w:val="15"/>
            </w:pPr>
            <w:r>
              <w:t>51.05</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992" w:type="dxa"/>
            <w:vAlign w:val="center"/>
          </w:tcPr>
          <w:p>
            <w:pPr>
              <w:pStyle w:val="16"/>
            </w:pPr>
            <w:r>
              <w:t>20805</w:t>
            </w:r>
          </w:p>
        </w:tc>
        <w:tc>
          <w:tcPr>
            <w:tcW w:w="4535" w:type="dxa"/>
            <w:vAlign w:val="center"/>
          </w:tcPr>
          <w:p>
            <w:pPr>
              <w:pStyle w:val="16"/>
            </w:pPr>
            <w:r>
              <w:t>行政事业单位养老支出</w:t>
            </w:r>
          </w:p>
        </w:tc>
        <w:tc>
          <w:tcPr>
            <w:tcW w:w="1361" w:type="dxa"/>
            <w:vAlign w:val="center"/>
          </w:tcPr>
          <w:p>
            <w:pPr>
              <w:pStyle w:val="15"/>
            </w:pPr>
            <w:r>
              <w:t>51.05</w:t>
            </w:r>
          </w:p>
        </w:tc>
        <w:tc>
          <w:tcPr>
            <w:tcW w:w="1361" w:type="dxa"/>
            <w:vAlign w:val="center"/>
          </w:tcPr>
          <w:p>
            <w:pPr>
              <w:pStyle w:val="15"/>
            </w:pPr>
            <w:r>
              <w:t>51.05</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992" w:type="dxa"/>
            <w:vAlign w:val="center"/>
          </w:tcPr>
          <w:p>
            <w:pPr>
              <w:pStyle w:val="16"/>
            </w:pPr>
            <w:r>
              <w:t>2080501</w:t>
            </w:r>
          </w:p>
        </w:tc>
        <w:tc>
          <w:tcPr>
            <w:tcW w:w="4535" w:type="dxa"/>
            <w:vAlign w:val="center"/>
          </w:tcPr>
          <w:p>
            <w:pPr>
              <w:pStyle w:val="16"/>
            </w:pPr>
            <w:r>
              <w:t>行政单位离退休</w:t>
            </w:r>
          </w:p>
        </w:tc>
        <w:tc>
          <w:tcPr>
            <w:tcW w:w="1361" w:type="dxa"/>
            <w:vAlign w:val="center"/>
          </w:tcPr>
          <w:p>
            <w:pPr>
              <w:pStyle w:val="15"/>
            </w:pPr>
            <w:r>
              <w:t>51.05</w:t>
            </w:r>
          </w:p>
        </w:tc>
        <w:tc>
          <w:tcPr>
            <w:tcW w:w="1361" w:type="dxa"/>
            <w:vAlign w:val="center"/>
          </w:tcPr>
          <w:p>
            <w:pPr>
              <w:pStyle w:val="15"/>
            </w:pPr>
            <w:r>
              <w:t>51.05</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992" w:type="dxa"/>
            <w:vAlign w:val="center"/>
          </w:tcPr>
          <w:p>
            <w:pPr>
              <w:pStyle w:val="16"/>
            </w:pPr>
            <w:r>
              <w:t>210</w:t>
            </w:r>
          </w:p>
        </w:tc>
        <w:tc>
          <w:tcPr>
            <w:tcW w:w="4535" w:type="dxa"/>
            <w:vAlign w:val="center"/>
          </w:tcPr>
          <w:p>
            <w:pPr>
              <w:pStyle w:val="16"/>
            </w:pPr>
            <w:r>
              <w:t>卫生健康支出</w:t>
            </w:r>
          </w:p>
        </w:tc>
        <w:tc>
          <w:tcPr>
            <w:tcW w:w="1361" w:type="dxa"/>
            <w:vAlign w:val="center"/>
          </w:tcPr>
          <w:p>
            <w:pPr>
              <w:pStyle w:val="15"/>
            </w:pPr>
            <w:r>
              <w:t>55.13</w:t>
            </w:r>
          </w:p>
        </w:tc>
        <w:tc>
          <w:tcPr>
            <w:tcW w:w="1361" w:type="dxa"/>
            <w:vAlign w:val="center"/>
          </w:tcPr>
          <w:p>
            <w:pPr>
              <w:pStyle w:val="15"/>
            </w:pPr>
            <w:r>
              <w:t>55.13</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992" w:type="dxa"/>
            <w:vAlign w:val="center"/>
          </w:tcPr>
          <w:p>
            <w:pPr>
              <w:pStyle w:val="16"/>
            </w:pPr>
            <w:r>
              <w:t>21011</w:t>
            </w:r>
          </w:p>
        </w:tc>
        <w:tc>
          <w:tcPr>
            <w:tcW w:w="4535" w:type="dxa"/>
            <w:vAlign w:val="center"/>
          </w:tcPr>
          <w:p>
            <w:pPr>
              <w:pStyle w:val="16"/>
            </w:pPr>
            <w:r>
              <w:t>行政事业单位医疗</w:t>
            </w:r>
          </w:p>
        </w:tc>
        <w:tc>
          <w:tcPr>
            <w:tcW w:w="1361" w:type="dxa"/>
            <w:vAlign w:val="center"/>
          </w:tcPr>
          <w:p>
            <w:pPr>
              <w:pStyle w:val="15"/>
            </w:pPr>
            <w:r>
              <w:t>55.13</w:t>
            </w:r>
          </w:p>
        </w:tc>
        <w:tc>
          <w:tcPr>
            <w:tcW w:w="1361" w:type="dxa"/>
            <w:vAlign w:val="center"/>
          </w:tcPr>
          <w:p>
            <w:pPr>
              <w:pStyle w:val="15"/>
            </w:pPr>
            <w:r>
              <w:t>55.13</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992" w:type="dxa"/>
            <w:vAlign w:val="center"/>
          </w:tcPr>
          <w:p>
            <w:pPr>
              <w:pStyle w:val="16"/>
            </w:pPr>
            <w:r>
              <w:t>2101101</w:t>
            </w:r>
          </w:p>
        </w:tc>
        <w:tc>
          <w:tcPr>
            <w:tcW w:w="4535" w:type="dxa"/>
            <w:vAlign w:val="center"/>
          </w:tcPr>
          <w:p>
            <w:pPr>
              <w:pStyle w:val="16"/>
            </w:pPr>
            <w:r>
              <w:t>行政单位医疗</w:t>
            </w:r>
          </w:p>
        </w:tc>
        <w:tc>
          <w:tcPr>
            <w:tcW w:w="1361" w:type="dxa"/>
            <w:vAlign w:val="center"/>
          </w:tcPr>
          <w:p>
            <w:pPr>
              <w:pStyle w:val="15"/>
            </w:pPr>
            <w:r>
              <w:t>55.13</w:t>
            </w:r>
          </w:p>
        </w:tc>
        <w:tc>
          <w:tcPr>
            <w:tcW w:w="1361" w:type="dxa"/>
            <w:vAlign w:val="center"/>
          </w:tcPr>
          <w:p>
            <w:pPr>
              <w:pStyle w:val="15"/>
            </w:pPr>
            <w:r>
              <w:t>55.13</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992" w:type="dxa"/>
            <w:vAlign w:val="center"/>
          </w:tcPr>
          <w:p>
            <w:pPr>
              <w:pStyle w:val="16"/>
            </w:pPr>
            <w:r>
              <w:t>221</w:t>
            </w:r>
          </w:p>
        </w:tc>
        <w:tc>
          <w:tcPr>
            <w:tcW w:w="4535" w:type="dxa"/>
            <w:vAlign w:val="center"/>
          </w:tcPr>
          <w:p>
            <w:pPr>
              <w:pStyle w:val="16"/>
            </w:pPr>
            <w:r>
              <w:t>住房保障支出</w:t>
            </w:r>
          </w:p>
        </w:tc>
        <w:tc>
          <w:tcPr>
            <w:tcW w:w="1361" w:type="dxa"/>
            <w:vAlign w:val="center"/>
          </w:tcPr>
          <w:p>
            <w:pPr>
              <w:pStyle w:val="15"/>
            </w:pPr>
            <w:r>
              <w:t>29.86</w:t>
            </w:r>
          </w:p>
        </w:tc>
        <w:tc>
          <w:tcPr>
            <w:tcW w:w="1361" w:type="dxa"/>
            <w:vAlign w:val="center"/>
          </w:tcPr>
          <w:p>
            <w:pPr>
              <w:pStyle w:val="15"/>
            </w:pPr>
            <w:r>
              <w:t>29.86</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992" w:type="dxa"/>
            <w:vAlign w:val="center"/>
          </w:tcPr>
          <w:p>
            <w:pPr>
              <w:pStyle w:val="16"/>
            </w:pPr>
            <w:r>
              <w:t>22102</w:t>
            </w:r>
          </w:p>
        </w:tc>
        <w:tc>
          <w:tcPr>
            <w:tcW w:w="4535" w:type="dxa"/>
            <w:vAlign w:val="center"/>
          </w:tcPr>
          <w:p>
            <w:pPr>
              <w:pStyle w:val="16"/>
            </w:pPr>
            <w:r>
              <w:t>住房改革支出</w:t>
            </w:r>
          </w:p>
        </w:tc>
        <w:tc>
          <w:tcPr>
            <w:tcW w:w="1361" w:type="dxa"/>
            <w:vAlign w:val="center"/>
          </w:tcPr>
          <w:p>
            <w:pPr>
              <w:pStyle w:val="15"/>
            </w:pPr>
            <w:r>
              <w:t>29.86</w:t>
            </w:r>
          </w:p>
        </w:tc>
        <w:tc>
          <w:tcPr>
            <w:tcW w:w="1361" w:type="dxa"/>
            <w:vAlign w:val="center"/>
          </w:tcPr>
          <w:p>
            <w:pPr>
              <w:pStyle w:val="15"/>
            </w:pPr>
            <w:r>
              <w:t>29.86</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992" w:type="dxa"/>
            <w:vAlign w:val="center"/>
          </w:tcPr>
          <w:p>
            <w:pPr>
              <w:pStyle w:val="16"/>
            </w:pPr>
            <w:r>
              <w:t>2210201</w:t>
            </w:r>
          </w:p>
        </w:tc>
        <w:tc>
          <w:tcPr>
            <w:tcW w:w="4535" w:type="dxa"/>
            <w:vAlign w:val="center"/>
          </w:tcPr>
          <w:p>
            <w:pPr>
              <w:pStyle w:val="16"/>
            </w:pPr>
            <w:r>
              <w:t>住房公积金</w:t>
            </w:r>
          </w:p>
        </w:tc>
        <w:tc>
          <w:tcPr>
            <w:tcW w:w="1361" w:type="dxa"/>
            <w:vAlign w:val="center"/>
          </w:tcPr>
          <w:p>
            <w:pPr>
              <w:pStyle w:val="15"/>
            </w:pPr>
            <w:r>
              <w:t>29.86</w:t>
            </w:r>
          </w:p>
        </w:tc>
        <w:tc>
          <w:tcPr>
            <w:tcW w:w="1361" w:type="dxa"/>
            <w:vAlign w:val="center"/>
          </w:tcPr>
          <w:p>
            <w:pPr>
              <w:pStyle w:val="15"/>
            </w:pPr>
            <w:r>
              <w:t>29.86</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预算财政拨款收支总表</w:t>
      </w:r>
      <w:bookmarkEnd w:id="3"/>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3"/>
            </w:pPr>
            <w:r>
              <w:t>101唐山市开平区人民代表大会常务委员会</w:t>
            </w:r>
          </w:p>
        </w:tc>
        <w:tc>
          <w:tcPr>
            <w:tcW w:w="3402" w:type="dxa"/>
            <w:tcBorders>
              <w:top w:val="single" w:color="FFFFFF" w:sz="6" w:space="0"/>
              <w:left w:val="single" w:color="FFFFFF" w:sz="6" w:space="0"/>
              <w:right w:val="single" w:color="FFFFFF" w:sz="6" w:space="0"/>
            </w:tcBorders>
            <w:vAlign w:val="center"/>
          </w:tcPr>
          <w:p>
            <w:pPr>
              <w:pStyle w:val="12"/>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4876" w:type="dxa"/>
            <w:gridSpan w:val="2"/>
            <w:vAlign w:val="center"/>
          </w:tcPr>
          <w:p>
            <w:pPr>
              <w:pStyle w:val="14"/>
            </w:pPr>
            <w:r>
              <w:t>收入</w:t>
            </w:r>
          </w:p>
        </w:tc>
        <w:tc>
          <w:tcPr>
            <w:tcW w:w="9298" w:type="dxa"/>
            <w:gridSpan w:val="5"/>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4"/>
            </w:pPr>
            <w:r>
              <w:t>项  目</w:t>
            </w:r>
          </w:p>
        </w:tc>
        <w:tc>
          <w:tcPr>
            <w:tcW w:w="1474" w:type="dxa"/>
            <w:vAlign w:val="center"/>
          </w:tcPr>
          <w:p>
            <w:pPr>
              <w:pStyle w:val="14"/>
            </w:pPr>
            <w:r>
              <w:t>金额</w:t>
            </w:r>
          </w:p>
        </w:tc>
        <w:tc>
          <w:tcPr>
            <w:tcW w:w="3402" w:type="dxa"/>
            <w:vAlign w:val="center"/>
          </w:tcPr>
          <w:p>
            <w:pPr>
              <w:pStyle w:val="14"/>
            </w:pPr>
            <w:r>
              <w:t>项  目</w:t>
            </w:r>
          </w:p>
        </w:tc>
        <w:tc>
          <w:tcPr>
            <w:tcW w:w="1474" w:type="dxa"/>
            <w:vAlign w:val="center"/>
          </w:tcPr>
          <w:p>
            <w:pPr>
              <w:pStyle w:val="14"/>
            </w:pPr>
            <w:r>
              <w:t>合计</w:t>
            </w:r>
          </w:p>
        </w:tc>
        <w:tc>
          <w:tcPr>
            <w:tcW w:w="1474" w:type="dxa"/>
            <w:vAlign w:val="center"/>
          </w:tcPr>
          <w:p>
            <w:pPr>
              <w:pStyle w:val="14"/>
            </w:pPr>
            <w:r>
              <w:t>一般公共预算财政拨款</w:t>
            </w:r>
          </w:p>
        </w:tc>
        <w:tc>
          <w:tcPr>
            <w:tcW w:w="1474" w:type="dxa"/>
            <w:vAlign w:val="center"/>
          </w:tcPr>
          <w:p>
            <w:pPr>
              <w:pStyle w:val="14"/>
            </w:pPr>
            <w:r>
              <w:t>政府性基金预算财政    拨款</w:t>
            </w:r>
          </w:p>
        </w:tc>
        <w:tc>
          <w:tcPr>
            <w:tcW w:w="1474" w:type="dxa"/>
            <w:vAlign w:val="center"/>
          </w:tcPr>
          <w:p>
            <w:pPr>
              <w:pStyle w:val="14"/>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3402" w:type="dxa"/>
            <w:vAlign w:val="center"/>
          </w:tcPr>
          <w:p>
            <w:pPr>
              <w:pStyle w:val="14"/>
            </w:pPr>
            <w:r>
              <w:t>1</w:t>
            </w:r>
          </w:p>
        </w:tc>
        <w:tc>
          <w:tcPr>
            <w:tcW w:w="1474" w:type="dxa"/>
            <w:vAlign w:val="center"/>
          </w:tcPr>
          <w:p>
            <w:pPr>
              <w:pStyle w:val="14"/>
            </w:pPr>
            <w:r>
              <w:t>2</w:t>
            </w:r>
          </w:p>
        </w:tc>
        <w:tc>
          <w:tcPr>
            <w:tcW w:w="3402" w:type="dxa"/>
            <w:vAlign w:val="center"/>
          </w:tcPr>
          <w:p>
            <w:pPr>
              <w:pStyle w:val="14"/>
            </w:pPr>
            <w:r>
              <w:t>3</w:t>
            </w:r>
          </w:p>
        </w:tc>
        <w:tc>
          <w:tcPr>
            <w:tcW w:w="1474" w:type="dxa"/>
            <w:vAlign w:val="center"/>
          </w:tcPr>
          <w:p>
            <w:pPr>
              <w:pStyle w:val="14"/>
            </w:pPr>
            <w:r>
              <w:t>4</w:t>
            </w:r>
          </w:p>
        </w:tc>
        <w:tc>
          <w:tcPr>
            <w:tcW w:w="1474" w:type="dxa"/>
            <w:vAlign w:val="center"/>
          </w:tcPr>
          <w:p>
            <w:pPr>
              <w:pStyle w:val="14"/>
            </w:pPr>
            <w:r>
              <w:t>5</w:t>
            </w:r>
          </w:p>
        </w:tc>
        <w:tc>
          <w:tcPr>
            <w:tcW w:w="1474" w:type="dxa"/>
            <w:vAlign w:val="center"/>
          </w:tcPr>
          <w:p>
            <w:pPr>
              <w:pStyle w:val="14"/>
            </w:pPr>
            <w:r>
              <w:t>6</w:t>
            </w:r>
          </w:p>
        </w:tc>
        <w:tc>
          <w:tcPr>
            <w:tcW w:w="1474" w:type="dxa"/>
            <w:vAlign w:val="center"/>
          </w:tcPr>
          <w:p>
            <w:pPr>
              <w:pStyle w:val="14"/>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3402" w:type="dxa"/>
            <w:vAlign w:val="center"/>
          </w:tcPr>
          <w:p>
            <w:pPr>
              <w:pStyle w:val="16"/>
            </w:pPr>
            <w:r>
              <w:t>一、一般公共预算拨款</w:t>
            </w:r>
          </w:p>
        </w:tc>
        <w:tc>
          <w:tcPr>
            <w:tcW w:w="1474" w:type="dxa"/>
            <w:vAlign w:val="center"/>
          </w:tcPr>
          <w:p>
            <w:pPr>
              <w:pStyle w:val="15"/>
            </w:pPr>
            <w:r>
              <w:t>675.49</w:t>
            </w:r>
          </w:p>
        </w:tc>
        <w:tc>
          <w:tcPr>
            <w:tcW w:w="3402" w:type="dxa"/>
            <w:vAlign w:val="center"/>
          </w:tcPr>
          <w:p>
            <w:pPr>
              <w:pStyle w:val="16"/>
            </w:pPr>
            <w:r>
              <w:t>一、一般公共服务支出</w:t>
            </w:r>
          </w:p>
        </w:tc>
        <w:tc>
          <w:tcPr>
            <w:tcW w:w="1474" w:type="dxa"/>
            <w:vAlign w:val="center"/>
          </w:tcPr>
          <w:p>
            <w:pPr>
              <w:pStyle w:val="15"/>
            </w:pPr>
            <w:r>
              <w:t>539.46</w:t>
            </w:r>
          </w:p>
        </w:tc>
        <w:tc>
          <w:tcPr>
            <w:tcW w:w="1474" w:type="dxa"/>
            <w:vAlign w:val="center"/>
          </w:tcPr>
          <w:p>
            <w:pPr>
              <w:pStyle w:val="15"/>
            </w:pPr>
            <w:r>
              <w:t>539.46</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r>
              <w:t>二、外交支出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r>
              <w:t>三、国防支出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四、公共安全支出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五、教育支出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六、科学技术支出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七、文化旅游体育与传媒支出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八、社会保障和就业支出</w:t>
            </w:r>
          </w:p>
        </w:tc>
        <w:tc>
          <w:tcPr>
            <w:tcW w:w="1474" w:type="dxa"/>
            <w:vAlign w:val="center"/>
          </w:tcPr>
          <w:p>
            <w:pPr>
              <w:pStyle w:val="15"/>
            </w:pPr>
            <w:r>
              <w:t>51.05</w:t>
            </w:r>
          </w:p>
        </w:tc>
        <w:tc>
          <w:tcPr>
            <w:tcW w:w="1474" w:type="dxa"/>
            <w:vAlign w:val="center"/>
          </w:tcPr>
          <w:p>
            <w:pPr>
              <w:pStyle w:val="15"/>
            </w:pPr>
            <w:r>
              <w:t>51.05</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九、社会保险基金支出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十、卫生健康支出</w:t>
            </w:r>
          </w:p>
        </w:tc>
        <w:tc>
          <w:tcPr>
            <w:tcW w:w="1474" w:type="dxa"/>
            <w:vAlign w:val="center"/>
          </w:tcPr>
          <w:p>
            <w:pPr>
              <w:pStyle w:val="15"/>
            </w:pPr>
            <w:r>
              <w:t>55.13</w:t>
            </w:r>
          </w:p>
        </w:tc>
        <w:tc>
          <w:tcPr>
            <w:tcW w:w="1474" w:type="dxa"/>
            <w:vAlign w:val="center"/>
          </w:tcPr>
          <w:p>
            <w:pPr>
              <w:pStyle w:val="15"/>
            </w:pPr>
            <w:r>
              <w:t>55.13</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十一、节能环保支出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十二、城乡社区支出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十三、农林水支出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十四、交通运输支出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十五、资源勘探工业信息等支出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十六、商业服务业等支出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十七、金融支出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十八、援助其他地区支出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十九、自然资源海洋气象等支出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二十、住房保障支出</w:t>
            </w:r>
          </w:p>
        </w:tc>
        <w:tc>
          <w:tcPr>
            <w:tcW w:w="1474" w:type="dxa"/>
            <w:vAlign w:val="center"/>
          </w:tcPr>
          <w:p>
            <w:pPr>
              <w:pStyle w:val="15"/>
            </w:pPr>
            <w:r>
              <w:t>29.86</w:t>
            </w:r>
          </w:p>
        </w:tc>
        <w:tc>
          <w:tcPr>
            <w:tcW w:w="1474" w:type="dxa"/>
            <w:vAlign w:val="center"/>
          </w:tcPr>
          <w:p>
            <w:pPr>
              <w:pStyle w:val="15"/>
            </w:pPr>
            <w:r>
              <w:t>29.86</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二十一、粮油物资储备支出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二十二、国有资本经营预算支出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二十三、灾害防治及应急管理支出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二十四、预备费</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二十五、其他支出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二十六、转移性支出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二十七、债务还本支出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二十八、债务付息支出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二十九、债务发行费用支出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三十、抗疫特别国债安排的支出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三十一、人行科目</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3402" w:type="dxa"/>
            <w:vAlign w:val="center"/>
          </w:tcPr>
          <w:p>
            <w:pPr>
              <w:pStyle w:val="18"/>
            </w:pPr>
            <w:r>
              <w:t>本年收入合计</w:t>
            </w:r>
          </w:p>
        </w:tc>
        <w:tc>
          <w:tcPr>
            <w:tcW w:w="1474" w:type="dxa"/>
            <w:vAlign w:val="center"/>
          </w:tcPr>
          <w:p>
            <w:pPr>
              <w:pStyle w:val="19"/>
            </w:pPr>
            <w:r>
              <w:t>675.49</w:t>
            </w:r>
          </w:p>
        </w:tc>
        <w:tc>
          <w:tcPr>
            <w:tcW w:w="3402" w:type="dxa"/>
            <w:vAlign w:val="center"/>
          </w:tcPr>
          <w:p>
            <w:pPr>
              <w:pStyle w:val="18"/>
            </w:pPr>
            <w:r>
              <w:t>本年支出合计</w:t>
            </w:r>
          </w:p>
        </w:tc>
        <w:tc>
          <w:tcPr>
            <w:tcW w:w="1474" w:type="dxa"/>
            <w:vAlign w:val="center"/>
          </w:tcPr>
          <w:p>
            <w:pPr>
              <w:pStyle w:val="19"/>
            </w:pPr>
            <w:r>
              <w:t>675.49</w:t>
            </w:r>
          </w:p>
        </w:tc>
        <w:tc>
          <w:tcPr>
            <w:tcW w:w="1474" w:type="dxa"/>
            <w:vAlign w:val="center"/>
          </w:tcPr>
          <w:p>
            <w:pPr>
              <w:pStyle w:val="19"/>
            </w:pPr>
            <w:r>
              <w:t>675.49</w:t>
            </w: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3402" w:type="dxa"/>
            <w:vAlign w:val="center"/>
          </w:tcPr>
          <w:p>
            <w:pPr>
              <w:pStyle w:val="16"/>
            </w:pPr>
            <w:r>
              <w:t>年初财政拨款结转和结余</w:t>
            </w:r>
          </w:p>
        </w:tc>
        <w:tc>
          <w:tcPr>
            <w:tcW w:w="1474" w:type="dxa"/>
            <w:vAlign w:val="center"/>
          </w:tcPr>
          <w:p>
            <w:pPr>
              <w:pStyle w:val="15"/>
            </w:pPr>
          </w:p>
        </w:tc>
        <w:tc>
          <w:tcPr>
            <w:tcW w:w="3402" w:type="dxa"/>
            <w:vAlign w:val="center"/>
          </w:tcPr>
          <w:p>
            <w:pPr>
              <w:pStyle w:val="16"/>
            </w:pPr>
            <w:r>
              <w:t>年末财政拨款结转和结余</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3402" w:type="dxa"/>
            <w:vAlign w:val="center"/>
          </w:tcPr>
          <w:p>
            <w:pPr>
              <w:pStyle w:val="16"/>
            </w:pPr>
            <w:r>
              <w:t>一、一般公共预算拨款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35</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36</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37</w:t>
            </w:r>
          </w:p>
        </w:tc>
        <w:tc>
          <w:tcPr>
            <w:tcW w:w="3402" w:type="dxa"/>
            <w:vAlign w:val="center"/>
          </w:tcPr>
          <w:p>
            <w:pPr>
              <w:pStyle w:val="18"/>
            </w:pPr>
            <w:r>
              <w:t>收入总计</w:t>
            </w:r>
          </w:p>
        </w:tc>
        <w:tc>
          <w:tcPr>
            <w:tcW w:w="1474" w:type="dxa"/>
            <w:vAlign w:val="center"/>
          </w:tcPr>
          <w:p>
            <w:pPr>
              <w:pStyle w:val="19"/>
            </w:pPr>
            <w:r>
              <w:t>675.49</w:t>
            </w:r>
          </w:p>
        </w:tc>
        <w:tc>
          <w:tcPr>
            <w:tcW w:w="3402" w:type="dxa"/>
            <w:vAlign w:val="center"/>
          </w:tcPr>
          <w:p>
            <w:pPr>
              <w:pStyle w:val="18"/>
            </w:pPr>
            <w:r>
              <w:t>支出总计</w:t>
            </w:r>
          </w:p>
        </w:tc>
        <w:tc>
          <w:tcPr>
            <w:tcW w:w="1474" w:type="dxa"/>
            <w:vAlign w:val="center"/>
          </w:tcPr>
          <w:p>
            <w:pPr>
              <w:pStyle w:val="19"/>
            </w:pPr>
            <w:r>
              <w:t>675.49</w:t>
            </w:r>
          </w:p>
        </w:tc>
        <w:tc>
          <w:tcPr>
            <w:tcW w:w="1474" w:type="dxa"/>
            <w:vAlign w:val="center"/>
          </w:tcPr>
          <w:p>
            <w:pPr>
              <w:pStyle w:val="19"/>
            </w:pPr>
            <w:r>
              <w:t>675.49</w:t>
            </w:r>
          </w:p>
        </w:tc>
        <w:tc>
          <w:tcPr>
            <w:tcW w:w="1474" w:type="dxa"/>
            <w:vAlign w:val="center"/>
          </w:tcPr>
          <w:p>
            <w:pPr>
              <w:pStyle w:val="19"/>
            </w:pPr>
          </w:p>
        </w:tc>
        <w:tc>
          <w:tcPr>
            <w:tcW w:w="1474" w:type="dxa"/>
            <w:vAlign w:val="center"/>
          </w:tcPr>
          <w:p>
            <w:pPr>
              <w:pStyle w:val="19"/>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预算一般公共预算财政拨款支出表</w:t>
      </w:r>
      <w:bookmarkEnd w:id="4"/>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101唐山市开平区人民代表大会常务委员会</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675.49</w:t>
            </w:r>
          </w:p>
        </w:tc>
        <w:tc>
          <w:tcPr>
            <w:tcW w:w="2551" w:type="dxa"/>
            <w:vAlign w:val="center"/>
          </w:tcPr>
          <w:p>
            <w:pPr>
              <w:pStyle w:val="19"/>
            </w:pPr>
            <w:r>
              <w:t>589.49</w:t>
            </w:r>
          </w:p>
        </w:tc>
        <w:tc>
          <w:tcPr>
            <w:tcW w:w="2551" w:type="dxa"/>
            <w:vAlign w:val="center"/>
          </w:tcPr>
          <w:p>
            <w:pPr>
              <w:pStyle w:val="19"/>
            </w:pPr>
            <w:r>
              <w:t>86.00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201</w:t>
            </w:r>
          </w:p>
        </w:tc>
        <w:tc>
          <w:tcPr>
            <w:tcW w:w="4535" w:type="dxa"/>
            <w:vAlign w:val="center"/>
          </w:tcPr>
          <w:p>
            <w:pPr>
              <w:pStyle w:val="16"/>
            </w:pPr>
            <w:r>
              <w:t>一般公共服务支出</w:t>
            </w:r>
          </w:p>
        </w:tc>
        <w:tc>
          <w:tcPr>
            <w:tcW w:w="2551" w:type="dxa"/>
            <w:vAlign w:val="center"/>
          </w:tcPr>
          <w:p>
            <w:pPr>
              <w:pStyle w:val="15"/>
            </w:pPr>
            <w:r>
              <w:t>539.46</w:t>
            </w:r>
          </w:p>
        </w:tc>
        <w:tc>
          <w:tcPr>
            <w:tcW w:w="2551" w:type="dxa"/>
            <w:vAlign w:val="center"/>
          </w:tcPr>
          <w:p>
            <w:pPr>
              <w:pStyle w:val="15"/>
            </w:pPr>
            <w:r>
              <w:t>453.46</w:t>
            </w:r>
          </w:p>
        </w:tc>
        <w:tc>
          <w:tcPr>
            <w:tcW w:w="2551" w:type="dxa"/>
            <w:vAlign w:val="center"/>
          </w:tcPr>
          <w:p>
            <w:pPr>
              <w:pStyle w:val="15"/>
            </w:pPr>
            <w:r>
              <w:t>86.00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20101</w:t>
            </w:r>
          </w:p>
        </w:tc>
        <w:tc>
          <w:tcPr>
            <w:tcW w:w="4535" w:type="dxa"/>
            <w:vAlign w:val="center"/>
          </w:tcPr>
          <w:p>
            <w:pPr>
              <w:pStyle w:val="16"/>
            </w:pPr>
            <w:r>
              <w:t>人大事务</w:t>
            </w:r>
          </w:p>
        </w:tc>
        <w:tc>
          <w:tcPr>
            <w:tcW w:w="2551" w:type="dxa"/>
            <w:vAlign w:val="center"/>
          </w:tcPr>
          <w:p>
            <w:pPr>
              <w:pStyle w:val="15"/>
            </w:pPr>
            <w:r>
              <w:t>539.46</w:t>
            </w:r>
          </w:p>
        </w:tc>
        <w:tc>
          <w:tcPr>
            <w:tcW w:w="2551" w:type="dxa"/>
            <w:vAlign w:val="center"/>
          </w:tcPr>
          <w:p>
            <w:pPr>
              <w:pStyle w:val="15"/>
            </w:pPr>
            <w:r>
              <w:t>453.46</w:t>
            </w:r>
          </w:p>
        </w:tc>
        <w:tc>
          <w:tcPr>
            <w:tcW w:w="2551" w:type="dxa"/>
            <w:vAlign w:val="center"/>
          </w:tcPr>
          <w:p>
            <w:pPr>
              <w:pStyle w:val="15"/>
            </w:pPr>
            <w:r>
              <w:t>86.00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2010101</w:t>
            </w:r>
          </w:p>
        </w:tc>
        <w:tc>
          <w:tcPr>
            <w:tcW w:w="4535" w:type="dxa"/>
            <w:vAlign w:val="center"/>
          </w:tcPr>
          <w:p>
            <w:pPr>
              <w:pStyle w:val="16"/>
            </w:pPr>
            <w:r>
              <w:t>行政运行</w:t>
            </w:r>
          </w:p>
        </w:tc>
        <w:tc>
          <w:tcPr>
            <w:tcW w:w="2551" w:type="dxa"/>
            <w:vAlign w:val="center"/>
          </w:tcPr>
          <w:p>
            <w:pPr>
              <w:pStyle w:val="15"/>
            </w:pPr>
            <w:r>
              <w:t>539.46</w:t>
            </w:r>
          </w:p>
        </w:tc>
        <w:tc>
          <w:tcPr>
            <w:tcW w:w="2551" w:type="dxa"/>
            <w:vAlign w:val="center"/>
          </w:tcPr>
          <w:p>
            <w:pPr>
              <w:pStyle w:val="15"/>
            </w:pPr>
            <w:r>
              <w:t>453.46</w:t>
            </w:r>
          </w:p>
        </w:tc>
        <w:tc>
          <w:tcPr>
            <w:tcW w:w="2551" w:type="dxa"/>
            <w:vAlign w:val="center"/>
          </w:tcPr>
          <w:p>
            <w:pPr>
              <w:pStyle w:val="15"/>
            </w:pPr>
            <w:r>
              <w:t>86.00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208</w:t>
            </w:r>
          </w:p>
        </w:tc>
        <w:tc>
          <w:tcPr>
            <w:tcW w:w="4535" w:type="dxa"/>
            <w:vAlign w:val="center"/>
          </w:tcPr>
          <w:p>
            <w:pPr>
              <w:pStyle w:val="16"/>
            </w:pPr>
            <w:r>
              <w:t>社会保障和就业支出</w:t>
            </w:r>
          </w:p>
        </w:tc>
        <w:tc>
          <w:tcPr>
            <w:tcW w:w="2551" w:type="dxa"/>
            <w:vAlign w:val="center"/>
          </w:tcPr>
          <w:p>
            <w:pPr>
              <w:pStyle w:val="15"/>
            </w:pPr>
            <w:r>
              <w:t>51.05</w:t>
            </w:r>
          </w:p>
        </w:tc>
        <w:tc>
          <w:tcPr>
            <w:tcW w:w="2551" w:type="dxa"/>
            <w:vAlign w:val="center"/>
          </w:tcPr>
          <w:p>
            <w:pPr>
              <w:pStyle w:val="15"/>
            </w:pPr>
            <w:r>
              <w:t>51.05</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20805</w:t>
            </w:r>
          </w:p>
        </w:tc>
        <w:tc>
          <w:tcPr>
            <w:tcW w:w="4535" w:type="dxa"/>
            <w:vAlign w:val="center"/>
          </w:tcPr>
          <w:p>
            <w:pPr>
              <w:pStyle w:val="16"/>
            </w:pPr>
            <w:r>
              <w:t>行政事业单位养老支出</w:t>
            </w:r>
          </w:p>
        </w:tc>
        <w:tc>
          <w:tcPr>
            <w:tcW w:w="2551" w:type="dxa"/>
            <w:vAlign w:val="center"/>
          </w:tcPr>
          <w:p>
            <w:pPr>
              <w:pStyle w:val="15"/>
            </w:pPr>
            <w:r>
              <w:t>51.05</w:t>
            </w:r>
          </w:p>
        </w:tc>
        <w:tc>
          <w:tcPr>
            <w:tcW w:w="2551" w:type="dxa"/>
            <w:vAlign w:val="center"/>
          </w:tcPr>
          <w:p>
            <w:pPr>
              <w:pStyle w:val="15"/>
            </w:pPr>
            <w:r>
              <w:t>51.05</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2080501</w:t>
            </w:r>
          </w:p>
        </w:tc>
        <w:tc>
          <w:tcPr>
            <w:tcW w:w="4535" w:type="dxa"/>
            <w:vAlign w:val="center"/>
          </w:tcPr>
          <w:p>
            <w:pPr>
              <w:pStyle w:val="16"/>
            </w:pPr>
            <w:r>
              <w:t>行政单位离退休</w:t>
            </w:r>
          </w:p>
        </w:tc>
        <w:tc>
          <w:tcPr>
            <w:tcW w:w="2551" w:type="dxa"/>
            <w:vAlign w:val="center"/>
          </w:tcPr>
          <w:p>
            <w:pPr>
              <w:pStyle w:val="15"/>
            </w:pPr>
            <w:r>
              <w:t>51.05</w:t>
            </w:r>
          </w:p>
        </w:tc>
        <w:tc>
          <w:tcPr>
            <w:tcW w:w="2551" w:type="dxa"/>
            <w:vAlign w:val="center"/>
          </w:tcPr>
          <w:p>
            <w:pPr>
              <w:pStyle w:val="15"/>
            </w:pPr>
            <w:r>
              <w:t>51.05</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210</w:t>
            </w:r>
          </w:p>
        </w:tc>
        <w:tc>
          <w:tcPr>
            <w:tcW w:w="4535" w:type="dxa"/>
            <w:vAlign w:val="center"/>
          </w:tcPr>
          <w:p>
            <w:pPr>
              <w:pStyle w:val="16"/>
            </w:pPr>
            <w:r>
              <w:t>卫生健康支出</w:t>
            </w:r>
          </w:p>
        </w:tc>
        <w:tc>
          <w:tcPr>
            <w:tcW w:w="2551" w:type="dxa"/>
            <w:vAlign w:val="center"/>
          </w:tcPr>
          <w:p>
            <w:pPr>
              <w:pStyle w:val="15"/>
            </w:pPr>
            <w:r>
              <w:t>55.13</w:t>
            </w:r>
          </w:p>
        </w:tc>
        <w:tc>
          <w:tcPr>
            <w:tcW w:w="2551" w:type="dxa"/>
            <w:vAlign w:val="center"/>
          </w:tcPr>
          <w:p>
            <w:pPr>
              <w:pStyle w:val="15"/>
            </w:pPr>
            <w:r>
              <w:t>55.13</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21011</w:t>
            </w:r>
          </w:p>
        </w:tc>
        <w:tc>
          <w:tcPr>
            <w:tcW w:w="4535" w:type="dxa"/>
            <w:vAlign w:val="center"/>
          </w:tcPr>
          <w:p>
            <w:pPr>
              <w:pStyle w:val="16"/>
            </w:pPr>
            <w:r>
              <w:t>行政事业单位医疗</w:t>
            </w:r>
          </w:p>
        </w:tc>
        <w:tc>
          <w:tcPr>
            <w:tcW w:w="2551" w:type="dxa"/>
            <w:vAlign w:val="center"/>
          </w:tcPr>
          <w:p>
            <w:pPr>
              <w:pStyle w:val="15"/>
            </w:pPr>
            <w:r>
              <w:t>55.13</w:t>
            </w:r>
          </w:p>
        </w:tc>
        <w:tc>
          <w:tcPr>
            <w:tcW w:w="2551" w:type="dxa"/>
            <w:vAlign w:val="center"/>
          </w:tcPr>
          <w:p>
            <w:pPr>
              <w:pStyle w:val="15"/>
            </w:pPr>
            <w:r>
              <w:t>55.13</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2101101</w:t>
            </w:r>
          </w:p>
        </w:tc>
        <w:tc>
          <w:tcPr>
            <w:tcW w:w="4535" w:type="dxa"/>
            <w:vAlign w:val="center"/>
          </w:tcPr>
          <w:p>
            <w:pPr>
              <w:pStyle w:val="16"/>
            </w:pPr>
            <w:r>
              <w:t>行政单位医疗</w:t>
            </w:r>
          </w:p>
        </w:tc>
        <w:tc>
          <w:tcPr>
            <w:tcW w:w="2551" w:type="dxa"/>
            <w:vAlign w:val="center"/>
          </w:tcPr>
          <w:p>
            <w:pPr>
              <w:pStyle w:val="15"/>
            </w:pPr>
            <w:r>
              <w:t>55.13</w:t>
            </w:r>
          </w:p>
        </w:tc>
        <w:tc>
          <w:tcPr>
            <w:tcW w:w="2551" w:type="dxa"/>
            <w:vAlign w:val="center"/>
          </w:tcPr>
          <w:p>
            <w:pPr>
              <w:pStyle w:val="15"/>
            </w:pPr>
            <w:r>
              <w:t>55.13</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221</w:t>
            </w:r>
          </w:p>
        </w:tc>
        <w:tc>
          <w:tcPr>
            <w:tcW w:w="4535" w:type="dxa"/>
            <w:vAlign w:val="center"/>
          </w:tcPr>
          <w:p>
            <w:pPr>
              <w:pStyle w:val="16"/>
            </w:pPr>
            <w:r>
              <w:t>住房保障支出</w:t>
            </w:r>
          </w:p>
        </w:tc>
        <w:tc>
          <w:tcPr>
            <w:tcW w:w="2551" w:type="dxa"/>
            <w:vAlign w:val="center"/>
          </w:tcPr>
          <w:p>
            <w:pPr>
              <w:pStyle w:val="15"/>
            </w:pPr>
            <w:r>
              <w:t>29.86</w:t>
            </w:r>
          </w:p>
        </w:tc>
        <w:tc>
          <w:tcPr>
            <w:tcW w:w="2551" w:type="dxa"/>
            <w:vAlign w:val="center"/>
          </w:tcPr>
          <w:p>
            <w:pPr>
              <w:pStyle w:val="15"/>
            </w:pPr>
            <w:r>
              <w:t>29.86</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22102</w:t>
            </w:r>
          </w:p>
        </w:tc>
        <w:tc>
          <w:tcPr>
            <w:tcW w:w="4535" w:type="dxa"/>
            <w:vAlign w:val="center"/>
          </w:tcPr>
          <w:p>
            <w:pPr>
              <w:pStyle w:val="16"/>
            </w:pPr>
            <w:r>
              <w:t>住房改革支出</w:t>
            </w:r>
          </w:p>
        </w:tc>
        <w:tc>
          <w:tcPr>
            <w:tcW w:w="2551" w:type="dxa"/>
            <w:vAlign w:val="center"/>
          </w:tcPr>
          <w:p>
            <w:pPr>
              <w:pStyle w:val="15"/>
            </w:pPr>
            <w:r>
              <w:t>29.86</w:t>
            </w:r>
          </w:p>
        </w:tc>
        <w:tc>
          <w:tcPr>
            <w:tcW w:w="2551" w:type="dxa"/>
            <w:vAlign w:val="center"/>
          </w:tcPr>
          <w:p>
            <w:pPr>
              <w:pStyle w:val="15"/>
            </w:pPr>
            <w:r>
              <w:t>29.86</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pPr>
            <w:r>
              <w:t>2210201</w:t>
            </w:r>
          </w:p>
        </w:tc>
        <w:tc>
          <w:tcPr>
            <w:tcW w:w="4535" w:type="dxa"/>
            <w:vAlign w:val="center"/>
          </w:tcPr>
          <w:p>
            <w:pPr>
              <w:pStyle w:val="16"/>
            </w:pPr>
            <w:r>
              <w:t>住房公积金</w:t>
            </w:r>
          </w:p>
        </w:tc>
        <w:tc>
          <w:tcPr>
            <w:tcW w:w="2551" w:type="dxa"/>
            <w:vAlign w:val="center"/>
          </w:tcPr>
          <w:p>
            <w:pPr>
              <w:pStyle w:val="15"/>
            </w:pPr>
            <w:r>
              <w:t>29.86</w:t>
            </w:r>
          </w:p>
        </w:tc>
        <w:tc>
          <w:tcPr>
            <w:tcW w:w="2551" w:type="dxa"/>
            <w:vAlign w:val="center"/>
          </w:tcPr>
          <w:p>
            <w:pPr>
              <w:pStyle w:val="15"/>
            </w:pPr>
            <w:r>
              <w:t>29.86</w:t>
            </w:r>
          </w:p>
        </w:tc>
        <w:tc>
          <w:tcPr>
            <w:tcW w:w="2551"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预算一般公共预算财政拨款基本支出表</w:t>
      </w:r>
      <w:bookmarkEnd w:id="5"/>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101唐山市开平区人民代表大会常务委员会</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支出</w:t>
            </w:r>
            <w:r>
              <w:rPr>
                <w:rFonts w:hint="eastAsia"/>
                <w:lang w:eastAsia="zh-CN"/>
              </w:rPr>
              <w:t>单位</w:t>
            </w:r>
            <w:r>
              <w:t>经济分类科目</w:t>
            </w:r>
          </w:p>
        </w:tc>
        <w:tc>
          <w:tcPr>
            <w:tcW w:w="7654" w:type="dxa"/>
            <w:gridSpan w:val="3"/>
            <w:vAlign w:val="center"/>
          </w:tcPr>
          <w:p>
            <w:pPr>
              <w:pStyle w:val="14"/>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Align w:val="center"/>
          </w:tcPr>
          <w:p>
            <w:pPr>
              <w:pStyle w:val="14"/>
            </w:pPr>
            <w:r>
              <w:t>合计</w:t>
            </w:r>
          </w:p>
        </w:tc>
        <w:tc>
          <w:tcPr>
            <w:tcW w:w="2551" w:type="dxa"/>
            <w:vAlign w:val="center"/>
          </w:tcPr>
          <w:p>
            <w:pPr>
              <w:pStyle w:val="14"/>
            </w:pPr>
            <w:r>
              <w:t>人员经费</w:t>
            </w:r>
          </w:p>
        </w:tc>
        <w:tc>
          <w:tcPr>
            <w:tcW w:w="2551" w:type="dxa"/>
            <w:vAlign w:val="center"/>
          </w:tcPr>
          <w:p>
            <w:pPr>
              <w:pStyle w:val="14"/>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589.49</w:t>
            </w:r>
          </w:p>
        </w:tc>
        <w:tc>
          <w:tcPr>
            <w:tcW w:w="2551" w:type="dxa"/>
            <w:vAlign w:val="center"/>
          </w:tcPr>
          <w:p>
            <w:pPr>
              <w:pStyle w:val="19"/>
            </w:pPr>
            <w:r>
              <w:t>536.36</w:t>
            </w:r>
          </w:p>
        </w:tc>
        <w:tc>
          <w:tcPr>
            <w:tcW w:w="2551" w:type="dxa"/>
            <w:vAlign w:val="center"/>
          </w:tcPr>
          <w:p>
            <w:pPr>
              <w:pStyle w:val="19"/>
            </w:pPr>
            <w:r>
              <w:t>53.13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301</w:t>
            </w:r>
          </w:p>
        </w:tc>
        <w:tc>
          <w:tcPr>
            <w:tcW w:w="4535" w:type="dxa"/>
            <w:vAlign w:val="center"/>
          </w:tcPr>
          <w:p>
            <w:pPr>
              <w:pStyle w:val="16"/>
            </w:pPr>
            <w:r>
              <w:t>工资福利支出</w:t>
            </w:r>
          </w:p>
        </w:tc>
        <w:tc>
          <w:tcPr>
            <w:tcW w:w="2551" w:type="dxa"/>
            <w:vAlign w:val="center"/>
          </w:tcPr>
          <w:p>
            <w:pPr>
              <w:pStyle w:val="15"/>
            </w:pPr>
            <w:r>
              <w:t>488.62</w:t>
            </w:r>
          </w:p>
        </w:tc>
        <w:tc>
          <w:tcPr>
            <w:tcW w:w="2551" w:type="dxa"/>
            <w:vAlign w:val="center"/>
          </w:tcPr>
          <w:p>
            <w:pPr>
              <w:pStyle w:val="15"/>
            </w:pPr>
            <w:r>
              <w:t>488.62</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30101</w:t>
            </w:r>
          </w:p>
        </w:tc>
        <w:tc>
          <w:tcPr>
            <w:tcW w:w="4535" w:type="dxa"/>
            <w:vAlign w:val="center"/>
          </w:tcPr>
          <w:p>
            <w:pPr>
              <w:pStyle w:val="16"/>
            </w:pPr>
            <w:r>
              <w:t>基本工资</w:t>
            </w:r>
          </w:p>
        </w:tc>
        <w:tc>
          <w:tcPr>
            <w:tcW w:w="2551" w:type="dxa"/>
            <w:vAlign w:val="center"/>
          </w:tcPr>
          <w:p>
            <w:pPr>
              <w:pStyle w:val="15"/>
            </w:pPr>
            <w:r>
              <w:t>126.28</w:t>
            </w:r>
          </w:p>
        </w:tc>
        <w:tc>
          <w:tcPr>
            <w:tcW w:w="2551" w:type="dxa"/>
            <w:vAlign w:val="center"/>
          </w:tcPr>
          <w:p>
            <w:pPr>
              <w:pStyle w:val="15"/>
            </w:pPr>
            <w:r>
              <w:t>126.28</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30102</w:t>
            </w:r>
          </w:p>
        </w:tc>
        <w:tc>
          <w:tcPr>
            <w:tcW w:w="4535" w:type="dxa"/>
            <w:vAlign w:val="center"/>
          </w:tcPr>
          <w:p>
            <w:pPr>
              <w:pStyle w:val="16"/>
            </w:pPr>
            <w:r>
              <w:t>津贴补贴</w:t>
            </w:r>
          </w:p>
        </w:tc>
        <w:tc>
          <w:tcPr>
            <w:tcW w:w="2551" w:type="dxa"/>
            <w:vAlign w:val="center"/>
          </w:tcPr>
          <w:p>
            <w:pPr>
              <w:pStyle w:val="15"/>
            </w:pPr>
            <w:r>
              <w:t>111.21</w:t>
            </w:r>
          </w:p>
        </w:tc>
        <w:tc>
          <w:tcPr>
            <w:tcW w:w="2551" w:type="dxa"/>
            <w:vAlign w:val="center"/>
          </w:tcPr>
          <w:p>
            <w:pPr>
              <w:pStyle w:val="15"/>
            </w:pPr>
            <w:r>
              <w:t>111.21</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30103</w:t>
            </w:r>
          </w:p>
        </w:tc>
        <w:tc>
          <w:tcPr>
            <w:tcW w:w="4535" w:type="dxa"/>
            <w:vAlign w:val="center"/>
          </w:tcPr>
          <w:p>
            <w:pPr>
              <w:pStyle w:val="16"/>
            </w:pPr>
            <w:r>
              <w:t>奖金</w:t>
            </w:r>
          </w:p>
        </w:tc>
        <w:tc>
          <w:tcPr>
            <w:tcW w:w="2551" w:type="dxa"/>
            <w:vAlign w:val="center"/>
          </w:tcPr>
          <w:p>
            <w:pPr>
              <w:pStyle w:val="15"/>
            </w:pPr>
            <w:r>
              <w:t>35.13</w:t>
            </w:r>
          </w:p>
        </w:tc>
        <w:tc>
          <w:tcPr>
            <w:tcW w:w="2551" w:type="dxa"/>
            <w:vAlign w:val="center"/>
          </w:tcPr>
          <w:p>
            <w:pPr>
              <w:pStyle w:val="15"/>
            </w:pPr>
            <w:r>
              <w:t>35.13</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30108</w:t>
            </w:r>
          </w:p>
        </w:tc>
        <w:tc>
          <w:tcPr>
            <w:tcW w:w="4535" w:type="dxa"/>
            <w:vAlign w:val="center"/>
          </w:tcPr>
          <w:p>
            <w:pPr>
              <w:pStyle w:val="16"/>
            </w:pPr>
            <w:r>
              <w:t>机关事业单位基本养老保险缴费</w:t>
            </w:r>
          </w:p>
        </w:tc>
        <w:tc>
          <w:tcPr>
            <w:tcW w:w="2551" w:type="dxa"/>
            <w:vAlign w:val="center"/>
          </w:tcPr>
          <w:p>
            <w:pPr>
              <w:pStyle w:val="15"/>
            </w:pPr>
            <w:r>
              <w:t>33.41</w:t>
            </w:r>
          </w:p>
        </w:tc>
        <w:tc>
          <w:tcPr>
            <w:tcW w:w="2551" w:type="dxa"/>
            <w:vAlign w:val="center"/>
          </w:tcPr>
          <w:p>
            <w:pPr>
              <w:pStyle w:val="15"/>
            </w:pPr>
            <w:r>
              <w:t>33.41</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30109</w:t>
            </w:r>
          </w:p>
        </w:tc>
        <w:tc>
          <w:tcPr>
            <w:tcW w:w="4535" w:type="dxa"/>
            <w:vAlign w:val="center"/>
          </w:tcPr>
          <w:p>
            <w:pPr>
              <w:pStyle w:val="16"/>
            </w:pPr>
            <w:r>
              <w:t>职业年金缴费</w:t>
            </w:r>
          </w:p>
        </w:tc>
        <w:tc>
          <w:tcPr>
            <w:tcW w:w="2551" w:type="dxa"/>
            <w:vAlign w:val="center"/>
          </w:tcPr>
          <w:p>
            <w:pPr>
              <w:pStyle w:val="15"/>
            </w:pPr>
            <w:r>
              <w:t>17.94</w:t>
            </w:r>
          </w:p>
        </w:tc>
        <w:tc>
          <w:tcPr>
            <w:tcW w:w="2551" w:type="dxa"/>
            <w:vAlign w:val="center"/>
          </w:tcPr>
          <w:p>
            <w:pPr>
              <w:pStyle w:val="15"/>
            </w:pPr>
            <w:r>
              <w:t>17.94</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30110</w:t>
            </w:r>
          </w:p>
        </w:tc>
        <w:tc>
          <w:tcPr>
            <w:tcW w:w="4535" w:type="dxa"/>
            <w:vAlign w:val="center"/>
          </w:tcPr>
          <w:p>
            <w:pPr>
              <w:pStyle w:val="16"/>
            </w:pPr>
            <w:r>
              <w:t>职工基本医疗保险缴费</w:t>
            </w:r>
          </w:p>
        </w:tc>
        <w:tc>
          <w:tcPr>
            <w:tcW w:w="2551" w:type="dxa"/>
            <w:vAlign w:val="center"/>
          </w:tcPr>
          <w:p>
            <w:pPr>
              <w:pStyle w:val="15"/>
            </w:pPr>
            <w:r>
              <w:t>55.13</w:t>
            </w:r>
          </w:p>
        </w:tc>
        <w:tc>
          <w:tcPr>
            <w:tcW w:w="2551" w:type="dxa"/>
            <w:vAlign w:val="center"/>
          </w:tcPr>
          <w:p>
            <w:pPr>
              <w:pStyle w:val="15"/>
            </w:pPr>
            <w:r>
              <w:t>55.13</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30112</w:t>
            </w:r>
          </w:p>
        </w:tc>
        <w:tc>
          <w:tcPr>
            <w:tcW w:w="4535" w:type="dxa"/>
            <w:vAlign w:val="center"/>
          </w:tcPr>
          <w:p>
            <w:pPr>
              <w:pStyle w:val="16"/>
            </w:pPr>
            <w:r>
              <w:t>其他社会保障缴费</w:t>
            </w:r>
          </w:p>
        </w:tc>
        <w:tc>
          <w:tcPr>
            <w:tcW w:w="2551" w:type="dxa"/>
            <w:vAlign w:val="center"/>
          </w:tcPr>
          <w:p>
            <w:pPr>
              <w:pStyle w:val="15"/>
            </w:pPr>
            <w:r>
              <w:t>19.79</w:t>
            </w:r>
          </w:p>
        </w:tc>
        <w:tc>
          <w:tcPr>
            <w:tcW w:w="2551" w:type="dxa"/>
            <w:vAlign w:val="center"/>
          </w:tcPr>
          <w:p>
            <w:pPr>
              <w:pStyle w:val="15"/>
            </w:pPr>
            <w:r>
              <w:t>19.79</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30113</w:t>
            </w:r>
          </w:p>
        </w:tc>
        <w:tc>
          <w:tcPr>
            <w:tcW w:w="4535" w:type="dxa"/>
            <w:vAlign w:val="center"/>
          </w:tcPr>
          <w:p>
            <w:pPr>
              <w:pStyle w:val="16"/>
            </w:pPr>
            <w:r>
              <w:t>住房公积金</w:t>
            </w:r>
          </w:p>
        </w:tc>
        <w:tc>
          <w:tcPr>
            <w:tcW w:w="2551" w:type="dxa"/>
            <w:vAlign w:val="center"/>
          </w:tcPr>
          <w:p>
            <w:pPr>
              <w:pStyle w:val="15"/>
            </w:pPr>
            <w:r>
              <w:t>29.86</w:t>
            </w:r>
          </w:p>
        </w:tc>
        <w:tc>
          <w:tcPr>
            <w:tcW w:w="2551" w:type="dxa"/>
            <w:vAlign w:val="center"/>
          </w:tcPr>
          <w:p>
            <w:pPr>
              <w:pStyle w:val="15"/>
            </w:pPr>
            <w:r>
              <w:t>29.86</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30199</w:t>
            </w:r>
          </w:p>
        </w:tc>
        <w:tc>
          <w:tcPr>
            <w:tcW w:w="4535" w:type="dxa"/>
            <w:vAlign w:val="center"/>
          </w:tcPr>
          <w:p>
            <w:pPr>
              <w:pStyle w:val="16"/>
            </w:pPr>
            <w:r>
              <w:t>其他工资福利支出</w:t>
            </w:r>
          </w:p>
        </w:tc>
        <w:tc>
          <w:tcPr>
            <w:tcW w:w="2551" w:type="dxa"/>
            <w:vAlign w:val="center"/>
          </w:tcPr>
          <w:p>
            <w:pPr>
              <w:pStyle w:val="15"/>
            </w:pPr>
            <w:r>
              <w:t>59.88</w:t>
            </w:r>
          </w:p>
        </w:tc>
        <w:tc>
          <w:tcPr>
            <w:tcW w:w="2551" w:type="dxa"/>
            <w:vAlign w:val="center"/>
          </w:tcPr>
          <w:p>
            <w:pPr>
              <w:pStyle w:val="15"/>
            </w:pPr>
            <w:r>
              <w:t>59.88</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302</w:t>
            </w:r>
          </w:p>
        </w:tc>
        <w:tc>
          <w:tcPr>
            <w:tcW w:w="4535" w:type="dxa"/>
            <w:vAlign w:val="center"/>
          </w:tcPr>
          <w:p>
            <w:pPr>
              <w:pStyle w:val="16"/>
            </w:pPr>
            <w:r>
              <w:t>商品和服务支出</w:t>
            </w:r>
          </w:p>
        </w:tc>
        <w:tc>
          <w:tcPr>
            <w:tcW w:w="2551" w:type="dxa"/>
            <w:vAlign w:val="center"/>
          </w:tcPr>
          <w:p>
            <w:pPr>
              <w:pStyle w:val="15"/>
            </w:pPr>
            <w:r>
              <w:t>53.13</w:t>
            </w:r>
          </w:p>
        </w:tc>
        <w:tc>
          <w:tcPr>
            <w:tcW w:w="2551" w:type="dxa"/>
            <w:vAlign w:val="center"/>
          </w:tcPr>
          <w:p>
            <w:pPr>
              <w:pStyle w:val="15"/>
            </w:pPr>
          </w:p>
        </w:tc>
        <w:tc>
          <w:tcPr>
            <w:tcW w:w="2551" w:type="dxa"/>
            <w:vAlign w:val="center"/>
          </w:tcPr>
          <w:p>
            <w:pPr>
              <w:pStyle w:val="15"/>
            </w:pPr>
            <w:r>
              <w:t>53.13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pPr>
            <w:r>
              <w:t>30201</w:t>
            </w:r>
          </w:p>
        </w:tc>
        <w:tc>
          <w:tcPr>
            <w:tcW w:w="4535" w:type="dxa"/>
            <w:vAlign w:val="center"/>
          </w:tcPr>
          <w:p>
            <w:pPr>
              <w:pStyle w:val="16"/>
            </w:pPr>
            <w:r>
              <w:t>办公费</w:t>
            </w:r>
          </w:p>
        </w:tc>
        <w:tc>
          <w:tcPr>
            <w:tcW w:w="2551" w:type="dxa"/>
            <w:vAlign w:val="center"/>
          </w:tcPr>
          <w:p>
            <w:pPr>
              <w:pStyle w:val="15"/>
            </w:pPr>
            <w:r>
              <w:t>5.00</w:t>
            </w:r>
          </w:p>
        </w:tc>
        <w:tc>
          <w:tcPr>
            <w:tcW w:w="2551" w:type="dxa"/>
            <w:vAlign w:val="center"/>
          </w:tcPr>
          <w:p>
            <w:pPr>
              <w:pStyle w:val="15"/>
            </w:pPr>
          </w:p>
        </w:tc>
        <w:tc>
          <w:tcPr>
            <w:tcW w:w="2551" w:type="dxa"/>
            <w:vAlign w:val="center"/>
          </w:tcPr>
          <w:p>
            <w:pPr>
              <w:pStyle w:val="15"/>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1191" w:type="dxa"/>
            <w:vAlign w:val="center"/>
          </w:tcPr>
          <w:p>
            <w:pPr>
              <w:pStyle w:val="16"/>
            </w:pPr>
            <w:r>
              <w:t>30207</w:t>
            </w:r>
          </w:p>
        </w:tc>
        <w:tc>
          <w:tcPr>
            <w:tcW w:w="4535" w:type="dxa"/>
            <w:vAlign w:val="center"/>
          </w:tcPr>
          <w:p>
            <w:pPr>
              <w:pStyle w:val="16"/>
            </w:pPr>
            <w:r>
              <w:t>邮电费</w:t>
            </w:r>
          </w:p>
        </w:tc>
        <w:tc>
          <w:tcPr>
            <w:tcW w:w="2551" w:type="dxa"/>
            <w:vAlign w:val="center"/>
          </w:tcPr>
          <w:p>
            <w:pPr>
              <w:pStyle w:val="15"/>
            </w:pPr>
            <w:r>
              <w:t>11.88</w:t>
            </w:r>
          </w:p>
        </w:tc>
        <w:tc>
          <w:tcPr>
            <w:tcW w:w="2551" w:type="dxa"/>
            <w:vAlign w:val="center"/>
          </w:tcPr>
          <w:p>
            <w:pPr>
              <w:pStyle w:val="15"/>
            </w:pPr>
          </w:p>
        </w:tc>
        <w:tc>
          <w:tcPr>
            <w:tcW w:w="2551" w:type="dxa"/>
            <w:vAlign w:val="center"/>
          </w:tcPr>
          <w:p>
            <w:pPr>
              <w:pStyle w:val="15"/>
            </w:pPr>
            <w:r>
              <w:t>11.88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1191" w:type="dxa"/>
            <w:vAlign w:val="center"/>
          </w:tcPr>
          <w:p>
            <w:pPr>
              <w:pStyle w:val="16"/>
            </w:pPr>
            <w:r>
              <w:t>30211</w:t>
            </w:r>
          </w:p>
        </w:tc>
        <w:tc>
          <w:tcPr>
            <w:tcW w:w="4535" w:type="dxa"/>
            <w:vAlign w:val="center"/>
          </w:tcPr>
          <w:p>
            <w:pPr>
              <w:pStyle w:val="16"/>
            </w:pPr>
            <w:r>
              <w:t>差旅费</w:t>
            </w:r>
          </w:p>
        </w:tc>
        <w:tc>
          <w:tcPr>
            <w:tcW w:w="2551" w:type="dxa"/>
            <w:vAlign w:val="center"/>
          </w:tcPr>
          <w:p>
            <w:pPr>
              <w:pStyle w:val="15"/>
            </w:pPr>
            <w:r>
              <w:t>1.30</w:t>
            </w:r>
          </w:p>
        </w:tc>
        <w:tc>
          <w:tcPr>
            <w:tcW w:w="2551" w:type="dxa"/>
            <w:vAlign w:val="center"/>
          </w:tcPr>
          <w:p>
            <w:pPr>
              <w:pStyle w:val="15"/>
            </w:pPr>
          </w:p>
        </w:tc>
        <w:tc>
          <w:tcPr>
            <w:tcW w:w="2551" w:type="dxa"/>
            <w:vAlign w:val="center"/>
          </w:tcPr>
          <w:p>
            <w:pPr>
              <w:pStyle w:val="15"/>
            </w:pPr>
            <w:r>
              <w:t>1.30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1191" w:type="dxa"/>
            <w:vAlign w:val="center"/>
          </w:tcPr>
          <w:p>
            <w:pPr>
              <w:pStyle w:val="16"/>
            </w:pPr>
            <w:r>
              <w:t>30228</w:t>
            </w:r>
          </w:p>
        </w:tc>
        <w:tc>
          <w:tcPr>
            <w:tcW w:w="4535" w:type="dxa"/>
            <w:vAlign w:val="center"/>
          </w:tcPr>
          <w:p>
            <w:pPr>
              <w:pStyle w:val="16"/>
            </w:pPr>
            <w:r>
              <w:t>工会经费</w:t>
            </w:r>
          </w:p>
        </w:tc>
        <w:tc>
          <w:tcPr>
            <w:tcW w:w="2551" w:type="dxa"/>
            <w:vAlign w:val="center"/>
          </w:tcPr>
          <w:p>
            <w:pPr>
              <w:pStyle w:val="15"/>
            </w:pPr>
            <w:r>
              <w:t>2.53</w:t>
            </w:r>
          </w:p>
        </w:tc>
        <w:tc>
          <w:tcPr>
            <w:tcW w:w="2551" w:type="dxa"/>
            <w:vAlign w:val="center"/>
          </w:tcPr>
          <w:p>
            <w:pPr>
              <w:pStyle w:val="15"/>
            </w:pPr>
          </w:p>
        </w:tc>
        <w:tc>
          <w:tcPr>
            <w:tcW w:w="2551" w:type="dxa"/>
            <w:vAlign w:val="center"/>
          </w:tcPr>
          <w:p>
            <w:pPr>
              <w:pStyle w:val="15"/>
            </w:pPr>
            <w:r>
              <w:t>2.53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1191" w:type="dxa"/>
            <w:vAlign w:val="center"/>
          </w:tcPr>
          <w:p>
            <w:pPr>
              <w:pStyle w:val="16"/>
            </w:pPr>
            <w:r>
              <w:t>30229</w:t>
            </w:r>
          </w:p>
        </w:tc>
        <w:tc>
          <w:tcPr>
            <w:tcW w:w="4535" w:type="dxa"/>
            <w:vAlign w:val="center"/>
          </w:tcPr>
          <w:p>
            <w:pPr>
              <w:pStyle w:val="16"/>
            </w:pPr>
            <w:r>
              <w:t>福利费</w:t>
            </w:r>
          </w:p>
        </w:tc>
        <w:tc>
          <w:tcPr>
            <w:tcW w:w="2551" w:type="dxa"/>
            <w:vAlign w:val="center"/>
          </w:tcPr>
          <w:p>
            <w:pPr>
              <w:pStyle w:val="15"/>
            </w:pPr>
            <w:r>
              <w:t>3.16</w:t>
            </w:r>
          </w:p>
        </w:tc>
        <w:tc>
          <w:tcPr>
            <w:tcW w:w="2551" w:type="dxa"/>
            <w:vAlign w:val="center"/>
          </w:tcPr>
          <w:p>
            <w:pPr>
              <w:pStyle w:val="15"/>
            </w:pPr>
          </w:p>
        </w:tc>
        <w:tc>
          <w:tcPr>
            <w:tcW w:w="2551" w:type="dxa"/>
            <w:vAlign w:val="center"/>
          </w:tcPr>
          <w:p>
            <w:pPr>
              <w:pStyle w:val="15"/>
            </w:pPr>
            <w:r>
              <w:t>3.16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1191" w:type="dxa"/>
            <w:vAlign w:val="center"/>
          </w:tcPr>
          <w:p>
            <w:pPr>
              <w:pStyle w:val="16"/>
            </w:pPr>
            <w:r>
              <w:t>30231</w:t>
            </w:r>
          </w:p>
        </w:tc>
        <w:tc>
          <w:tcPr>
            <w:tcW w:w="4535" w:type="dxa"/>
            <w:vAlign w:val="center"/>
          </w:tcPr>
          <w:p>
            <w:pPr>
              <w:pStyle w:val="16"/>
            </w:pPr>
            <w:r>
              <w:t>公务用车运行维护费</w:t>
            </w:r>
          </w:p>
        </w:tc>
        <w:tc>
          <w:tcPr>
            <w:tcW w:w="2551" w:type="dxa"/>
            <w:vAlign w:val="center"/>
          </w:tcPr>
          <w:p>
            <w:pPr>
              <w:pStyle w:val="15"/>
            </w:pPr>
            <w:r>
              <w:t>9.00</w:t>
            </w:r>
          </w:p>
        </w:tc>
        <w:tc>
          <w:tcPr>
            <w:tcW w:w="2551" w:type="dxa"/>
            <w:vAlign w:val="center"/>
          </w:tcPr>
          <w:p>
            <w:pPr>
              <w:pStyle w:val="15"/>
            </w:pPr>
          </w:p>
        </w:tc>
        <w:tc>
          <w:tcPr>
            <w:tcW w:w="2551" w:type="dxa"/>
            <w:vAlign w:val="center"/>
          </w:tcPr>
          <w:p>
            <w:pPr>
              <w:pStyle w:val="15"/>
            </w:pPr>
            <w:r>
              <w:t>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1191" w:type="dxa"/>
            <w:vAlign w:val="center"/>
          </w:tcPr>
          <w:p>
            <w:pPr>
              <w:pStyle w:val="16"/>
            </w:pPr>
            <w:r>
              <w:t>30239</w:t>
            </w:r>
          </w:p>
        </w:tc>
        <w:tc>
          <w:tcPr>
            <w:tcW w:w="4535" w:type="dxa"/>
            <w:vAlign w:val="center"/>
          </w:tcPr>
          <w:p>
            <w:pPr>
              <w:pStyle w:val="16"/>
            </w:pPr>
            <w:r>
              <w:t>其他交通费用</w:t>
            </w:r>
          </w:p>
        </w:tc>
        <w:tc>
          <w:tcPr>
            <w:tcW w:w="2551" w:type="dxa"/>
            <w:vAlign w:val="center"/>
          </w:tcPr>
          <w:p>
            <w:pPr>
              <w:pStyle w:val="15"/>
            </w:pPr>
            <w:r>
              <w:t>16.97</w:t>
            </w:r>
          </w:p>
        </w:tc>
        <w:tc>
          <w:tcPr>
            <w:tcW w:w="2551" w:type="dxa"/>
            <w:vAlign w:val="center"/>
          </w:tcPr>
          <w:p>
            <w:pPr>
              <w:pStyle w:val="15"/>
            </w:pPr>
          </w:p>
        </w:tc>
        <w:tc>
          <w:tcPr>
            <w:tcW w:w="2551" w:type="dxa"/>
            <w:vAlign w:val="center"/>
          </w:tcPr>
          <w:p>
            <w:pPr>
              <w:pStyle w:val="15"/>
            </w:pPr>
            <w:r>
              <w:t>16.97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1191" w:type="dxa"/>
            <w:vAlign w:val="center"/>
          </w:tcPr>
          <w:p>
            <w:pPr>
              <w:pStyle w:val="16"/>
            </w:pPr>
            <w:r>
              <w:t>30299</w:t>
            </w:r>
          </w:p>
        </w:tc>
        <w:tc>
          <w:tcPr>
            <w:tcW w:w="4535" w:type="dxa"/>
            <w:vAlign w:val="center"/>
          </w:tcPr>
          <w:p>
            <w:pPr>
              <w:pStyle w:val="16"/>
            </w:pPr>
            <w:r>
              <w:t>其他商品和服务支出</w:t>
            </w:r>
          </w:p>
        </w:tc>
        <w:tc>
          <w:tcPr>
            <w:tcW w:w="2551" w:type="dxa"/>
            <w:vAlign w:val="center"/>
          </w:tcPr>
          <w:p>
            <w:pPr>
              <w:pStyle w:val="15"/>
            </w:pPr>
            <w:r>
              <w:t>3.30</w:t>
            </w:r>
          </w:p>
        </w:tc>
        <w:tc>
          <w:tcPr>
            <w:tcW w:w="2551" w:type="dxa"/>
            <w:vAlign w:val="center"/>
          </w:tcPr>
          <w:p>
            <w:pPr>
              <w:pStyle w:val="15"/>
            </w:pPr>
          </w:p>
        </w:tc>
        <w:tc>
          <w:tcPr>
            <w:tcW w:w="2551" w:type="dxa"/>
            <w:vAlign w:val="center"/>
          </w:tcPr>
          <w:p>
            <w:pPr>
              <w:pStyle w:val="15"/>
            </w:pPr>
            <w:r>
              <w:t>3.30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1191" w:type="dxa"/>
            <w:vAlign w:val="center"/>
          </w:tcPr>
          <w:p>
            <w:pPr>
              <w:pStyle w:val="16"/>
            </w:pPr>
            <w:r>
              <w:t>303</w:t>
            </w:r>
          </w:p>
        </w:tc>
        <w:tc>
          <w:tcPr>
            <w:tcW w:w="4535" w:type="dxa"/>
            <w:vAlign w:val="center"/>
          </w:tcPr>
          <w:p>
            <w:pPr>
              <w:pStyle w:val="16"/>
            </w:pPr>
            <w:r>
              <w:t>对个人和家庭的补助</w:t>
            </w:r>
          </w:p>
        </w:tc>
        <w:tc>
          <w:tcPr>
            <w:tcW w:w="2551" w:type="dxa"/>
            <w:vAlign w:val="center"/>
          </w:tcPr>
          <w:p>
            <w:pPr>
              <w:pStyle w:val="15"/>
            </w:pPr>
            <w:r>
              <w:t>47.75</w:t>
            </w:r>
          </w:p>
        </w:tc>
        <w:tc>
          <w:tcPr>
            <w:tcW w:w="2551" w:type="dxa"/>
            <w:vAlign w:val="center"/>
          </w:tcPr>
          <w:p>
            <w:pPr>
              <w:pStyle w:val="15"/>
            </w:pPr>
            <w:r>
              <w:t>47.75</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1191" w:type="dxa"/>
            <w:vAlign w:val="center"/>
          </w:tcPr>
          <w:p>
            <w:pPr>
              <w:pStyle w:val="16"/>
            </w:pPr>
            <w:r>
              <w:t>30302</w:t>
            </w:r>
          </w:p>
        </w:tc>
        <w:tc>
          <w:tcPr>
            <w:tcW w:w="4535" w:type="dxa"/>
            <w:vAlign w:val="center"/>
          </w:tcPr>
          <w:p>
            <w:pPr>
              <w:pStyle w:val="16"/>
            </w:pPr>
            <w:r>
              <w:t>退休费</w:t>
            </w:r>
          </w:p>
        </w:tc>
        <w:tc>
          <w:tcPr>
            <w:tcW w:w="2551" w:type="dxa"/>
            <w:vAlign w:val="center"/>
          </w:tcPr>
          <w:p>
            <w:pPr>
              <w:pStyle w:val="15"/>
            </w:pPr>
            <w:r>
              <w:t>47.75</w:t>
            </w:r>
          </w:p>
        </w:tc>
        <w:tc>
          <w:tcPr>
            <w:tcW w:w="2551" w:type="dxa"/>
            <w:vAlign w:val="center"/>
          </w:tcPr>
          <w:p>
            <w:pPr>
              <w:pStyle w:val="15"/>
            </w:pPr>
            <w:r>
              <w:t>47.75</w:t>
            </w:r>
          </w:p>
        </w:tc>
        <w:tc>
          <w:tcPr>
            <w:tcW w:w="2551"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预算政府基金预算财政拨款支出表</w:t>
      </w:r>
      <w:bookmarkEnd w:id="6"/>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101唐山市开平区人民代表大会常务委员会</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预算国有资本经营预算财政拨款支出表</w:t>
      </w:r>
      <w:bookmarkEnd w:id="7"/>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101唐山市开平区人民代表大会常务委员会</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预算财政拨款“三公”经费支出表</w:t>
      </w:r>
      <w:bookmarkEnd w:id="8"/>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3"/>
            </w:pPr>
            <w:r>
              <w:t>101唐山市开平区人民代表大会常务委员会</w:t>
            </w:r>
          </w:p>
        </w:tc>
        <w:tc>
          <w:tcPr>
            <w:tcW w:w="2381" w:type="dxa"/>
            <w:tcBorders>
              <w:top w:val="single" w:color="FFFFFF" w:sz="6" w:space="0"/>
              <w:left w:val="single" w:color="FFFFFF" w:sz="6" w:space="0"/>
              <w:right w:val="single" w:color="FFFFFF" w:sz="6" w:space="0"/>
            </w:tcBorders>
            <w:vAlign w:val="center"/>
          </w:tcPr>
          <w:p>
            <w:pPr>
              <w:pStyle w:val="12"/>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3798" w:type="dxa"/>
            <w:vMerge w:val="restart"/>
            <w:vAlign w:val="center"/>
          </w:tcPr>
          <w:p>
            <w:pPr>
              <w:pStyle w:val="14"/>
            </w:pPr>
            <w:r>
              <w:t>项  目</w:t>
            </w:r>
          </w:p>
        </w:tc>
        <w:tc>
          <w:tcPr>
            <w:tcW w:w="9524" w:type="dxa"/>
            <w:gridSpan w:val="4"/>
            <w:vAlign w:val="center"/>
          </w:tcPr>
          <w:p>
            <w:pPr>
              <w:pStyle w:val="14"/>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4"/>
            </w:pPr>
            <w:r>
              <w:t>合计</w:t>
            </w:r>
          </w:p>
        </w:tc>
        <w:tc>
          <w:tcPr>
            <w:tcW w:w="2381" w:type="dxa"/>
            <w:vAlign w:val="center"/>
          </w:tcPr>
          <w:p>
            <w:pPr>
              <w:pStyle w:val="14"/>
            </w:pPr>
            <w:r>
              <w:t>一般公共预算              财政拨款</w:t>
            </w:r>
          </w:p>
        </w:tc>
        <w:tc>
          <w:tcPr>
            <w:tcW w:w="2381" w:type="dxa"/>
            <w:vAlign w:val="center"/>
          </w:tcPr>
          <w:p>
            <w:pPr>
              <w:pStyle w:val="14"/>
            </w:pPr>
            <w:r>
              <w:t>政府性基金                  预算拨款</w:t>
            </w:r>
          </w:p>
        </w:tc>
        <w:tc>
          <w:tcPr>
            <w:tcW w:w="2381" w:type="dxa"/>
            <w:vAlign w:val="center"/>
          </w:tcPr>
          <w:p>
            <w:pPr>
              <w:pStyle w:val="14"/>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4"/>
            </w:pPr>
            <w:r>
              <w:t>栏次</w:t>
            </w:r>
          </w:p>
        </w:tc>
        <w:tc>
          <w:tcPr>
            <w:tcW w:w="3798" w:type="dxa"/>
            <w:vAlign w:val="center"/>
          </w:tcPr>
          <w:p>
            <w:pPr>
              <w:pStyle w:val="14"/>
            </w:pPr>
            <w:r>
              <w:t>1</w:t>
            </w:r>
          </w:p>
        </w:tc>
        <w:tc>
          <w:tcPr>
            <w:tcW w:w="2381" w:type="dxa"/>
            <w:vAlign w:val="center"/>
          </w:tcPr>
          <w:p>
            <w:pPr>
              <w:pStyle w:val="14"/>
            </w:pPr>
            <w:r>
              <w:t>2</w:t>
            </w:r>
          </w:p>
        </w:tc>
        <w:tc>
          <w:tcPr>
            <w:tcW w:w="2381" w:type="dxa"/>
            <w:vAlign w:val="center"/>
          </w:tcPr>
          <w:p>
            <w:pPr>
              <w:pStyle w:val="14"/>
            </w:pPr>
            <w:r>
              <w:t>3</w:t>
            </w:r>
          </w:p>
        </w:tc>
        <w:tc>
          <w:tcPr>
            <w:tcW w:w="2381" w:type="dxa"/>
            <w:vAlign w:val="center"/>
          </w:tcPr>
          <w:p>
            <w:pPr>
              <w:pStyle w:val="14"/>
            </w:pPr>
            <w:r>
              <w:t>4</w:t>
            </w:r>
          </w:p>
        </w:tc>
        <w:tc>
          <w:tcPr>
            <w:tcW w:w="238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1</w:t>
            </w:r>
          </w:p>
        </w:tc>
        <w:tc>
          <w:tcPr>
            <w:tcW w:w="3798" w:type="dxa"/>
            <w:vAlign w:val="center"/>
          </w:tcPr>
          <w:p>
            <w:pPr>
              <w:pStyle w:val="18"/>
            </w:pPr>
            <w:r>
              <w:t>合计</w:t>
            </w:r>
          </w:p>
        </w:tc>
        <w:tc>
          <w:tcPr>
            <w:tcW w:w="2381" w:type="dxa"/>
            <w:vAlign w:val="center"/>
          </w:tcPr>
          <w:p>
            <w:pPr>
              <w:pStyle w:val="19"/>
            </w:pPr>
            <w:r>
              <w:t>9.00</w:t>
            </w:r>
          </w:p>
        </w:tc>
        <w:tc>
          <w:tcPr>
            <w:tcW w:w="2381" w:type="dxa"/>
            <w:vAlign w:val="center"/>
          </w:tcPr>
          <w:p>
            <w:pPr>
              <w:pStyle w:val="19"/>
            </w:pPr>
            <w:r>
              <w:t>9.00</w:t>
            </w:r>
          </w:p>
        </w:tc>
        <w:tc>
          <w:tcPr>
            <w:tcW w:w="2381" w:type="dxa"/>
            <w:vAlign w:val="center"/>
          </w:tcPr>
          <w:p>
            <w:pPr>
              <w:pStyle w:val="19"/>
            </w:pPr>
          </w:p>
        </w:tc>
        <w:tc>
          <w:tcPr>
            <w:tcW w:w="238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2</w:t>
            </w:r>
          </w:p>
        </w:tc>
        <w:tc>
          <w:tcPr>
            <w:tcW w:w="3798" w:type="dxa"/>
            <w:vAlign w:val="center"/>
          </w:tcPr>
          <w:p>
            <w:pPr>
              <w:pStyle w:val="16"/>
            </w:pPr>
            <w:r>
              <w:t>“三公”经费小计</w:t>
            </w:r>
          </w:p>
        </w:tc>
        <w:tc>
          <w:tcPr>
            <w:tcW w:w="2381" w:type="dxa"/>
            <w:vAlign w:val="center"/>
          </w:tcPr>
          <w:p>
            <w:pPr>
              <w:pStyle w:val="15"/>
            </w:pPr>
            <w:r>
              <w:t>9.00</w:t>
            </w:r>
          </w:p>
        </w:tc>
        <w:tc>
          <w:tcPr>
            <w:tcW w:w="2381" w:type="dxa"/>
            <w:vAlign w:val="center"/>
          </w:tcPr>
          <w:p>
            <w:pPr>
              <w:pStyle w:val="15"/>
            </w:pPr>
            <w:r>
              <w:t>9.00</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3</w:t>
            </w:r>
          </w:p>
        </w:tc>
        <w:tc>
          <w:tcPr>
            <w:tcW w:w="3798" w:type="dxa"/>
            <w:vAlign w:val="center"/>
          </w:tcPr>
          <w:p>
            <w:pPr>
              <w:pStyle w:val="16"/>
            </w:pPr>
            <w:r>
              <w:t>一、因公出国（境）费</w:t>
            </w: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4</w:t>
            </w:r>
          </w:p>
        </w:tc>
        <w:tc>
          <w:tcPr>
            <w:tcW w:w="3798" w:type="dxa"/>
            <w:vAlign w:val="center"/>
          </w:tcPr>
          <w:p>
            <w:pPr>
              <w:pStyle w:val="16"/>
            </w:pPr>
            <w:r>
              <w:t xml:space="preserve">    其中：教学科研人员因公出国（境）费</w:t>
            </w: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5</w:t>
            </w:r>
          </w:p>
        </w:tc>
        <w:tc>
          <w:tcPr>
            <w:tcW w:w="3798" w:type="dxa"/>
            <w:vAlign w:val="center"/>
          </w:tcPr>
          <w:p>
            <w:pPr>
              <w:pStyle w:val="16"/>
            </w:pPr>
            <w:r>
              <w:t xml:space="preserve">          其他因公出国（境）费</w:t>
            </w: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6</w:t>
            </w:r>
          </w:p>
        </w:tc>
        <w:tc>
          <w:tcPr>
            <w:tcW w:w="3798" w:type="dxa"/>
            <w:vAlign w:val="center"/>
          </w:tcPr>
          <w:p>
            <w:pPr>
              <w:pStyle w:val="16"/>
            </w:pPr>
            <w:r>
              <w:t>二、公务用车购置及运维费</w:t>
            </w:r>
          </w:p>
        </w:tc>
        <w:tc>
          <w:tcPr>
            <w:tcW w:w="2381" w:type="dxa"/>
            <w:vAlign w:val="center"/>
          </w:tcPr>
          <w:p>
            <w:pPr>
              <w:pStyle w:val="15"/>
            </w:pPr>
            <w:r>
              <w:t>9.00</w:t>
            </w:r>
          </w:p>
        </w:tc>
        <w:tc>
          <w:tcPr>
            <w:tcW w:w="2381" w:type="dxa"/>
            <w:vAlign w:val="center"/>
          </w:tcPr>
          <w:p>
            <w:pPr>
              <w:pStyle w:val="15"/>
            </w:pPr>
            <w:r>
              <w:t>9.00</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7</w:t>
            </w:r>
          </w:p>
        </w:tc>
        <w:tc>
          <w:tcPr>
            <w:tcW w:w="3798" w:type="dxa"/>
            <w:vAlign w:val="center"/>
          </w:tcPr>
          <w:p>
            <w:pPr>
              <w:pStyle w:val="16"/>
            </w:pPr>
            <w:r>
              <w:t xml:space="preserve">    其中：公务用车购置费</w:t>
            </w: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8</w:t>
            </w:r>
          </w:p>
        </w:tc>
        <w:tc>
          <w:tcPr>
            <w:tcW w:w="3798" w:type="dxa"/>
            <w:vAlign w:val="center"/>
          </w:tcPr>
          <w:p>
            <w:pPr>
              <w:pStyle w:val="16"/>
            </w:pPr>
            <w:r>
              <w:t xml:space="preserve">          公务用车运行维护费</w:t>
            </w:r>
          </w:p>
        </w:tc>
        <w:tc>
          <w:tcPr>
            <w:tcW w:w="2381" w:type="dxa"/>
            <w:vAlign w:val="center"/>
          </w:tcPr>
          <w:p>
            <w:pPr>
              <w:pStyle w:val="15"/>
            </w:pPr>
            <w:r>
              <w:t>9.00</w:t>
            </w:r>
          </w:p>
        </w:tc>
        <w:tc>
          <w:tcPr>
            <w:tcW w:w="2381" w:type="dxa"/>
            <w:vAlign w:val="center"/>
          </w:tcPr>
          <w:p>
            <w:pPr>
              <w:pStyle w:val="15"/>
            </w:pPr>
            <w:r>
              <w:t>9.00</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9</w:t>
            </w:r>
          </w:p>
        </w:tc>
        <w:tc>
          <w:tcPr>
            <w:tcW w:w="3798" w:type="dxa"/>
            <w:vAlign w:val="center"/>
          </w:tcPr>
          <w:p>
            <w:pPr>
              <w:pStyle w:val="16"/>
            </w:pPr>
            <w:r>
              <w:t>三、公务接待费</w:t>
            </w: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10</w:t>
            </w:r>
          </w:p>
        </w:tc>
        <w:tc>
          <w:tcPr>
            <w:tcW w:w="3798" w:type="dxa"/>
            <w:vAlign w:val="center"/>
          </w:tcPr>
          <w:p>
            <w:pPr>
              <w:pStyle w:val="16"/>
            </w:pPr>
            <w:r>
              <w:t>四、会议费</w:t>
            </w: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11</w:t>
            </w:r>
          </w:p>
        </w:tc>
        <w:tc>
          <w:tcPr>
            <w:tcW w:w="3798" w:type="dxa"/>
            <w:vAlign w:val="center"/>
          </w:tcPr>
          <w:p>
            <w:pPr>
              <w:pStyle w:val="16"/>
            </w:pPr>
            <w:r>
              <w:t>五、培训费</w:t>
            </w: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bl>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唐山市开平区人民代表大会常务委员会2023年</w:t>
      </w:r>
      <w:r>
        <w:rPr>
          <w:rFonts w:hint="eastAsia" w:ascii="方正书宋_GBK" w:hAnsi="方正书宋_GBK" w:eastAsia="方正书宋_GBK" w:cs="方正书宋_GBK"/>
          <w:color w:val="FFFFFF"/>
          <w:sz w:val="21"/>
          <w:lang w:eastAsia="zh-CN"/>
        </w:rPr>
        <w:t>单位</w:t>
      </w:r>
      <w:r>
        <w:rPr>
          <w:rFonts w:ascii="方正书宋_GBK" w:hAnsi="方正书宋_GBK" w:eastAsia="方正书宋_GBK" w:cs="方正书宋_GBK"/>
          <w:color w:val="FFFFFF"/>
          <w:sz w:val="21"/>
        </w:rPr>
        <w:t>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唐山市开平区人民代表大会常务委员会2023年</w:t>
      </w:r>
      <w:r>
        <w:rPr>
          <w:rFonts w:hint="eastAsia" w:ascii="方正小标宋_GBK" w:hAnsi="方正小标宋_GBK" w:eastAsia="方正小标宋_GBK" w:cs="方正小标宋_GBK"/>
          <w:color w:val="000000"/>
          <w:sz w:val="44"/>
          <w:lang w:eastAsia="zh-CN"/>
        </w:rPr>
        <w:t>单位</w:t>
      </w:r>
      <w:r>
        <w:rPr>
          <w:rFonts w:ascii="方正小标宋_GBK" w:hAnsi="方正小标宋_GBK" w:eastAsia="方正小标宋_GBK" w:cs="方正小标宋_GBK"/>
          <w:color w:val="000000"/>
          <w:sz w:val="44"/>
        </w:rPr>
        <w:t>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按照《预算法》、《地方预决算公开操作规程》和《关于进一步推进预算公开工作的实施意见》规定，现将唐山市开平区人民代表大会常务委员会2023年</w:t>
      </w:r>
      <w:r>
        <w:rPr>
          <w:rFonts w:hint="eastAsia" w:eastAsia="方正仿宋_GBK" w:cs="Times New Roman"/>
          <w:color w:val="000000"/>
          <w:sz w:val="28"/>
          <w:lang w:eastAsia="zh-CN"/>
        </w:rPr>
        <w:t>单位</w:t>
      </w:r>
      <w:r>
        <w:rPr>
          <w:rFonts w:ascii="Times New Roman" w:hAnsi="Times New Roman" w:eastAsia="方正仿宋_GBK" w:cs="Times New Roman"/>
          <w:color w:val="000000"/>
          <w:sz w:val="28"/>
        </w:rPr>
        <w:t>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w:t>
      </w:r>
      <w:r>
        <w:rPr>
          <w:rFonts w:hint="eastAsia" w:ascii="黑体" w:hAnsi="黑体" w:eastAsia="黑体" w:cs="黑体"/>
          <w:color w:val="000000"/>
          <w:sz w:val="32"/>
          <w:lang w:eastAsia="zh-CN"/>
        </w:rPr>
        <w:t>单位</w:t>
      </w:r>
      <w:r>
        <w:rPr>
          <w:rFonts w:ascii="黑体" w:hAnsi="黑体" w:eastAsia="黑体" w:cs="黑体"/>
          <w:color w:val="000000"/>
          <w:sz w:val="32"/>
        </w:rPr>
        <w:t>职责及机构设置情况</w:t>
      </w:r>
      <w:bookmarkEnd w:id="9"/>
    </w:p>
    <w:p>
      <w:pPr>
        <w:spacing w:before="0" w:after="0" w:line="240" w:lineRule="auto"/>
        <w:ind w:firstLine="640"/>
        <w:jc w:val="left"/>
        <w:outlineLvl w:val="9"/>
      </w:pPr>
      <w:r>
        <w:rPr>
          <w:rFonts w:hint="eastAsia" w:ascii="方正楷体_GBK" w:hAnsi="方正楷体_GBK" w:eastAsia="方正楷体_GBK" w:cs="方正楷体_GBK"/>
          <w:b/>
          <w:color w:val="000000"/>
          <w:sz w:val="32"/>
          <w:lang w:eastAsia="zh-CN"/>
        </w:rPr>
        <w:t>单位</w:t>
      </w:r>
      <w:r>
        <w:rPr>
          <w:rFonts w:ascii="方正楷体_GBK" w:hAnsi="方正楷体_GBK" w:eastAsia="方正楷体_GBK" w:cs="方正楷体_GBK"/>
          <w:b/>
          <w:color w:val="000000"/>
          <w:sz w:val="32"/>
        </w:rPr>
        <w:t>职责：</w:t>
      </w:r>
    </w:p>
    <w:p>
      <w:pPr>
        <w:pStyle w:val="21"/>
      </w:pPr>
      <w:r>
        <w:t>机构设置：人大办公室、选举任免代表工作委员会、法制工作委员会、财政经济工作委员会、教育科技文化卫生工作委员会。</w:t>
      </w:r>
    </w:p>
    <w:p>
      <w:pPr>
        <w:pStyle w:val="21"/>
      </w:pPr>
      <w:r>
        <w:t>主要职责：</w:t>
      </w:r>
    </w:p>
    <w:p>
      <w:pPr>
        <w:pStyle w:val="21"/>
      </w:pPr>
      <w:r>
        <w:t>进行执法检查；围绕政府工作报告内容开展调查研究，开展专题询问和工作评议；对“一府两院”进行监督。</w:t>
      </w:r>
    </w:p>
    <w:p>
      <w:pPr>
        <w:pStyle w:val="21"/>
      </w:pPr>
      <w:r>
        <w:t>组织专门委员会委员对法律实施情况进行检查；组织区人大常委会委员及人大代表进行执法检查和集中视察；开展代表建议督办；组织对常委会委员及代表培训。</w:t>
      </w:r>
    </w:p>
    <w:p>
      <w:pPr>
        <w:pStyle w:val="21"/>
      </w:pPr>
      <w:r>
        <w:t>区人民代表大会和常务委员会各种会议的筹备、会务工作，负责常委会文件起草、审核把关，常委会会议、主任会议及常委会党组会议决定事项、工作部署、重要文件及领导批示的传达和督办。</w:t>
      </w:r>
    </w:p>
    <w:p>
      <w:pPr>
        <w:pStyle w:val="21"/>
      </w:pPr>
      <w:r>
        <w:t>承担区人民代表大会和常务委员会各种会议的筹备、会务工作，负责常委会文件起草、审核把关常委会会议、主任会议及常委会党组会议决定事项、工作部署、重要文件及领导批示的传达和督办。</w:t>
      </w:r>
    </w:p>
    <w:p>
      <w:pPr>
        <w:pStyle w:val="21"/>
      </w:pPr>
      <w:r>
        <w:t>检查监督代表法、选举法及其实施办法的贯彻实施；承担人大换届选举及人事任免服务工作；负责对区人民政府组成人员和区级人民法院、人民检察院主要负责人的目标责任书、述职报告的督办工作。</w:t>
      </w:r>
    </w:p>
    <w:p>
      <w:pPr>
        <w:pStyle w:val="21"/>
      </w:pPr>
      <w:r>
        <w:t>选举及人事任免服务工作；负责对区人民政府组成人员和区级人民法院、人民检察院主要负责人的目标责任书、述职报告等的督办工作。</w:t>
      </w:r>
    </w:p>
    <w:p>
      <w:pPr>
        <w:pStyle w:val="21"/>
      </w:pPr>
      <w:r>
        <w:t>承担区人大换届选举、区领导人的选举和常委会人事任免的服务工作；指导镇人大换届选举工作；负责对区人民政府组成人员和区人民法院、区人民检察院主要负责人的目标责任书、述职报告的督办工作。</w:t>
      </w:r>
    </w:p>
    <w:p>
      <w:pPr>
        <w:pStyle w:val="21"/>
      </w:pPr>
      <w:r>
        <w:t>新闻宣传和机关信息化建设与维护；人代会及常委会机关基础设施建设与维护；区人大机关日常管理事务；信访工作。</w:t>
      </w:r>
    </w:p>
    <w:p>
      <w:pPr>
        <w:pStyle w:val="21"/>
      </w:pPr>
      <w:r>
        <w:t>办理来信来访，区人大日常活动，代表大会和常委会会议公报、人大工作年鉴；负责与外县（区）、市人大常委会联系。</w:t>
      </w:r>
    </w:p>
    <w:p>
      <w:pPr>
        <w:pStyle w:val="21"/>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hint="eastAsia" w:ascii="方正小标宋_GBK" w:hAnsi="方正小标宋_GBK" w:eastAsia="方正小标宋_GBK" w:cs="方正小标宋_GBK"/>
          <w:color w:val="000000"/>
          <w:sz w:val="32"/>
          <w:lang w:eastAsia="zh-CN"/>
        </w:rPr>
        <w:t>单位</w:t>
      </w:r>
      <w:r>
        <w:rPr>
          <w:rFonts w:ascii="方正小标宋_GBK" w:hAnsi="方正小标宋_GBK" w:eastAsia="方正小标宋_GBK" w:cs="方正小标宋_GBK"/>
          <w:color w:val="000000"/>
          <w:sz w:val="32"/>
        </w:rPr>
        <w:t>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4"/>
            </w:pPr>
            <w:r>
              <w:t>单位名称</w:t>
            </w:r>
          </w:p>
        </w:tc>
        <w:tc>
          <w:tcPr>
            <w:tcW w:w="1843" w:type="dxa"/>
            <w:vAlign w:val="center"/>
          </w:tcPr>
          <w:p>
            <w:pPr>
              <w:pStyle w:val="14"/>
            </w:pPr>
            <w:r>
              <w:t>单位性质</w:t>
            </w:r>
          </w:p>
        </w:tc>
        <w:tc>
          <w:tcPr>
            <w:tcW w:w="2126" w:type="dxa"/>
            <w:vAlign w:val="center"/>
          </w:tcPr>
          <w:p>
            <w:pPr>
              <w:pStyle w:val="14"/>
            </w:pPr>
            <w:r>
              <w:t>单位规格</w:t>
            </w:r>
          </w:p>
        </w:tc>
        <w:tc>
          <w:tcPr>
            <w:tcW w:w="3827" w:type="dxa"/>
            <w:vAlign w:val="center"/>
          </w:tcPr>
          <w:p>
            <w:pPr>
              <w:pStyle w:val="14"/>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6"/>
            </w:pPr>
            <w:r>
              <w:t>唐山市开平区人民代表大会常务委员会本级</w:t>
            </w:r>
          </w:p>
        </w:tc>
        <w:tc>
          <w:tcPr>
            <w:tcW w:w="1843" w:type="dxa"/>
            <w:vAlign w:val="center"/>
          </w:tcPr>
          <w:p>
            <w:pPr>
              <w:pStyle w:val="17"/>
            </w:pPr>
            <w:r>
              <w:t>行政</w:t>
            </w:r>
          </w:p>
        </w:tc>
        <w:tc>
          <w:tcPr>
            <w:tcW w:w="2126" w:type="dxa"/>
            <w:vAlign w:val="center"/>
          </w:tcPr>
          <w:p>
            <w:pPr>
              <w:pStyle w:val="17"/>
            </w:pPr>
            <w:r>
              <w:t>正处（县）级</w:t>
            </w:r>
          </w:p>
        </w:tc>
        <w:tc>
          <w:tcPr>
            <w:tcW w:w="3827" w:type="dxa"/>
            <w:vAlign w:val="center"/>
          </w:tcPr>
          <w:p>
            <w:pPr>
              <w:pStyle w:val="17"/>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w:t>
      </w:r>
      <w:r>
        <w:rPr>
          <w:rFonts w:hint="eastAsia" w:ascii="黑体" w:hAnsi="黑体" w:eastAsia="黑体" w:cs="黑体"/>
          <w:color w:val="000000"/>
          <w:sz w:val="32"/>
          <w:lang w:eastAsia="zh-CN"/>
        </w:rPr>
        <w:t>单位</w:t>
      </w:r>
      <w:r>
        <w:rPr>
          <w:rFonts w:ascii="黑体" w:hAnsi="黑体" w:eastAsia="黑体" w:cs="黑体"/>
          <w:color w:val="000000"/>
          <w:sz w:val="32"/>
        </w:rPr>
        <w:t>预算安排的总体情况</w:t>
      </w:r>
      <w:bookmarkEnd w:id="10"/>
    </w:p>
    <w:p>
      <w:pPr>
        <w:spacing w:before="0" w:after="0" w:line="500" w:lineRule="exact"/>
        <w:ind w:firstLine="560"/>
        <w:jc w:val="left"/>
        <w:outlineLvl w:val="9"/>
        <w:rPr>
          <w:rFonts w:ascii="Times New Roman" w:hAnsi="Times New Roman" w:eastAsia="方正仿宋_GBK" w:cs="Times New Roman"/>
          <w:color w:val="000000"/>
          <w:sz w:val="28"/>
        </w:rPr>
      </w:pPr>
      <w:r>
        <w:rPr>
          <w:rFonts w:ascii="Times New Roman" w:hAnsi="Times New Roman" w:eastAsia="方正仿宋_GBK" w:cs="Times New Roman"/>
          <w:color w:val="000000"/>
          <w:sz w:val="28"/>
        </w:rPr>
        <w:t>按照预算管理有关规定，目前我省</w:t>
      </w:r>
      <w:r>
        <w:rPr>
          <w:rFonts w:hint="eastAsia" w:eastAsia="方正仿宋_GBK" w:cs="Times New Roman"/>
          <w:color w:val="000000"/>
          <w:sz w:val="28"/>
          <w:lang w:eastAsia="zh-CN"/>
        </w:rPr>
        <w:t>单位</w:t>
      </w:r>
      <w:r>
        <w:rPr>
          <w:rFonts w:ascii="Times New Roman" w:hAnsi="Times New Roman" w:eastAsia="方正仿宋_GBK" w:cs="Times New Roman"/>
          <w:color w:val="000000"/>
          <w:sz w:val="28"/>
        </w:rPr>
        <w:t>预算的编制实行综合预算管理，即全部收入和支出都反映在预算中。唐山市开平区人民代表大会常务委员会机关及所属事业单位的收支包含在</w:t>
      </w:r>
      <w:r>
        <w:rPr>
          <w:rFonts w:hint="eastAsia" w:eastAsia="方正仿宋_GBK" w:cs="Times New Roman"/>
          <w:color w:val="000000"/>
          <w:sz w:val="28"/>
          <w:lang w:eastAsia="zh-CN"/>
        </w:rPr>
        <w:t>单位</w:t>
      </w:r>
      <w:r>
        <w:rPr>
          <w:rFonts w:ascii="Times New Roman" w:hAnsi="Times New Roman" w:eastAsia="方正仿宋_GBK" w:cs="Times New Roman"/>
          <w:color w:val="000000"/>
          <w:sz w:val="28"/>
        </w:rPr>
        <w:t>预算中。</w:t>
      </w:r>
    </w:p>
    <w:p>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按照预算管理有关规定，目前我单位预算的编制实行综合预算制度。</w:t>
      </w:r>
    </w:p>
    <w:p>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1、收入说明</w:t>
      </w:r>
    </w:p>
    <w:p>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2023年收入预算共计6</w:t>
      </w:r>
      <w:r>
        <w:rPr>
          <w:rFonts w:hint="eastAsia" w:eastAsia="方正仿宋_GBK" w:cs="Times New Roman"/>
          <w:color w:val="000000"/>
          <w:sz w:val="28"/>
          <w:lang w:val="en-US" w:eastAsia="zh-CN"/>
        </w:rPr>
        <w:t>7</w:t>
      </w:r>
      <w:r>
        <w:rPr>
          <w:rFonts w:hint="eastAsia" w:ascii="Times New Roman" w:hAnsi="Times New Roman" w:eastAsia="方正仿宋_GBK" w:cs="Times New Roman"/>
          <w:color w:val="000000"/>
          <w:sz w:val="28"/>
        </w:rPr>
        <w:t>5.49万元。其中：一般公共预算收入6</w:t>
      </w:r>
      <w:r>
        <w:rPr>
          <w:rFonts w:hint="eastAsia" w:eastAsia="方正仿宋_GBK" w:cs="Times New Roman"/>
          <w:color w:val="000000"/>
          <w:sz w:val="28"/>
          <w:lang w:val="en-US" w:eastAsia="zh-CN"/>
        </w:rPr>
        <w:t>7</w:t>
      </w:r>
      <w:r>
        <w:rPr>
          <w:rFonts w:hint="eastAsia" w:ascii="Times New Roman" w:hAnsi="Times New Roman" w:eastAsia="方正仿宋_GBK" w:cs="Times New Roman"/>
          <w:color w:val="000000"/>
          <w:sz w:val="28"/>
        </w:rPr>
        <w:t>5.49万元，基金预算收入0万元，其他来源收入0万元。</w:t>
      </w:r>
    </w:p>
    <w:p>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2、支出说明</w:t>
      </w:r>
    </w:p>
    <w:p>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2023年支出预算共计6</w:t>
      </w:r>
      <w:r>
        <w:rPr>
          <w:rFonts w:hint="eastAsia" w:eastAsia="方正仿宋_GBK" w:cs="Times New Roman"/>
          <w:color w:val="000000"/>
          <w:sz w:val="28"/>
          <w:lang w:val="en-US" w:eastAsia="zh-CN"/>
        </w:rPr>
        <w:t>7</w:t>
      </w:r>
      <w:r>
        <w:rPr>
          <w:rFonts w:hint="eastAsia" w:ascii="Times New Roman" w:hAnsi="Times New Roman" w:eastAsia="方正仿宋_GBK" w:cs="Times New Roman"/>
          <w:color w:val="000000"/>
          <w:sz w:val="28"/>
        </w:rPr>
        <w:t>5.49万元，其中基本支出589.49万元，人员经费支出预算536.36万元，日常公用经费支出预算53.13万元，项目支出86万元。</w:t>
      </w:r>
    </w:p>
    <w:p>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3、比上年增减情况</w:t>
      </w:r>
    </w:p>
    <w:p>
      <w:pPr>
        <w:spacing w:before="0" w:after="0" w:line="500" w:lineRule="exact"/>
        <w:ind w:firstLine="560"/>
        <w:jc w:val="left"/>
        <w:outlineLvl w:val="9"/>
      </w:pPr>
      <w:r>
        <w:rPr>
          <w:rFonts w:hint="eastAsia" w:ascii="Times New Roman" w:hAnsi="Times New Roman" w:eastAsia="方正仿宋_GBK" w:cs="Times New Roman"/>
          <w:color w:val="000000"/>
          <w:sz w:val="28"/>
        </w:rPr>
        <w:t>经过对比，2023年财政拨款预算比2022年增加</w:t>
      </w:r>
      <w:r>
        <w:rPr>
          <w:rFonts w:hint="eastAsia" w:eastAsia="方正仿宋_GBK" w:cs="Times New Roman"/>
          <w:color w:val="000000"/>
          <w:sz w:val="28"/>
          <w:lang w:val="en-US" w:eastAsia="zh-CN"/>
        </w:rPr>
        <w:t>5</w:t>
      </w:r>
      <w:r>
        <w:rPr>
          <w:rFonts w:hint="eastAsia" w:ascii="Times New Roman" w:hAnsi="Times New Roman" w:eastAsia="方正仿宋_GBK" w:cs="Times New Roman"/>
          <w:color w:val="000000"/>
          <w:sz w:val="28"/>
        </w:rPr>
        <w:t>5.13万元 ，主要原因是人员经费增加52.06万元（人员增加且工资水平提高），日常公用经费增加3.07元（人员增加），项目支出经费无变化</w:t>
      </w:r>
      <w:r>
        <w:rPr>
          <w:rFonts w:hint="eastAsia" w:eastAsia="方正仿宋_GBK" w:cs="Times New Roman"/>
          <w:color w:val="000000"/>
          <w:sz w:val="28"/>
          <w:lang w:eastAsia="zh-CN"/>
        </w:rPr>
        <w:t>，主要原因是项目固定支出大致相同</w:t>
      </w:r>
      <w:r>
        <w:rPr>
          <w:rFonts w:hint="eastAsia" w:ascii="Times New Roman" w:hAnsi="Times New Roman" w:eastAsia="方正仿宋_GBK" w:cs="Times New Roman"/>
          <w:color w:val="000000"/>
          <w:sz w:val="28"/>
        </w:rPr>
        <w:t>。</w:t>
      </w:r>
    </w:p>
    <w:p>
      <w:pPr>
        <w:pStyle w:val="22"/>
      </w:pPr>
    </w:p>
    <w:p>
      <w:pPr>
        <w:numPr>
          <w:ilvl w:val="0"/>
          <w:numId w:val="1"/>
        </w:numPr>
        <w:spacing w:before="10" w:after="10" w:line="360" w:lineRule="auto"/>
        <w:ind w:firstLine="640"/>
        <w:jc w:val="left"/>
        <w:outlineLvl w:val="2"/>
        <w:rPr>
          <w:rFonts w:ascii="黑体" w:hAnsi="黑体" w:eastAsia="黑体" w:cs="黑体"/>
          <w:color w:val="000000"/>
          <w:sz w:val="32"/>
        </w:rPr>
      </w:pPr>
      <w:bookmarkStart w:id="11" w:name="_Toc_3_3_0000000012"/>
      <w:r>
        <w:rPr>
          <w:rFonts w:ascii="黑体" w:hAnsi="黑体" w:eastAsia="黑体" w:cs="黑体"/>
          <w:color w:val="000000"/>
          <w:sz w:val="32"/>
        </w:rPr>
        <w:t>机关运行经费安排情况</w:t>
      </w:r>
      <w:bookmarkEnd w:id="11"/>
    </w:p>
    <w:p>
      <w:pPr>
        <w:spacing w:before="0" w:after="0" w:line="500" w:lineRule="exact"/>
        <w:ind w:firstLine="560"/>
        <w:jc w:val="left"/>
        <w:outlineLvl w:val="9"/>
        <w:rPr>
          <w:rFonts w:ascii="黑体" w:hAnsi="黑体" w:eastAsia="黑体" w:cs="黑体"/>
          <w:color w:val="000000"/>
          <w:sz w:val="32"/>
        </w:rPr>
      </w:pPr>
      <w:r>
        <w:rPr>
          <w:rFonts w:hint="eastAsia" w:ascii="Times New Roman" w:hAnsi="Times New Roman" w:eastAsia="方正仿宋_GBK" w:cs="Times New Roman"/>
          <w:color w:val="000000"/>
          <w:sz w:val="28"/>
        </w:rPr>
        <w:t>机关运行经费共计安排</w:t>
      </w:r>
      <w:r>
        <w:rPr>
          <w:rFonts w:hint="eastAsia" w:ascii="Times New Roman" w:hAnsi="Times New Roman" w:eastAsia="方正仿宋_GBK" w:cs="Times New Roman"/>
          <w:color w:val="000000"/>
          <w:sz w:val="28"/>
          <w:lang w:val="en-US" w:eastAsia="zh-CN"/>
        </w:rPr>
        <w:t>53.13万</w:t>
      </w:r>
      <w:r>
        <w:rPr>
          <w:rFonts w:hint="eastAsia" w:ascii="Times New Roman" w:hAnsi="Times New Roman" w:eastAsia="方正仿宋_GBK" w:cs="Times New Roman"/>
          <w:color w:val="000000"/>
          <w:sz w:val="28"/>
        </w:rPr>
        <w:t>元，主要用于保证正常办公的基本需要和维持单位日常业务运转，包括：办公费、水电费、邮电费、取暖费、交通费、差旅费、公务用车运行维护费和其他费。</w:t>
      </w:r>
    </w:p>
    <w:p>
      <w:pPr>
        <w:pStyle w:val="23"/>
      </w:pP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lang w:eastAsia="zh-CN"/>
        </w:rPr>
        <w:t>2023</w:t>
      </w:r>
      <w:r>
        <w:rPr>
          <w:rFonts w:hint="eastAsia" w:ascii="Times New Roman" w:hAnsi="Times New Roman" w:eastAsia="方正仿宋_GBK" w:cs="Times New Roman"/>
          <w:color w:val="000000"/>
          <w:sz w:val="28"/>
        </w:rPr>
        <w:t>年，我</w:t>
      </w:r>
      <w:r>
        <w:rPr>
          <w:rFonts w:hint="eastAsia" w:eastAsia="方正仿宋_GBK" w:cs="Times New Roman"/>
          <w:color w:val="000000"/>
          <w:sz w:val="28"/>
          <w:lang w:eastAsia="zh-CN"/>
        </w:rPr>
        <w:t>单位</w:t>
      </w:r>
      <w:r>
        <w:rPr>
          <w:rFonts w:hint="eastAsia" w:ascii="Times New Roman" w:hAnsi="Times New Roman" w:eastAsia="方正仿宋_GBK" w:cs="Times New Roman"/>
          <w:color w:val="000000"/>
          <w:sz w:val="28"/>
        </w:rPr>
        <w:t>“三公”经费预算安排9万元 ，与上年预算持平,无增减变化。具体安排情况为：</w:t>
      </w:r>
    </w:p>
    <w:p>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1、公务用车购置及运行维护费。共计安排9万元，与上年预算持平。①公务用车购置安排0万元，与上年持平。②公车运行维护经费安排9万元，与上年预算持平。（持平原因:因人大有四辆公车，车辆每年的保养、维修、保险等支出）。</w:t>
      </w:r>
    </w:p>
    <w:p>
      <w:pPr>
        <w:spacing w:before="0" w:after="0" w:line="500" w:lineRule="exact"/>
        <w:ind w:firstLine="560"/>
        <w:jc w:val="left"/>
        <w:outlineLvl w:val="9"/>
        <w:rPr>
          <w:rFonts w:hint="eastAsia" w:ascii="Times New Roman" w:hAnsi="Times New Roman" w:eastAsia="方正仿宋_GBK" w:cs="Times New Roman"/>
          <w:color w:val="000000"/>
          <w:sz w:val="28"/>
          <w:lang w:eastAsia="zh-CN"/>
        </w:rPr>
      </w:pPr>
      <w:r>
        <w:rPr>
          <w:rFonts w:hint="eastAsia" w:ascii="Times New Roman" w:hAnsi="Times New Roman" w:eastAsia="方正仿宋_GBK" w:cs="Times New Roman"/>
          <w:color w:val="000000"/>
          <w:sz w:val="28"/>
        </w:rPr>
        <w:t>2、公务接待费。安排0元，与上年持平,无增减变化。</w:t>
      </w:r>
      <w:r>
        <w:rPr>
          <w:rFonts w:hint="eastAsia" w:eastAsia="方正仿宋_GBK" w:cs="Times New Roman"/>
          <w:color w:val="000000"/>
          <w:sz w:val="28"/>
          <w:lang w:eastAsia="zh-CN"/>
        </w:rPr>
        <w:t>主要原因是无此项支出。</w:t>
      </w:r>
    </w:p>
    <w:p>
      <w:pPr>
        <w:spacing w:before="0" w:after="0" w:line="500" w:lineRule="exact"/>
        <w:ind w:firstLine="560"/>
        <w:jc w:val="left"/>
        <w:outlineLvl w:val="9"/>
        <w:rPr>
          <w:rFonts w:hint="eastAsia" w:ascii="Times New Roman" w:hAnsi="Times New Roman" w:eastAsia="方正仿宋_GBK" w:cs="Times New Roman"/>
          <w:color w:val="000000"/>
          <w:sz w:val="28"/>
          <w:lang w:eastAsia="zh-CN"/>
        </w:rPr>
      </w:pPr>
      <w:r>
        <w:rPr>
          <w:rFonts w:hint="eastAsia" w:ascii="Times New Roman" w:hAnsi="Times New Roman" w:eastAsia="方正仿宋_GBK" w:cs="Times New Roman"/>
          <w:color w:val="000000"/>
          <w:sz w:val="28"/>
        </w:rPr>
        <w:t>3、因公出国(境)费。安排0元，与上年持平，无增减变化。</w:t>
      </w:r>
      <w:r>
        <w:rPr>
          <w:rFonts w:hint="eastAsia" w:eastAsia="方正仿宋_GBK" w:cs="Times New Roman"/>
          <w:color w:val="000000"/>
          <w:sz w:val="28"/>
          <w:lang w:eastAsia="zh-CN"/>
        </w:rPr>
        <w:t>主要原因是无此项支出。</w:t>
      </w:r>
    </w:p>
    <w:p>
      <w:pPr>
        <w:spacing w:before="10" w:after="10" w:line="360" w:lineRule="auto"/>
        <w:ind w:firstLine="640"/>
        <w:jc w:val="left"/>
        <w:outlineLvl w:val="2"/>
      </w:pPr>
      <w:bookmarkStart w:id="13" w:name="_Toc_3_3_0000000014"/>
      <w:r>
        <w:rPr>
          <w:rFonts w:ascii="黑体" w:hAnsi="黑体" w:eastAsia="黑体" w:cs="黑体"/>
          <w:color w:val="000000"/>
          <w:sz w:val="32"/>
        </w:rPr>
        <w:t>五、预算绩效信息</w:t>
      </w:r>
      <w:bookmarkEnd w:id="13"/>
    </w:p>
    <w:p>
      <w:pPr>
        <w:spacing w:before="0" w:after="0" w:line="240" w:lineRule="auto"/>
        <w:ind w:firstLine="640"/>
        <w:jc w:val="left"/>
        <w:outlineLvl w:val="9"/>
      </w:pPr>
      <w:r>
        <w:rPr>
          <w:rFonts w:ascii="方正楷体_GBK" w:hAnsi="方正楷体_GBK" w:eastAsia="方正楷体_GBK" w:cs="方正楷体_GBK"/>
          <w:b/>
          <w:color w:val="000000"/>
          <w:sz w:val="32"/>
        </w:rPr>
        <w:t xml:space="preserve">第一部分 </w:t>
      </w:r>
      <w:r>
        <w:rPr>
          <w:rFonts w:hint="eastAsia" w:ascii="方正楷体_GBK" w:hAnsi="方正楷体_GBK" w:eastAsia="方正楷体_GBK" w:cs="方正楷体_GBK"/>
          <w:b/>
          <w:color w:val="000000"/>
          <w:sz w:val="32"/>
          <w:lang w:eastAsia="zh-CN"/>
        </w:rPr>
        <w:t>单位</w:t>
      </w:r>
      <w:r>
        <w:rPr>
          <w:rFonts w:ascii="方正楷体_GBK" w:hAnsi="方正楷体_GBK" w:eastAsia="方正楷体_GBK" w:cs="方正楷体_GBK"/>
          <w:b/>
          <w:color w:val="000000"/>
          <w:sz w:val="32"/>
        </w:rPr>
        <w:t>整体绩效目标</w:t>
      </w:r>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5"/>
      </w:pPr>
      <w:r>
        <w:rPr>
          <w:rFonts w:hint="eastAsia"/>
          <w:lang w:val="en-US" w:eastAsia="zh-CN"/>
        </w:rPr>
        <w:t>1.</w:t>
      </w:r>
      <w:r>
        <w:t>提升政治站位，确保人大工作正确政治方向</w:t>
      </w:r>
    </w:p>
    <w:p>
      <w:pPr>
        <w:pStyle w:val="25"/>
      </w:pPr>
      <w:r>
        <w:t>坚持用习近平新时代中国特色社会主义思想武装头脑，树树牢“四个意识”，坚定“四个自信”，做到“两个维护”。深入学习领会习近平总书记关于坚持和完善人民代表大会制度的重要思想，组织交流会、研讨会，吃透精神实质，把握精髓要义，用党的最新理论指导人大工作，紧紧围绕贯彻党中央重大决策部署、落实依法治国方略、回应人民群众重大关切推动人大工作。常委会各位主任和机关同志强化主动作为、勇于担当，积极参与招商引资、扶贫攻坚、拆违拆迁、生态环境整治、花海建设运行、信访维稳等各项工作，为全区经济社会发展作出积极贡献。</w:t>
      </w:r>
    </w:p>
    <w:p>
      <w:pPr>
        <w:pStyle w:val="25"/>
      </w:pPr>
      <w:r>
        <w:rPr>
          <w:rFonts w:hint="eastAsia"/>
          <w:lang w:val="en-US" w:eastAsia="zh-CN"/>
        </w:rPr>
        <w:t>2.</w:t>
      </w:r>
      <w:r>
        <w:t>依法决定重大事项，任免地方国家机关工作人员</w:t>
      </w:r>
    </w:p>
    <w:p>
      <w:pPr>
        <w:pStyle w:val="25"/>
      </w:pPr>
      <w:r>
        <w:t>坚持抓大事、议大事原则。全年计划组织召开</w:t>
      </w:r>
      <w:r>
        <w:rPr>
          <w:rFonts w:hint="eastAsia"/>
          <w:lang w:eastAsia="zh-CN"/>
        </w:rPr>
        <w:t>常委会会议</w:t>
      </w:r>
      <w:r>
        <w:t>6次，主任会议12次。听取和审议区政府关于2021年全区决算的报告和2022年预算执行及其他财政收支情况的审计工作报告，听取和审议审计发现突出问题的研究处理情况报告。审查区政府2022年预算调整。坚持党管干部和人大依法任免有机统一，严格任免程序，依法行使人事任免职权。保障地方国家机关工作有序开展。</w:t>
      </w:r>
    </w:p>
    <w:p>
      <w:pPr>
        <w:pStyle w:val="25"/>
      </w:pPr>
      <w:r>
        <w:rPr>
          <w:rFonts w:hint="eastAsia"/>
          <w:lang w:val="en-US" w:eastAsia="zh-CN"/>
        </w:rPr>
        <w:t>3.</w:t>
      </w:r>
      <w:r>
        <w:t>加大监督力度，助推经济社会高质量发展。</w:t>
      </w:r>
    </w:p>
    <w:p>
      <w:pPr>
        <w:pStyle w:val="25"/>
      </w:pPr>
      <w:r>
        <w:t>加强计划预算监督。听取审议区政府关于2022年上半年国民经济和社会发展计划执行情况、预算执行情况的报告，力促全区经济社会持续健康发展。组织对区政府2022年全区预算编制初步方案进行初审，提出初审意见。聚焦民生热点进行监督。围绕群众普遍关注的热点问题，区人大常委会计划组织多种形式的专项活动，回应社会关切，听取专项报告，开展执法检查，组织视察调研。强化法治建设监督。围绕执法规范化建设、刑事审判工作情况进行监督，提高政府法制形象和执法公信力，切实履行好维护好国家政治安全、确保社会大局稳定、促进社会公平正义、保障人民安居乐业的职责使命。重视人大信访工作。与相关单位进行沟通，对相关案情进行调查分析，以事实为依据，以法律为准绳，提出针对性意见，交有关单位依法办理，维护公民、法人和其他组织的合法权益。</w:t>
      </w:r>
    </w:p>
    <w:p>
      <w:pPr>
        <w:pStyle w:val="25"/>
      </w:pPr>
      <w:r>
        <w:rPr>
          <w:rFonts w:hint="eastAsia"/>
          <w:lang w:val="en-US" w:eastAsia="zh-CN"/>
        </w:rPr>
        <w:t>4.</w:t>
      </w:r>
      <w:r>
        <w:t>深化代表工作，发挥代表主体作用</w:t>
      </w:r>
    </w:p>
    <w:p>
      <w:pPr>
        <w:pStyle w:val="25"/>
      </w:pPr>
      <w:r>
        <w:t xml:space="preserve">加强代表学习培训。组织区、镇两级人大代表集中开展学习培训；组织常委会组成人员到培训基地就履职业务知识和代表之家建设管理工作进行学习培训；邀请基层人大代表参加常委会的各项活动、列席常委会会议；为代表编印学习资料，订购《人民代表报》，印发常委会公报、纪要、通讯等，拓宽代表知政渠道，提升代表综合履职能力。加强议案建议督办。通过听取区政府和各承办单位办理工作情况汇报、组织相关代表现场查看、通报办理情况等方式，加强督办。搭建代表履职平台。进一步规范人大代表之家（联络站）建设和管理运行，完善代表履职档案，抓好代表述职、接待选民等活动，密切代表与选民联系，督促代表主动为群众解难题，办实事。组织开展争当优秀代表活动，对表现突出区人大代表进行表彰，调动和激发了代表履职的积极性。 </w:t>
      </w:r>
    </w:p>
    <w:p>
      <w:pPr>
        <w:pStyle w:val="25"/>
      </w:pPr>
      <w:r>
        <w:rPr>
          <w:rFonts w:hint="eastAsia"/>
          <w:lang w:val="en-US" w:eastAsia="zh-CN"/>
        </w:rPr>
        <w:t>5.</w:t>
      </w:r>
      <w:r>
        <w:t>提升综合素质，加强常委会自身建设</w:t>
      </w:r>
    </w:p>
    <w:p>
      <w:pPr>
        <w:pStyle w:val="25"/>
      </w:pPr>
      <w:r>
        <w:t xml:space="preserve">持之以恒抓思想教育。旗帜鲜明讲政治，深入学习党的十九届六中全会精神及中央人大工作会议精神，自觉在思想上、政治上、行动上同以习近平同志为核心的党中央保持高度一致，努力使各项工作更好地适应经济社会发展新形势、民主法治新要求、人民群众新期盼。用党的最新理论武装头脑，不断提高常委会组成人员履职能力和人大机关的工作水平。持之以恒抓党风廉政建设。严格贯彻中央八项规定，坚决纠正“四风”，严守政治纪律和政治规矩，严格遵守《准则》和《条例》，营造风清气正政治生态，把反腐倡廉贯穿到人大工作方方面面，树立地方国家权力机关为民、务实、清廉的良好形象。持之以恒抓机关建设。适应新时代新要求，健全和完善常委会组织制度和运行机制，进一步规范议事程序，提高议事质量和效率，确保常委会工作依法有效运转。切实发挥人大专门委员会和工作委员会作用，加强沟通协调，各工作机构之间既讲分工，更讲配合，形成合力。以人大门户网站、微信公众号为平台，发布信息、联系代表、服务群众，宣传常委会履职亮点、工作重点和代表履职风采，营造良好的舆论氛围。指导镇、街人大完善代表之家、站建设，组织代表开展活动，不断的提高镇街人大工作水平。 </w:t>
      </w:r>
    </w:p>
    <w:p>
      <w:pPr>
        <w:pStyle w:val="25"/>
      </w:pP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6"/>
      </w:pPr>
      <w:r>
        <w:rPr>
          <w:rFonts w:hint="eastAsia"/>
          <w:lang w:val="en-US" w:eastAsia="zh-CN"/>
        </w:rPr>
        <w:t>1.</w:t>
      </w:r>
      <w:r>
        <w:t>加强人大监督，确保各项监督活动顺利开展。</w:t>
      </w:r>
    </w:p>
    <w:p>
      <w:pPr>
        <w:pStyle w:val="26"/>
      </w:pPr>
      <w:r>
        <w:t>绩效目标：监督宪法和法律在我区域内正确实施，提高法规质量；监督一法两院依法开展工作；监督监督经济和社会发展计划有效实施；发挥常委会及代表桥梁纽带作用，集中反映民意。</w:t>
      </w:r>
    </w:p>
    <w:p>
      <w:pPr>
        <w:pStyle w:val="26"/>
      </w:pPr>
      <w:r>
        <w:t>绩效指标：执法检查和集中视察完成率；培训计划完成率。</w:t>
      </w:r>
    </w:p>
    <w:p>
      <w:pPr>
        <w:pStyle w:val="26"/>
      </w:pPr>
      <w:r>
        <w:rPr>
          <w:rFonts w:hint="eastAsia"/>
          <w:lang w:val="en-US" w:eastAsia="zh-CN"/>
        </w:rPr>
        <w:t>2.</w:t>
      </w:r>
      <w:r>
        <w:t>胜利召开人大会议。</w:t>
      </w:r>
    </w:p>
    <w:p>
      <w:pPr>
        <w:pStyle w:val="26"/>
      </w:pPr>
      <w:r>
        <w:t>绩效目标：圆满完成区人民代表大会和常务委员会各种会议的筹备、会务工作，审核把关常委会会议、主任会议及常委会党组会议决定事项、工作部署、重要文件及领导批示的传达和督办。</w:t>
      </w:r>
    </w:p>
    <w:p>
      <w:pPr>
        <w:pStyle w:val="26"/>
      </w:pPr>
      <w:r>
        <w:t>绩效指标：会议活动完成率。</w:t>
      </w:r>
    </w:p>
    <w:p>
      <w:pPr>
        <w:pStyle w:val="26"/>
      </w:pPr>
      <w:r>
        <w:rPr>
          <w:rFonts w:hint="eastAsia"/>
          <w:lang w:val="en-US" w:eastAsia="zh-CN"/>
        </w:rPr>
        <w:t>3.</w:t>
      </w:r>
      <w:r>
        <w:t>圆满完成换届选举及人事任免。</w:t>
      </w:r>
    </w:p>
    <w:p>
      <w:pPr>
        <w:pStyle w:val="26"/>
      </w:pPr>
      <w:r>
        <w:t>绩效目标：确保县乡人大换届选举工作顺利完成，提高组织换届选举工作水平；高质量完成机关领导人选举和常委会人事任免服务工作；高效督办有关部门负责人的目标责任书和述职报告。</w:t>
      </w:r>
    </w:p>
    <w:p>
      <w:pPr>
        <w:pStyle w:val="26"/>
      </w:pPr>
      <w:r>
        <w:t>绩效指标：调研及计划完成率。</w:t>
      </w:r>
    </w:p>
    <w:p>
      <w:pPr>
        <w:pStyle w:val="26"/>
      </w:pPr>
      <w:r>
        <w:rPr>
          <w:rFonts w:hint="eastAsia"/>
          <w:lang w:val="en-US" w:eastAsia="zh-CN"/>
        </w:rPr>
        <w:t>4.</w:t>
      </w:r>
      <w:r>
        <w:t>人大机关综合事务管理。</w:t>
      </w:r>
    </w:p>
    <w:p>
      <w:pPr>
        <w:pStyle w:val="26"/>
      </w:pPr>
      <w:r>
        <w:t>绩效目标：确保新闻宣传工作正常开展，信息系统运行正常，会议表决系统运转良好，机关基础设施运转良好，人大公报等正常出版，信访工作平稳等，确保机关工作有效运转。</w:t>
      </w:r>
    </w:p>
    <w:p>
      <w:pPr>
        <w:pStyle w:val="26"/>
      </w:pPr>
      <w:r>
        <w:t>绩效指标：新闻宣传任务完成率；综合事务保障率；调研计划完成率。</w:t>
      </w:r>
    </w:p>
    <w:p>
      <w:pPr>
        <w:pStyle w:val="26"/>
      </w:pPr>
    </w:p>
    <w:p>
      <w:pPr>
        <w:numPr>
          <w:ilvl w:val="0"/>
          <w:numId w:val="2"/>
        </w:numPr>
        <w:spacing w:before="0" w:after="0" w:line="500" w:lineRule="exact"/>
        <w:ind w:firstLine="560"/>
        <w:jc w:val="left"/>
        <w:outlineLvl w:val="9"/>
        <w:rPr>
          <w:rFonts w:ascii="Times New Roman" w:hAnsi="Times New Roman" w:eastAsia="方正仿宋_GBK" w:cs="Times New Roman"/>
          <w:color w:val="000000"/>
          <w:sz w:val="28"/>
        </w:rPr>
      </w:pPr>
      <w:r>
        <w:rPr>
          <w:rFonts w:ascii="Times New Roman" w:hAnsi="Times New Roman" w:eastAsia="方正仿宋_GBK" w:cs="Times New Roman"/>
          <w:color w:val="000000"/>
          <w:sz w:val="28"/>
        </w:rPr>
        <w:t>工作保障措施</w:t>
      </w:r>
    </w:p>
    <w:p>
      <w:pPr>
        <w:pStyle w:val="27"/>
      </w:pPr>
      <w:r>
        <w:t>高举中国特色社会主义伟大旗帜，坚持以邓小平理论、“三个代表”重要思想、科学发展观、习近平新时代中国特色社会主义思想为指导，深入学习贯彻习近平总书记系列重要讲话精神，坚持党的领导、依法治国、人民当家作主有机统一，坚持围绕中心，服务大局，坚持依法履职，创新发展，求真务实，拼搏进取，为全面建成小康社会，推进特色田园城市、和谐幸福开平建设做出新的更大贡献。</w:t>
      </w:r>
    </w:p>
    <w:p>
      <w:pPr>
        <w:pStyle w:val="27"/>
      </w:pPr>
      <w:r>
        <w:t xml:space="preserve">加强宣传培训，改进工作作风。一是加大宣传力度，强化预算绩效管理意识，促进预算绩效管理水平进一步提升。二是加强财务人员培训，提高本部门职工业务素质；坚持常委会组成人员和机关学习交流制度，提高机关工作人员的业务素质。三是加强调研，提高优化财政资金配置，提高资金使用效益。四是组织开展正风肃纪创优环境专项行动，落实中央八项规定、狠刹“四风”，规范办公用房和公务接待，节支“三公”经费，工作作风进一步转变。                  </w:t>
      </w:r>
    </w:p>
    <w:p>
      <w:pPr>
        <w:pStyle w:val="27"/>
      </w:pPr>
      <w:r>
        <w:t>完善制度建设，为预算工作顺利开展提供保障。一是完善预算制定管理制度、资金管理办法、工作保障制度等，为全年预算绩效目标的实现奠定制度基础。二是加强支出管理，优化支出结构，编细编实预算，加快履行政府采购手续，按规定及时支付资金，确保支出进度达标；三是加强绩效运行监控，发现问题及时采取措施，确保绩效目标如期实现，做好绩效自评，不断调整优化资金结构。四是加强财务监管。规范财务资产管理，加强内部监督，确保财政资金安全有效。</w:t>
      </w:r>
    </w:p>
    <w:p>
      <w:pPr>
        <w:pStyle w:val="27"/>
      </w:pPr>
    </w:p>
    <w:p>
      <w:pPr>
        <w:pStyle w:val="27"/>
      </w:pPr>
    </w:p>
    <w:p>
      <w:pPr>
        <w:numPr>
          <w:ilvl w:val="0"/>
          <w:numId w:val="3"/>
        </w:numPr>
        <w:spacing w:before="0" w:after="0" w:line="240" w:lineRule="auto"/>
        <w:ind w:firstLine="640"/>
        <w:jc w:val="left"/>
        <w:outlineLvl w:val="9"/>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 xml:space="preserve"> 专项资金绩效目</w:t>
      </w:r>
    </w:p>
    <w:p>
      <w:pPr>
        <w:numPr>
          <w:ilvl w:val="0"/>
          <w:numId w:val="0"/>
        </w:numPr>
        <w:spacing w:before="0" w:after="0" w:line="240" w:lineRule="auto"/>
        <w:ind w:firstLine="560" w:firstLineChars="200"/>
        <w:jc w:val="left"/>
        <w:outlineLvl w:val="9"/>
        <w:rPr>
          <w:rFonts w:hint="eastAsia"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zh-CN" w:bidi="ar-SA"/>
        </w:rPr>
        <w:t>无</w:t>
      </w:r>
      <w:r>
        <w:rPr>
          <w:rFonts w:hint="eastAsia" w:eastAsia="方正仿宋_GBK" w:cs="Times New Roman"/>
          <w:sz w:val="28"/>
          <w:szCs w:val="24"/>
          <w:lang w:val="en-US" w:eastAsia="zh-CN" w:bidi="ar-SA"/>
        </w:rPr>
        <w:t>。</w:t>
      </w:r>
    </w:p>
    <w:p>
      <w:pPr>
        <w:numPr>
          <w:ilvl w:val="0"/>
          <w:numId w:val="0"/>
        </w:numPr>
        <w:spacing w:before="0" w:after="0" w:line="240" w:lineRule="auto"/>
        <w:ind w:firstLine="560" w:firstLineChars="200"/>
        <w:jc w:val="left"/>
        <w:outlineLvl w:val="9"/>
        <w:rPr>
          <w:rFonts w:hint="eastAsia" w:eastAsia="方正仿宋_GBK" w:cs="Times New Roman"/>
          <w:sz w:val="28"/>
          <w:szCs w:val="24"/>
          <w:lang w:val="en-US" w:eastAsia="zh-CN" w:bidi="ar-SA"/>
        </w:rPr>
      </w:pPr>
    </w:p>
    <w:p>
      <w:pPr>
        <w:numPr>
          <w:ilvl w:val="0"/>
          <w:numId w:val="0"/>
        </w:numPr>
        <w:spacing w:before="0" w:after="0" w:line="240" w:lineRule="auto"/>
        <w:ind w:firstLine="560" w:firstLineChars="200"/>
        <w:jc w:val="left"/>
        <w:outlineLvl w:val="9"/>
        <w:rPr>
          <w:rFonts w:hint="eastAsia" w:eastAsia="方正仿宋_GBK" w:cs="Times New Roman"/>
          <w:sz w:val="28"/>
          <w:szCs w:val="24"/>
          <w:lang w:val="en-US" w:eastAsia="zh-CN" w:bidi="ar-SA"/>
        </w:rPr>
      </w:pPr>
    </w:p>
    <w:p>
      <w:pPr>
        <w:spacing w:before="0" w:after="0" w:line="240" w:lineRule="auto"/>
        <w:ind w:firstLine="640" w:firstLineChars="200"/>
        <w:jc w:val="left"/>
        <w:outlineLvl w:val="9"/>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p>
    <w:p>
      <w:pPr>
        <w:spacing w:before="0" w:after="0"/>
        <w:ind w:firstLine="560"/>
        <w:jc w:val="left"/>
        <w:outlineLvl w:val="9"/>
      </w:pPr>
      <w:r>
        <w:rPr>
          <w:rFonts w:ascii="方正仿宋_GBK" w:hAnsi="方正仿宋_GBK" w:eastAsia="方正仿宋_GBK" w:cs="方正仿宋_GBK"/>
          <w:b/>
          <w:color w:val="000000"/>
          <w:sz w:val="28"/>
        </w:rPr>
        <w:t>1、本级人大代表活动绩效目标表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1.提高法规质量，保障其有效实施</w:t>
            </w:r>
          </w:p>
          <w:p>
            <w:pPr>
              <w:pStyle w:val="16"/>
            </w:pPr>
            <w:r>
              <w:t>2.发挥常委及代表的桥梁纽带作用，集中反映民意，促进依法履职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执法检查和集中视察率</w:t>
            </w:r>
          </w:p>
        </w:tc>
        <w:tc>
          <w:tcPr>
            <w:tcW w:w="2835" w:type="dxa"/>
            <w:vAlign w:val="center"/>
          </w:tcPr>
          <w:p>
            <w:pPr>
              <w:pStyle w:val="16"/>
            </w:pPr>
            <w:r>
              <w:t>反映年度执法检查和集中视察完成情况</w:t>
            </w:r>
          </w:p>
        </w:tc>
        <w:tc>
          <w:tcPr>
            <w:tcW w:w="2551" w:type="dxa"/>
            <w:vAlign w:val="center"/>
          </w:tcPr>
          <w:p>
            <w:pPr>
              <w:pStyle w:val="16"/>
            </w:pPr>
            <w:r>
              <w:t>≥90%</w:t>
            </w:r>
          </w:p>
        </w:tc>
        <w:tc>
          <w:tcPr>
            <w:tcW w:w="2268" w:type="dxa"/>
            <w:vAlign w:val="center"/>
          </w:tcPr>
          <w:p>
            <w:pPr>
              <w:pStyle w:val="16"/>
            </w:pPr>
            <w:r>
              <w:t>中共河北省委办公厅 转发省人大常委会党组关于推进县乡人大工作和建设的指导意见。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人大代表之家建设推进完成率</w:t>
            </w:r>
          </w:p>
        </w:tc>
        <w:tc>
          <w:tcPr>
            <w:tcW w:w="2835" w:type="dxa"/>
            <w:vAlign w:val="center"/>
          </w:tcPr>
          <w:p>
            <w:pPr>
              <w:pStyle w:val="16"/>
            </w:pPr>
            <w:r>
              <w:t>按照上及要求各项指标完成情况</w:t>
            </w:r>
          </w:p>
        </w:tc>
        <w:tc>
          <w:tcPr>
            <w:tcW w:w="2551" w:type="dxa"/>
            <w:vAlign w:val="center"/>
          </w:tcPr>
          <w:p>
            <w:pPr>
              <w:pStyle w:val="16"/>
            </w:pPr>
            <w:r>
              <w:t>100%</w:t>
            </w:r>
          </w:p>
        </w:tc>
        <w:tc>
          <w:tcPr>
            <w:tcW w:w="2268" w:type="dxa"/>
            <w:vAlign w:val="center"/>
          </w:tcPr>
          <w:p>
            <w:pPr>
              <w:pStyle w:val="16"/>
            </w:pPr>
            <w:r>
              <w:t>中共河北省委办公厅 转发省人大常委会党组关于推进县乡人大工作和建设的指导意见。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培训计划完成率</w:t>
            </w:r>
          </w:p>
        </w:tc>
        <w:tc>
          <w:tcPr>
            <w:tcW w:w="2835" w:type="dxa"/>
            <w:vAlign w:val="center"/>
          </w:tcPr>
          <w:p>
            <w:pPr>
              <w:pStyle w:val="16"/>
            </w:pPr>
            <w:r>
              <w:t>反映实际培训数量占年计划的比率</w:t>
            </w:r>
          </w:p>
        </w:tc>
        <w:tc>
          <w:tcPr>
            <w:tcW w:w="2551" w:type="dxa"/>
            <w:vAlign w:val="center"/>
          </w:tcPr>
          <w:p>
            <w:pPr>
              <w:pStyle w:val="16"/>
            </w:pPr>
            <w:r>
              <w:t>≥90%</w:t>
            </w:r>
          </w:p>
        </w:tc>
        <w:tc>
          <w:tcPr>
            <w:tcW w:w="2268" w:type="dxa"/>
            <w:vAlign w:val="center"/>
          </w:tcPr>
          <w:p>
            <w:pPr>
              <w:pStyle w:val="16"/>
            </w:pPr>
            <w:r>
              <w:t>中共河北省委办公厅 转发省人大常委会党组关于推进县乡人大工作和建设的指导意见。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各项监督成效</w:t>
            </w:r>
          </w:p>
        </w:tc>
        <w:tc>
          <w:tcPr>
            <w:tcW w:w="2835" w:type="dxa"/>
            <w:vAlign w:val="center"/>
          </w:tcPr>
          <w:p>
            <w:pPr>
              <w:pStyle w:val="16"/>
            </w:pPr>
            <w:r>
              <w:t>各项监督取得的实际整改效果</w:t>
            </w:r>
          </w:p>
        </w:tc>
        <w:tc>
          <w:tcPr>
            <w:tcW w:w="2551" w:type="dxa"/>
            <w:vAlign w:val="center"/>
          </w:tcPr>
          <w:p>
            <w:pPr>
              <w:pStyle w:val="16"/>
            </w:pPr>
            <w:r>
              <w:t>各项监督取得良好成效</w:t>
            </w:r>
          </w:p>
        </w:tc>
        <w:tc>
          <w:tcPr>
            <w:tcW w:w="2268" w:type="dxa"/>
            <w:vAlign w:val="center"/>
          </w:tcPr>
          <w:p>
            <w:pPr>
              <w:pStyle w:val="16"/>
            </w:pPr>
            <w:r>
              <w:t>中共河北省委办公厅 转发省人大常委会党组关于推进县乡人大工作和建设的指导意见。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代表联系选民密切度</w:t>
            </w:r>
          </w:p>
        </w:tc>
        <w:tc>
          <w:tcPr>
            <w:tcW w:w="2835" w:type="dxa"/>
            <w:vAlign w:val="center"/>
          </w:tcPr>
          <w:p>
            <w:pPr>
              <w:pStyle w:val="16"/>
            </w:pPr>
            <w:r>
              <w:t>发挥常委及代表的桥梁纽带作用，集中反映民意，促进依法履职完成情况</w:t>
            </w:r>
          </w:p>
        </w:tc>
        <w:tc>
          <w:tcPr>
            <w:tcW w:w="2551" w:type="dxa"/>
            <w:vAlign w:val="center"/>
          </w:tcPr>
          <w:p>
            <w:pPr>
              <w:pStyle w:val="16"/>
            </w:pPr>
            <w:r>
              <w:t>代表联系选民紧密度</w:t>
            </w:r>
          </w:p>
        </w:tc>
        <w:tc>
          <w:tcPr>
            <w:tcW w:w="2268" w:type="dxa"/>
            <w:vAlign w:val="center"/>
          </w:tcPr>
          <w:p>
            <w:pPr>
              <w:pStyle w:val="16"/>
            </w:pPr>
            <w:r>
              <w:t>中共河北省委办公厅 转发省人大常委会党组关于推进县乡人大工作和建设的指导意见。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培训效果</w:t>
            </w:r>
          </w:p>
        </w:tc>
        <w:tc>
          <w:tcPr>
            <w:tcW w:w="2835" w:type="dxa"/>
            <w:vAlign w:val="center"/>
          </w:tcPr>
          <w:p>
            <w:pPr>
              <w:pStyle w:val="16"/>
            </w:pPr>
            <w:r>
              <w:t>代表通过学习、培训，履职水平的有不同程度的提高</w:t>
            </w:r>
          </w:p>
        </w:tc>
        <w:tc>
          <w:tcPr>
            <w:tcW w:w="2551" w:type="dxa"/>
            <w:vAlign w:val="center"/>
          </w:tcPr>
          <w:p>
            <w:pPr>
              <w:pStyle w:val="16"/>
            </w:pPr>
            <w:r>
              <w:t>代表培训取得成效</w:t>
            </w:r>
          </w:p>
        </w:tc>
        <w:tc>
          <w:tcPr>
            <w:tcW w:w="2268" w:type="dxa"/>
            <w:vAlign w:val="center"/>
          </w:tcPr>
          <w:p>
            <w:pPr>
              <w:pStyle w:val="16"/>
            </w:pPr>
            <w:r>
              <w:t>中共河北省委办公厅 转发省人大常委会党组关于推进县乡人大工作和建设的指导意见。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代表之家运行效果满意度</w:t>
            </w:r>
          </w:p>
        </w:tc>
        <w:tc>
          <w:tcPr>
            <w:tcW w:w="2835" w:type="dxa"/>
            <w:vAlign w:val="center"/>
          </w:tcPr>
          <w:p>
            <w:pPr>
              <w:pStyle w:val="16"/>
            </w:pPr>
            <w:r>
              <w:t>代表之家为人大代表联系选民、开展议政活动起到的作用</w:t>
            </w:r>
          </w:p>
        </w:tc>
        <w:tc>
          <w:tcPr>
            <w:tcW w:w="2551" w:type="dxa"/>
            <w:vAlign w:val="center"/>
          </w:tcPr>
          <w:p>
            <w:pPr>
              <w:pStyle w:val="16"/>
            </w:pPr>
            <w:r>
              <w:t>≥90%</w:t>
            </w:r>
          </w:p>
        </w:tc>
        <w:tc>
          <w:tcPr>
            <w:tcW w:w="2268" w:type="dxa"/>
            <w:vAlign w:val="center"/>
          </w:tcPr>
          <w:p>
            <w:pPr>
              <w:pStyle w:val="16"/>
            </w:pPr>
            <w:r>
              <w:t>中共河北省委办公厅 转发省人大常委会党组关于推进县乡人大工作和建设的指导意见。</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2、本级人民代表大会绩效目标表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1.保障会议顺利召开，完成各项会议议程。</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各项会议完成率</w:t>
            </w:r>
          </w:p>
        </w:tc>
        <w:tc>
          <w:tcPr>
            <w:tcW w:w="2835" w:type="dxa"/>
            <w:vAlign w:val="center"/>
          </w:tcPr>
          <w:p>
            <w:pPr>
              <w:pStyle w:val="16"/>
            </w:pPr>
            <w:r>
              <w:t>人代会、常委会、主任会、座谈会等实际与计划比率</w:t>
            </w:r>
          </w:p>
        </w:tc>
        <w:tc>
          <w:tcPr>
            <w:tcW w:w="2551" w:type="dxa"/>
            <w:vAlign w:val="center"/>
          </w:tcPr>
          <w:p>
            <w:pPr>
              <w:pStyle w:val="16"/>
            </w:pPr>
            <w:r>
              <w:t>≥90%</w:t>
            </w:r>
          </w:p>
        </w:tc>
        <w:tc>
          <w:tcPr>
            <w:tcW w:w="2268" w:type="dxa"/>
            <w:vAlign w:val="center"/>
          </w:tcPr>
          <w:p>
            <w:pPr>
              <w:pStyle w:val="16"/>
            </w:pPr>
            <w:r>
              <w:t>中共河北省委办公厅 转发省人大常委会党组关于推进县乡人大工作和建设的指导意见。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各项会议议程完成度</w:t>
            </w:r>
          </w:p>
        </w:tc>
        <w:tc>
          <w:tcPr>
            <w:tcW w:w="2835" w:type="dxa"/>
            <w:vAlign w:val="center"/>
          </w:tcPr>
          <w:p>
            <w:pPr>
              <w:pStyle w:val="16"/>
            </w:pPr>
            <w:r>
              <w:t>人大会议职务任免、各项决议等议程完成情况</w:t>
            </w:r>
          </w:p>
        </w:tc>
        <w:tc>
          <w:tcPr>
            <w:tcW w:w="2551" w:type="dxa"/>
            <w:vAlign w:val="center"/>
          </w:tcPr>
          <w:p>
            <w:pPr>
              <w:pStyle w:val="16"/>
            </w:pPr>
            <w:r>
              <w:t>人大会议职务任免、各项决议等议程完成情况</w:t>
            </w:r>
          </w:p>
        </w:tc>
        <w:tc>
          <w:tcPr>
            <w:tcW w:w="2268" w:type="dxa"/>
            <w:vAlign w:val="center"/>
          </w:tcPr>
          <w:p>
            <w:pPr>
              <w:pStyle w:val="16"/>
            </w:pPr>
            <w:r>
              <w:t>中共河北省委办公厅 转发省人大常委会党组关于推进县乡人大工作和建设的指导意见。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各项会议履行人大法定职责保障度</w:t>
            </w:r>
          </w:p>
        </w:tc>
        <w:tc>
          <w:tcPr>
            <w:tcW w:w="2835" w:type="dxa"/>
            <w:vAlign w:val="center"/>
          </w:tcPr>
          <w:p>
            <w:pPr>
              <w:pStyle w:val="16"/>
            </w:pPr>
            <w:r>
              <w:t>通过人大会议履行人大法定监督职责取得的成效</w:t>
            </w:r>
          </w:p>
        </w:tc>
        <w:tc>
          <w:tcPr>
            <w:tcW w:w="2551" w:type="dxa"/>
            <w:vAlign w:val="center"/>
          </w:tcPr>
          <w:p>
            <w:pPr>
              <w:pStyle w:val="16"/>
            </w:pPr>
            <w:r>
              <w:t>通过人大会议履行人大法定监督职责取得的成效</w:t>
            </w:r>
          </w:p>
        </w:tc>
        <w:tc>
          <w:tcPr>
            <w:tcW w:w="2268" w:type="dxa"/>
            <w:vAlign w:val="center"/>
          </w:tcPr>
          <w:p>
            <w:pPr>
              <w:pStyle w:val="16"/>
            </w:pPr>
            <w:r>
              <w:t>中共河北省委办公厅 转发省人大常委会党组关于推进县乡人大工作和建设的指导意见。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专项印刷完成率</w:t>
            </w:r>
          </w:p>
        </w:tc>
        <w:tc>
          <w:tcPr>
            <w:tcW w:w="2835" w:type="dxa"/>
            <w:vAlign w:val="center"/>
          </w:tcPr>
          <w:p>
            <w:pPr>
              <w:pStyle w:val="16"/>
            </w:pPr>
            <w:r>
              <w:t>人大各项会议材料、会议公报、法律法规、履职手册等专项印刷的完成情况</w:t>
            </w:r>
          </w:p>
        </w:tc>
        <w:tc>
          <w:tcPr>
            <w:tcW w:w="2551" w:type="dxa"/>
            <w:vAlign w:val="center"/>
          </w:tcPr>
          <w:p>
            <w:pPr>
              <w:pStyle w:val="16"/>
            </w:pPr>
            <w:r>
              <w:t>100%</w:t>
            </w:r>
          </w:p>
        </w:tc>
        <w:tc>
          <w:tcPr>
            <w:tcW w:w="2268" w:type="dxa"/>
            <w:vAlign w:val="center"/>
          </w:tcPr>
          <w:p>
            <w:pPr>
              <w:pStyle w:val="16"/>
            </w:pPr>
            <w:r>
              <w:t>中共河北省委办公厅 转发省人大常委会党组关于推进县乡人大工作和建设的指导意见。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专项工作评议效果</w:t>
            </w:r>
          </w:p>
        </w:tc>
        <w:tc>
          <w:tcPr>
            <w:tcW w:w="2835" w:type="dxa"/>
            <w:vAlign w:val="center"/>
          </w:tcPr>
          <w:p>
            <w:pPr>
              <w:pStyle w:val="16"/>
            </w:pPr>
            <w:r>
              <w:t>对政府专项工作评议后，意见和建议落实整改</w:t>
            </w:r>
          </w:p>
        </w:tc>
        <w:tc>
          <w:tcPr>
            <w:tcW w:w="2551" w:type="dxa"/>
            <w:vAlign w:val="center"/>
          </w:tcPr>
          <w:p>
            <w:pPr>
              <w:pStyle w:val="16"/>
            </w:pPr>
            <w:r>
              <w:t>≥90%</w:t>
            </w:r>
          </w:p>
        </w:tc>
        <w:tc>
          <w:tcPr>
            <w:tcW w:w="2268" w:type="dxa"/>
            <w:vAlign w:val="center"/>
          </w:tcPr>
          <w:p>
            <w:pPr>
              <w:pStyle w:val="16"/>
            </w:pPr>
            <w:r>
              <w:t>中共河北省委办公厅 转发省人大常委会党组关于推进县乡人大工作和建设的指导意见。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代表通过会议履职保障度</w:t>
            </w:r>
          </w:p>
        </w:tc>
        <w:tc>
          <w:tcPr>
            <w:tcW w:w="2835" w:type="dxa"/>
            <w:vAlign w:val="center"/>
          </w:tcPr>
          <w:p>
            <w:pPr>
              <w:pStyle w:val="16"/>
            </w:pPr>
            <w:r>
              <w:t>代表通过会议行使表决权、监督权情况</w:t>
            </w:r>
          </w:p>
        </w:tc>
        <w:tc>
          <w:tcPr>
            <w:tcW w:w="2551" w:type="dxa"/>
            <w:vAlign w:val="center"/>
          </w:tcPr>
          <w:p>
            <w:pPr>
              <w:pStyle w:val="16"/>
            </w:pPr>
            <w:r>
              <w:t>代表通过参加会议履行职责得到的保障度</w:t>
            </w:r>
          </w:p>
        </w:tc>
        <w:tc>
          <w:tcPr>
            <w:tcW w:w="2268" w:type="dxa"/>
            <w:vAlign w:val="center"/>
          </w:tcPr>
          <w:p>
            <w:pPr>
              <w:pStyle w:val="16"/>
            </w:pPr>
            <w:r>
              <w:t>中共河北省委办公厅 转发省人大常委会党组关于推进县乡人大工作和建设的指导意见。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代表通过会议行使权利满意度</w:t>
            </w:r>
          </w:p>
        </w:tc>
        <w:tc>
          <w:tcPr>
            <w:tcW w:w="2835" w:type="dxa"/>
            <w:vAlign w:val="center"/>
          </w:tcPr>
          <w:p>
            <w:pPr>
              <w:pStyle w:val="16"/>
            </w:pPr>
            <w:r>
              <w:t>代表通过参加会议代表人民行使权利保障情况</w:t>
            </w:r>
          </w:p>
        </w:tc>
        <w:tc>
          <w:tcPr>
            <w:tcW w:w="2551" w:type="dxa"/>
            <w:vAlign w:val="center"/>
          </w:tcPr>
          <w:p>
            <w:pPr>
              <w:pStyle w:val="16"/>
            </w:pPr>
            <w:r>
              <w:t>≥90%</w:t>
            </w:r>
          </w:p>
        </w:tc>
        <w:tc>
          <w:tcPr>
            <w:tcW w:w="2268" w:type="dxa"/>
            <w:vAlign w:val="center"/>
          </w:tcPr>
          <w:p>
            <w:pPr>
              <w:pStyle w:val="16"/>
            </w:pPr>
            <w:r>
              <w:t>中共河北省委办公厅 转发省人大常委会党组关于推进县乡人大工作和建设的指导意见。</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3、本级信息化建设绩效目标表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1.确保新闻宣传工作正常开展，信息化系统及设备运转正常。</w:t>
            </w:r>
          </w:p>
          <w:p>
            <w:pPr>
              <w:pStyle w:val="16"/>
            </w:pPr>
            <w:r>
              <w:t>2.按上级规定完成预算监督联网中心各项工作。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老旧信息化设备更新率</w:t>
            </w:r>
          </w:p>
        </w:tc>
        <w:tc>
          <w:tcPr>
            <w:tcW w:w="2835" w:type="dxa"/>
            <w:vAlign w:val="center"/>
          </w:tcPr>
          <w:p>
            <w:pPr>
              <w:pStyle w:val="16"/>
            </w:pPr>
            <w:r>
              <w:t>更新信息化设备保障正常办公</w:t>
            </w:r>
          </w:p>
        </w:tc>
        <w:tc>
          <w:tcPr>
            <w:tcW w:w="2551" w:type="dxa"/>
            <w:vAlign w:val="center"/>
          </w:tcPr>
          <w:p>
            <w:pPr>
              <w:pStyle w:val="16"/>
            </w:pPr>
            <w:r>
              <w:t>100%</w:t>
            </w:r>
          </w:p>
        </w:tc>
        <w:tc>
          <w:tcPr>
            <w:tcW w:w="2268" w:type="dxa"/>
            <w:vAlign w:val="center"/>
          </w:tcPr>
          <w:p>
            <w:pPr>
              <w:pStyle w:val="16"/>
            </w:pPr>
            <w:r>
              <w:t>中共河北省委办公厅 转发省人大常委会党组关于推进县乡人大工作和建设的指导意见。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门户网站运行保障度</w:t>
            </w:r>
          </w:p>
        </w:tc>
        <w:tc>
          <w:tcPr>
            <w:tcW w:w="2835" w:type="dxa"/>
            <w:vAlign w:val="center"/>
          </w:tcPr>
          <w:p>
            <w:pPr>
              <w:pStyle w:val="16"/>
            </w:pPr>
            <w:r>
              <w:t>门户网站正常运行</w:t>
            </w:r>
          </w:p>
        </w:tc>
        <w:tc>
          <w:tcPr>
            <w:tcW w:w="2551" w:type="dxa"/>
            <w:vAlign w:val="center"/>
          </w:tcPr>
          <w:p>
            <w:pPr>
              <w:pStyle w:val="16"/>
            </w:pPr>
            <w:r>
              <w:t>100%</w:t>
            </w:r>
          </w:p>
        </w:tc>
        <w:tc>
          <w:tcPr>
            <w:tcW w:w="2268" w:type="dxa"/>
            <w:vAlign w:val="center"/>
          </w:tcPr>
          <w:p>
            <w:pPr>
              <w:pStyle w:val="16"/>
            </w:pPr>
            <w:r>
              <w:t>中共河北省委办公厅 转发省人大常委会党组关于推进县乡人大工作和建设的指导意见。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新闻宣传保障度</w:t>
            </w:r>
          </w:p>
        </w:tc>
        <w:tc>
          <w:tcPr>
            <w:tcW w:w="2835" w:type="dxa"/>
            <w:vAlign w:val="center"/>
          </w:tcPr>
          <w:p>
            <w:pPr>
              <w:pStyle w:val="16"/>
            </w:pPr>
            <w:r>
              <w:t>保障年度新闻宣传任务顺利完成</w:t>
            </w:r>
          </w:p>
        </w:tc>
        <w:tc>
          <w:tcPr>
            <w:tcW w:w="2551" w:type="dxa"/>
            <w:vAlign w:val="center"/>
          </w:tcPr>
          <w:p>
            <w:pPr>
              <w:pStyle w:val="16"/>
            </w:pPr>
            <w:r>
              <w:t>100%</w:t>
            </w:r>
          </w:p>
        </w:tc>
        <w:tc>
          <w:tcPr>
            <w:tcW w:w="2268" w:type="dxa"/>
            <w:vAlign w:val="center"/>
          </w:tcPr>
          <w:p>
            <w:pPr>
              <w:pStyle w:val="16"/>
            </w:pPr>
            <w:r>
              <w:t>中共河北省委办公厅 转发省人大常委会党组关于推进县乡人大工作和建设的指导意见。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人大预算联网中心运行保障度</w:t>
            </w:r>
          </w:p>
        </w:tc>
        <w:tc>
          <w:tcPr>
            <w:tcW w:w="2835" w:type="dxa"/>
            <w:vAlign w:val="center"/>
          </w:tcPr>
          <w:p>
            <w:pPr>
              <w:pStyle w:val="16"/>
            </w:pPr>
            <w:r>
              <w:t>预算联网监督正常运行</w:t>
            </w:r>
          </w:p>
        </w:tc>
        <w:tc>
          <w:tcPr>
            <w:tcW w:w="2551" w:type="dxa"/>
            <w:vAlign w:val="center"/>
          </w:tcPr>
          <w:p>
            <w:pPr>
              <w:pStyle w:val="16"/>
            </w:pPr>
            <w:r>
              <w:t>100%</w:t>
            </w:r>
          </w:p>
        </w:tc>
        <w:tc>
          <w:tcPr>
            <w:tcW w:w="2268" w:type="dxa"/>
            <w:vAlign w:val="center"/>
          </w:tcPr>
          <w:p>
            <w:pPr>
              <w:pStyle w:val="16"/>
            </w:pPr>
            <w:r>
              <w:t>冀人常财【2019】18号河北省人大常委会财政经济工作委员会关于做好预算联网监督系统安装培训基础工作的通知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可持续影响指标</w:t>
            </w:r>
          </w:p>
        </w:tc>
        <w:tc>
          <w:tcPr>
            <w:tcW w:w="2835" w:type="dxa"/>
            <w:vAlign w:val="center"/>
          </w:tcPr>
          <w:p>
            <w:pPr>
              <w:pStyle w:val="16"/>
            </w:pPr>
            <w:r>
              <w:t>人大常委会电子表决系统维护运行网络运行 效果</w:t>
            </w:r>
          </w:p>
        </w:tc>
        <w:tc>
          <w:tcPr>
            <w:tcW w:w="2835" w:type="dxa"/>
            <w:vAlign w:val="center"/>
          </w:tcPr>
          <w:p>
            <w:pPr>
              <w:pStyle w:val="16"/>
            </w:pPr>
            <w:r>
              <w:t>表决系统服务器维护、网络运行等保障情况</w:t>
            </w:r>
          </w:p>
        </w:tc>
        <w:tc>
          <w:tcPr>
            <w:tcW w:w="2551" w:type="dxa"/>
            <w:vAlign w:val="center"/>
          </w:tcPr>
          <w:p>
            <w:pPr>
              <w:pStyle w:val="16"/>
            </w:pPr>
            <w:r>
              <w:t>100%</w:t>
            </w:r>
          </w:p>
        </w:tc>
        <w:tc>
          <w:tcPr>
            <w:tcW w:w="2268" w:type="dxa"/>
            <w:vAlign w:val="center"/>
          </w:tcPr>
          <w:p>
            <w:pPr>
              <w:pStyle w:val="16"/>
            </w:pPr>
            <w:r>
              <w:t>中共河北省委办公厅 转发省人大常委会党组关于推进县乡人大工作和建设的指导意见。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信息网络宣传效果</w:t>
            </w:r>
          </w:p>
        </w:tc>
        <w:tc>
          <w:tcPr>
            <w:tcW w:w="2835" w:type="dxa"/>
            <w:vAlign w:val="center"/>
          </w:tcPr>
          <w:p>
            <w:pPr>
              <w:pStyle w:val="16"/>
            </w:pPr>
            <w:r>
              <w:t>通过网络宣传达到的舆论效果</w:t>
            </w:r>
          </w:p>
        </w:tc>
        <w:tc>
          <w:tcPr>
            <w:tcW w:w="2551" w:type="dxa"/>
            <w:vAlign w:val="center"/>
          </w:tcPr>
          <w:p>
            <w:pPr>
              <w:pStyle w:val="16"/>
            </w:pPr>
            <w:r>
              <w:t>通过网络宣传达到良好舆论效果</w:t>
            </w:r>
          </w:p>
        </w:tc>
        <w:tc>
          <w:tcPr>
            <w:tcW w:w="2268" w:type="dxa"/>
            <w:vAlign w:val="center"/>
          </w:tcPr>
          <w:p>
            <w:pPr>
              <w:pStyle w:val="16"/>
            </w:pPr>
            <w:r>
              <w:t>中共河北省委办公厅 转发省人大常委会党组关于推进县乡人大工作和建设的指导意见。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机关信息化设备保障工作顺利开展满意度</w:t>
            </w:r>
          </w:p>
        </w:tc>
        <w:tc>
          <w:tcPr>
            <w:tcW w:w="2835" w:type="dxa"/>
            <w:vAlign w:val="center"/>
          </w:tcPr>
          <w:p>
            <w:pPr>
              <w:pStyle w:val="16"/>
            </w:pPr>
            <w:r>
              <w:t>信息化基础设施及网络保障工作顺利开展满意度</w:t>
            </w:r>
          </w:p>
        </w:tc>
        <w:tc>
          <w:tcPr>
            <w:tcW w:w="2551" w:type="dxa"/>
            <w:vAlign w:val="center"/>
          </w:tcPr>
          <w:p>
            <w:pPr>
              <w:pStyle w:val="16"/>
            </w:pPr>
            <w:r>
              <w:t>≥90%</w:t>
            </w:r>
          </w:p>
        </w:tc>
        <w:tc>
          <w:tcPr>
            <w:tcW w:w="2268" w:type="dxa"/>
            <w:vAlign w:val="center"/>
          </w:tcPr>
          <w:p>
            <w:pPr>
              <w:pStyle w:val="16"/>
            </w:pPr>
            <w:r>
              <w:t>中共河北省委办公厅 转发省人大常委会党组关于推进县乡人大工作和建设的指导意见。</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4" w:name="_Toc_3_3_0000000015"/>
      <w:r>
        <w:rPr>
          <w:rFonts w:ascii="黑体" w:hAnsi="黑体" w:eastAsia="黑体" w:cs="黑体"/>
          <w:color w:val="000000"/>
          <w:sz w:val="32"/>
        </w:rPr>
        <w:t>六、政府采购预算情况</w:t>
      </w:r>
      <w:bookmarkEnd w:id="14"/>
    </w:p>
    <w:p>
      <w:pPr>
        <w:spacing w:before="0" w:after="0" w:line="500" w:lineRule="exact"/>
        <w:ind w:firstLine="560"/>
        <w:jc w:val="left"/>
        <w:outlineLvl w:val="9"/>
      </w:pPr>
      <w:r>
        <w:rPr>
          <w:rFonts w:ascii="Times New Roman" w:hAnsi="Times New Roman" w:eastAsia="方正仿宋_GBK" w:cs="Times New Roman"/>
          <w:b w:val="0"/>
          <w:color w:val="000000"/>
          <w:sz w:val="28"/>
        </w:rPr>
        <w:t>2023年，唐山市开平区人民代表大会常务委员会安排政府采购预算0.80万元。具体内容见下表。</w:t>
      </w:r>
    </w:p>
    <w:p>
      <w:pPr>
        <w:spacing w:before="0" w:after="0" w:line="240" w:lineRule="auto"/>
        <w:ind w:firstLine="0"/>
        <w:jc w:val="center"/>
        <w:outlineLvl w:val="9"/>
      </w:pPr>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3"/>
            </w:pPr>
            <w:r>
              <w:t>101唐山市开平区人民代表大会常务委员会</w:t>
            </w:r>
          </w:p>
        </w:tc>
        <w:tc>
          <w:tcPr>
            <w:tcW w:w="8674" w:type="dxa"/>
            <w:gridSpan w:val="9"/>
            <w:tcBorders>
              <w:top w:val="single" w:color="FFFFFF" w:sz="6" w:space="0"/>
              <w:left w:val="single" w:color="FFFFFF" w:sz="6" w:space="0"/>
              <w:right w:val="single" w:color="FFFFFF" w:sz="6" w:space="0"/>
            </w:tcBorders>
            <w:vAlign w:val="center"/>
          </w:tcPr>
          <w:p>
            <w:pPr>
              <w:pStyle w:val="2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4"/>
            </w:pPr>
            <w:r>
              <w:t>政府采购项目来源</w:t>
            </w:r>
          </w:p>
        </w:tc>
        <w:tc>
          <w:tcPr>
            <w:tcW w:w="1134" w:type="dxa"/>
            <w:vMerge w:val="restart"/>
            <w:vAlign w:val="center"/>
          </w:tcPr>
          <w:p>
            <w:pPr>
              <w:pStyle w:val="14"/>
            </w:pPr>
            <w:r>
              <w:t>采购物品名称</w:t>
            </w:r>
          </w:p>
        </w:tc>
        <w:tc>
          <w:tcPr>
            <w:tcW w:w="1134" w:type="dxa"/>
            <w:vMerge w:val="restart"/>
            <w:vAlign w:val="center"/>
          </w:tcPr>
          <w:p>
            <w:pPr>
              <w:pStyle w:val="14"/>
            </w:pPr>
            <w:r>
              <w:t>政府采购目录序号</w:t>
            </w:r>
          </w:p>
        </w:tc>
        <w:tc>
          <w:tcPr>
            <w:tcW w:w="709" w:type="dxa"/>
            <w:vMerge w:val="restart"/>
            <w:vAlign w:val="center"/>
          </w:tcPr>
          <w:p>
            <w:pPr>
              <w:pStyle w:val="14"/>
            </w:pPr>
            <w:r>
              <w:t>计量  单位</w:t>
            </w:r>
          </w:p>
        </w:tc>
        <w:tc>
          <w:tcPr>
            <w:tcW w:w="850" w:type="dxa"/>
            <w:vMerge w:val="restart"/>
            <w:vAlign w:val="center"/>
          </w:tcPr>
          <w:p>
            <w:pPr>
              <w:pStyle w:val="14"/>
            </w:pPr>
            <w:r>
              <w:t>数量</w:t>
            </w:r>
          </w:p>
        </w:tc>
        <w:tc>
          <w:tcPr>
            <w:tcW w:w="850" w:type="dxa"/>
            <w:vMerge w:val="restart"/>
            <w:vAlign w:val="center"/>
          </w:tcPr>
          <w:p>
            <w:pPr>
              <w:pStyle w:val="14"/>
            </w:pPr>
            <w:r>
              <w:t>单价</w:t>
            </w:r>
          </w:p>
        </w:tc>
        <w:tc>
          <w:tcPr>
            <w:tcW w:w="7710" w:type="dxa"/>
            <w:gridSpan w:val="8"/>
            <w:vAlign w:val="center"/>
          </w:tcPr>
          <w:p>
            <w:pPr>
              <w:pStyle w:val="14"/>
            </w:pPr>
            <w:r>
              <w:t>政府采购金额（当年</w:t>
            </w:r>
            <w:r>
              <w:rPr>
                <w:rFonts w:hint="eastAsia"/>
                <w:lang w:eastAsia="zh-CN"/>
              </w:rPr>
              <w:t>单位</w:t>
            </w:r>
            <w:r>
              <w:t>预算安排资金）</w:t>
            </w:r>
          </w:p>
        </w:tc>
        <w:tc>
          <w:tcPr>
            <w:tcW w:w="964" w:type="dxa"/>
            <w:vMerge w:val="restart"/>
            <w:vAlign w:val="center"/>
          </w:tcPr>
          <w:p>
            <w:pPr>
              <w:pStyle w:val="14"/>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4"/>
            </w:pPr>
            <w:r>
              <w:t>项目名称</w:t>
            </w:r>
          </w:p>
        </w:tc>
        <w:tc>
          <w:tcPr>
            <w:tcW w:w="964" w:type="dxa"/>
            <w:vAlign w:val="center"/>
          </w:tcPr>
          <w:p>
            <w:pPr>
              <w:pStyle w:val="14"/>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4"/>
            </w:pPr>
            <w:r>
              <w:t>合计</w:t>
            </w:r>
          </w:p>
        </w:tc>
        <w:tc>
          <w:tcPr>
            <w:tcW w:w="964" w:type="dxa"/>
            <w:vAlign w:val="center"/>
          </w:tcPr>
          <w:p>
            <w:pPr>
              <w:pStyle w:val="14"/>
            </w:pPr>
            <w:r>
              <w:t>一般公共预算拨款</w:t>
            </w:r>
          </w:p>
        </w:tc>
        <w:tc>
          <w:tcPr>
            <w:tcW w:w="964" w:type="dxa"/>
            <w:vAlign w:val="center"/>
          </w:tcPr>
          <w:p>
            <w:pPr>
              <w:pStyle w:val="14"/>
            </w:pPr>
            <w:r>
              <w:t>基金预算拨款</w:t>
            </w:r>
          </w:p>
        </w:tc>
        <w:tc>
          <w:tcPr>
            <w:tcW w:w="964" w:type="dxa"/>
            <w:vAlign w:val="center"/>
          </w:tcPr>
          <w:p>
            <w:pPr>
              <w:pStyle w:val="14"/>
            </w:pPr>
            <w:r>
              <w:t>国有资本经营预算拨款</w:t>
            </w:r>
          </w:p>
        </w:tc>
        <w:tc>
          <w:tcPr>
            <w:tcW w:w="964" w:type="dxa"/>
            <w:vAlign w:val="center"/>
          </w:tcPr>
          <w:p>
            <w:pPr>
              <w:pStyle w:val="14"/>
            </w:pPr>
            <w:r>
              <w:t>财政专户核拨</w:t>
            </w:r>
          </w:p>
        </w:tc>
        <w:tc>
          <w:tcPr>
            <w:tcW w:w="964" w:type="dxa"/>
            <w:vAlign w:val="center"/>
          </w:tcPr>
          <w:p>
            <w:pPr>
              <w:pStyle w:val="14"/>
            </w:pPr>
            <w:r>
              <w:t>单位    资金</w:t>
            </w:r>
          </w:p>
        </w:tc>
        <w:tc>
          <w:tcPr>
            <w:tcW w:w="964" w:type="dxa"/>
            <w:vAlign w:val="center"/>
          </w:tcPr>
          <w:p>
            <w:pPr>
              <w:pStyle w:val="14"/>
            </w:pPr>
            <w:r>
              <w:t>财政拨    款结转</w:t>
            </w:r>
          </w:p>
        </w:tc>
        <w:tc>
          <w:tcPr>
            <w:tcW w:w="964" w:type="dxa"/>
            <w:vAlign w:val="center"/>
          </w:tcPr>
          <w:p>
            <w:pPr>
              <w:pStyle w:val="14"/>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8"/>
            </w:pPr>
            <w:r>
              <w:t>合  计</w:t>
            </w:r>
          </w:p>
        </w:tc>
        <w:tc>
          <w:tcPr>
            <w:tcW w:w="964" w:type="dxa"/>
            <w:vAlign w:val="center"/>
          </w:tcPr>
          <w:p>
            <w:pPr>
              <w:pStyle w:val="19"/>
            </w:pPr>
          </w:p>
        </w:tc>
        <w:tc>
          <w:tcPr>
            <w:tcW w:w="1134" w:type="dxa"/>
            <w:vAlign w:val="center"/>
          </w:tcPr>
          <w:p>
            <w:pPr>
              <w:pStyle w:val="20"/>
            </w:pPr>
          </w:p>
        </w:tc>
        <w:tc>
          <w:tcPr>
            <w:tcW w:w="1134" w:type="dxa"/>
            <w:vAlign w:val="center"/>
          </w:tcPr>
          <w:p>
            <w:pPr>
              <w:pStyle w:val="20"/>
            </w:pPr>
          </w:p>
        </w:tc>
        <w:tc>
          <w:tcPr>
            <w:tcW w:w="709" w:type="dxa"/>
            <w:vAlign w:val="center"/>
          </w:tcPr>
          <w:p>
            <w:pPr>
              <w:pStyle w:val="18"/>
            </w:pPr>
          </w:p>
        </w:tc>
        <w:tc>
          <w:tcPr>
            <w:tcW w:w="850" w:type="dxa"/>
            <w:vAlign w:val="center"/>
          </w:tcPr>
          <w:p>
            <w:pPr>
              <w:pStyle w:val="19"/>
            </w:pPr>
          </w:p>
        </w:tc>
        <w:tc>
          <w:tcPr>
            <w:tcW w:w="850" w:type="dxa"/>
            <w:vAlign w:val="center"/>
          </w:tcPr>
          <w:p>
            <w:pPr>
              <w:pStyle w:val="19"/>
            </w:pPr>
          </w:p>
        </w:tc>
        <w:tc>
          <w:tcPr>
            <w:tcW w:w="964" w:type="dxa"/>
            <w:vAlign w:val="center"/>
          </w:tcPr>
          <w:p>
            <w:pPr>
              <w:pStyle w:val="19"/>
            </w:pPr>
            <w:r>
              <w:t>0.80</w:t>
            </w:r>
          </w:p>
        </w:tc>
        <w:tc>
          <w:tcPr>
            <w:tcW w:w="964" w:type="dxa"/>
            <w:vAlign w:val="center"/>
          </w:tcPr>
          <w:p>
            <w:pPr>
              <w:pStyle w:val="19"/>
            </w:pPr>
            <w:r>
              <w:t>0.80</w:t>
            </w: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r>
              <w:t>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8"/>
            </w:pPr>
            <w:r>
              <w:t>唐山市开平区人民代表大会常务委员会本级小计</w:t>
            </w:r>
          </w:p>
        </w:tc>
        <w:tc>
          <w:tcPr>
            <w:tcW w:w="964" w:type="dxa"/>
            <w:vAlign w:val="center"/>
          </w:tcPr>
          <w:p>
            <w:pPr>
              <w:pStyle w:val="19"/>
            </w:pPr>
          </w:p>
        </w:tc>
        <w:tc>
          <w:tcPr>
            <w:tcW w:w="1134" w:type="dxa"/>
            <w:vAlign w:val="center"/>
          </w:tcPr>
          <w:p>
            <w:pPr>
              <w:pStyle w:val="20"/>
            </w:pPr>
          </w:p>
        </w:tc>
        <w:tc>
          <w:tcPr>
            <w:tcW w:w="1134" w:type="dxa"/>
            <w:vAlign w:val="center"/>
          </w:tcPr>
          <w:p>
            <w:pPr>
              <w:pStyle w:val="20"/>
            </w:pPr>
          </w:p>
        </w:tc>
        <w:tc>
          <w:tcPr>
            <w:tcW w:w="709" w:type="dxa"/>
            <w:vAlign w:val="center"/>
          </w:tcPr>
          <w:p>
            <w:pPr>
              <w:pStyle w:val="18"/>
            </w:pPr>
          </w:p>
        </w:tc>
        <w:tc>
          <w:tcPr>
            <w:tcW w:w="850" w:type="dxa"/>
            <w:vAlign w:val="center"/>
          </w:tcPr>
          <w:p>
            <w:pPr>
              <w:pStyle w:val="19"/>
            </w:pPr>
          </w:p>
        </w:tc>
        <w:tc>
          <w:tcPr>
            <w:tcW w:w="850" w:type="dxa"/>
            <w:vAlign w:val="center"/>
          </w:tcPr>
          <w:p>
            <w:pPr>
              <w:pStyle w:val="19"/>
            </w:pPr>
          </w:p>
        </w:tc>
        <w:tc>
          <w:tcPr>
            <w:tcW w:w="964" w:type="dxa"/>
            <w:vAlign w:val="center"/>
          </w:tcPr>
          <w:p>
            <w:pPr>
              <w:pStyle w:val="19"/>
            </w:pPr>
            <w:r>
              <w:t>0.80</w:t>
            </w:r>
          </w:p>
        </w:tc>
        <w:tc>
          <w:tcPr>
            <w:tcW w:w="964" w:type="dxa"/>
            <w:vAlign w:val="center"/>
          </w:tcPr>
          <w:p>
            <w:pPr>
              <w:pStyle w:val="19"/>
            </w:pPr>
            <w:r>
              <w:t>0.80</w:t>
            </w: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r>
              <w:t>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本级信息化建设</w:t>
            </w:r>
          </w:p>
        </w:tc>
        <w:tc>
          <w:tcPr>
            <w:tcW w:w="964" w:type="dxa"/>
            <w:vAlign w:val="center"/>
          </w:tcPr>
          <w:p>
            <w:pPr>
              <w:pStyle w:val="15"/>
            </w:pPr>
            <w:r>
              <w:t>13.50</w:t>
            </w:r>
          </w:p>
        </w:tc>
        <w:tc>
          <w:tcPr>
            <w:tcW w:w="1134" w:type="dxa"/>
            <w:vAlign w:val="center"/>
          </w:tcPr>
          <w:p>
            <w:pPr>
              <w:pStyle w:val="16"/>
            </w:pPr>
            <w:r>
              <w:t>空调机</w:t>
            </w:r>
          </w:p>
        </w:tc>
        <w:tc>
          <w:tcPr>
            <w:tcW w:w="1134" w:type="dxa"/>
            <w:vAlign w:val="center"/>
          </w:tcPr>
          <w:p>
            <w:pPr>
              <w:pStyle w:val="16"/>
            </w:pPr>
            <w:r>
              <w:t>A02061804</w:t>
            </w:r>
          </w:p>
        </w:tc>
        <w:tc>
          <w:tcPr>
            <w:tcW w:w="709" w:type="dxa"/>
            <w:vAlign w:val="center"/>
          </w:tcPr>
          <w:p>
            <w:pPr>
              <w:pStyle w:val="17"/>
            </w:pPr>
            <w:r>
              <w:t>台</w:t>
            </w:r>
          </w:p>
        </w:tc>
        <w:tc>
          <w:tcPr>
            <w:tcW w:w="850" w:type="dxa"/>
            <w:vAlign w:val="center"/>
          </w:tcPr>
          <w:p>
            <w:pPr>
              <w:pStyle w:val="15"/>
            </w:pPr>
            <w:r>
              <w:t>2</w:t>
            </w:r>
          </w:p>
        </w:tc>
        <w:tc>
          <w:tcPr>
            <w:tcW w:w="850" w:type="dxa"/>
            <w:vAlign w:val="center"/>
          </w:tcPr>
          <w:p>
            <w:pPr>
              <w:pStyle w:val="15"/>
            </w:pPr>
            <w:r>
              <w:t>0.40</w:t>
            </w:r>
          </w:p>
        </w:tc>
        <w:tc>
          <w:tcPr>
            <w:tcW w:w="964" w:type="dxa"/>
            <w:vAlign w:val="center"/>
          </w:tcPr>
          <w:p>
            <w:pPr>
              <w:pStyle w:val="15"/>
            </w:pPr>
            <w:r>
              <w:t>0.80</w:t>
            </w:r>
          </w:p>
        </w:tc>
        <w:tc>
          <w:tcPr>
            <w:tcW w:w="964" w:type="dxa"/>
            <w:vAlign w:val="center"/>
          </w:tcPr>
          <w:p>
            <w:pPr>
              <w:pStyle w:val="15"/>
            </w:pPr>
            <w:r>
              <w:t>0.80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0.80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5" w:name="_Toc_3_3_0000000016"/>
      <w:r>
        <w:rPr>
          <w:rFonts w:ascii="黑体" w:hAnsi="黑体" w:eastAsia="黑体" w:cs="黑体"/>
          <w:color w:val="000000"/>
          <w:sz w:val="32"/>
        </w:rPr>
        <w:t>七、国有资产信息</w:t>
      </w:r>
      <w:bookmarkEnd w:id="15"/>
    </w:p>
    <w:p>
      <w:pPr>
        <w:spacing w:before="0" w:after="0" w:line="500" w:lineRule="exact"/>
        <w:ind w:firstLine="560"/>
        <w:jc w:val="left"/>
        <w:outlineLvl w:val="9"/>
      </w:pPr>
      <w:r>
        <w:rPr>
          <w:rFonts w:ascii="Times New Roman" w:hAnsi="Times New Roman" w:eastAsia="方正仿宋_GBK" w:cs="Times New Roman"/>
          <w:b w:val="0"/>
          <w:color w:val="000000"/>
          <w:sz w:val="28"/>
        </w:rPr>
        <w:t>唐山市开平区人民代表大会常务委员会（含所属单位）上年末固定资产金额为</w:t>
      </w:r>
      <w:r>
        <w:rPr>
          <w:rFonts w:hint="eastAsia" w:eastAsia="方正仿宋_GBK"/>
          <w:color w:val="000000"/>
          <w:sz w:val="28"/>
          <w:lang w:val="en-US" w:eastAsia="zh-CN"/>
        </w:rPr>
        <w:t>186.38</w:t>
      </w:r>
      <w:r>
        <w:rPr>
          <w:rFonts w:ascii="Times New Roman" w:hAnsi="Times New Roman" w:eastAsia="方正仿宋_GBK" w:cs="Times New Roman"/>
          <w:b w:val="0"/>
          <w:color w:val="000000"/>
          <w:sz w:val="28"/>
        </w:rPr>
        <w:t>万元（详见下表）。本年度拟购置固定资产总额为</w:t>
      </w:r>
      <w:r>
        <w:rPr>
          <w:rFonts w:hint="eastAsia" w:eastAsia="方正仿宋_GBK" w:cs="Times New Roman"/>
          <w:b w:val="0"/>
          <w:color w:val="000000"/>
          <w:sz w:val="28"/>
          <w:lang w:val="en-US" w:eastAsia="zh-CN"/>
        </w:rPr>
        <w:t>0.8</w:t>
      </w:r>
      <w:r>
        <w:rPr>
          <w:rFonts w:ascii="Times New Roman" w:hAnsi="Times New Roman" w:eastAsia="方正仿宋_GBK" w:cs="Times New Roman"/>
          <w:b w:val="0"/>
          <w:color w:val="000000"/>
          <w:sz w:val="28"/>
        </w:rPr>
        <w:t>万元，已按要求列入政府采购预算，详见政府采购预算表。</w:t>
      </w:r>
    </w:p>
    <w:p>
      <w:pPr>
        <w:spacing w:before="0" w:after="0" w:line="240" w:lineRule="auto"/>
        <w:ind w:firstLine="0"/>
        <w:jc w:val="center"/>
        <w:outlineLvl w:val="9"/>
      </w:pPr>
    </w:p>
    <w:tbl>
      <w:tblPr>
        <w:tblStyle w:val="8"/>
        <w:tblW w:w="13482" w:type="dxa"/>
        <w:tblInd w:w="93" w:type="dxa"/>
        <w:tblLayout w:type="fixed"/>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vAlign w:val="center"/>
          </w:tcPr>
          <w:p>
            <w:pPr>
              <w:widowControl/>
              <w:jc w:val="center"/>
              <w:rPr>
                <w:rFonts w:ascii="仿宋" w:hAnsi="仿宋" w:eastAsia="仿宋" w:cs="宋体"/>
                <w:b/>
                <w:bCs/>
                <w:kern w:val="0"/>
                <w:sz w:val="32"/>
                <w:szCs w:val="32"/>
              </w:rPr>
            </w:pPr>
            <w:r>
              <w:rPr>
                <w:rFonts w:hint="eastAsia" w:ascii="宋体" w:hAnsi="宋体" w:cs="宋体"/>
                <w:b/>
                <w:bCs/>
                <w:kern w:val="0"/>
                <w:sz w:val="32"/>
                <w:szCs w:val="32"/>
              </w:rPr>
              <w:t>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vAlign w:val="center"/>
          </w:tcPr>
          <w:p>
            <w:pPr>
              <w:widowControl/>
              <w:jc w:val="left"/>
              <w:rPr>
                <w:rFonts w:ascii="宋体" w:hAnsi="宋体" w:cs="宋体"/>
                <w:kern w:val="0"/>
                <w:szCs w:val="21"/>
              </w:rPr>
            </w:pPr>
            <w:r>
              <w:rPr>
                <w:rFonts w:hint="eastAsia" w:ascii="宋体" w:hAnsi="宋体" w:cs="宋体"/>
                <w:kern w:val="0"/>
                <w:szCs w:val="21"/>
              </w:rPr>
              <w:t>编制</w:t>
            </w:r>
            <w:r>
              <w:rPr>
                <w:rFonts w:hint="eastAsia" w:ascii="宋体" w:hAnsi="宋体" w:cs="宋体"/>
                <w:kern w:val="0"/>
                <w:szCs w:val="21"/>
                <w:lang w:eastAsia="zh-CN"/>
              </w:rPr>
              <w:t>单位</w:t>
            </w:r>
            <w:r>
              <w:rPr>
                <w:rFonts w:hint="eastAsia" w:ascii="宋体" w:hAnsi="宋体" w:cs="宋体"/>
                <w:kern w:val="0"/>
                <w:szCs w:val="21"/>
              </w:rPr>
              <w:t>：人大</w:t>
            </w:r>
          </w:p>
        </w:tc>
        <w:tc>
          <w:tcPr>
            <w:tcW w:w="5103" w:type="dxa"/>
            <w:tcBorders>
              <w:top w:val="nil"/>
              <w:left w:val="nil"/>
              <w:bottom w:val="nil"/>
              <w:right w:val="nil"/>
            </w:tcBorders>
            <w:vAlign w:val="center"/>
          </w:tcPr>
          <w:p>
            <w:pPr>
              <w:widowControl/>
              <w:jc w:val="left"/>
              <w:rPr>
                <w:rFonts w:ascii="宋体" w:hAnsi="宋体" w:cs="宋体"/>
                <w:kern w:val="0"/>
                <w:szCs w:val="21"/>
              </w:rPr>
            </w:pPr>
            <w:r>
              <w:rPr>
                <w:rFonts w:hint="eastAsia" w:ascii="宋体" w:hAnsi="宋体" w:cs="宋体"/>
                <w:kern w:val="0"/>
                <w:szCs w:val="21"/>
              </w:rPr>
              <w:t>截止时间：20</w:t>
            </w:r>
            <w:r>
              <w:rPr>
                <w:rFonts w:hint="eastAsia" w:ascii="宋体" w:hAnsi="宋体" w:cs="宋体"/>
                <w:kern w:val="0"/>
                <w:szCs w:val="21"/>
                <w:lang w:val="en-US" w:eastAsia="zh-CN"/>
              </w:rPr>
              <w:t>22</w:t>
            </w:r>
            <w:r>
              <w:rPr>
                <w:rFonts w:hint="eastAsia" w:ascii="宋体" w:hAnsi="宋体" w:cs="宋体"/>
                <w:kern w:val="0"/>
                <w:szCs w:val="21"/>
              </w:rPr>
              <w:t>年12月31日</w:t>
            </w:r>
          </w:p>
        </w:tc>
      </w:tr>
      <w:tr>
        <w:tblPrEx>
          <w:tblCellMar>
            <w:top w:w="0" w:type="dxa"/>
            <w:left w:w="108" w:type="dxa"/>
            <w:bottom w:w="0" w:type="dxa"/>
            <w:right w:w="108" w:type="dxa"/>
          </w:tblCellMar>
        </w:tblPrEx>
        <w:trPr>
          <w:trHeight w:val="645" w:hRule="atLeast"/>
        </w:trPr>
        <w:tc>
          <w:tcPr>
            <w:tcW w:w="522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Cs w:val="21"/>
              </w:rPr>
            </w:pPr>
            <w:r>
              <w:rPr>
                <w:rFonts w:hint="eastAsia" w:ascii="宋体" w:hAnsi="宋体" w:cs="宋体"/>
                <w:b/>
                <w:bCs/>
                <w:kern w:val="0"/>
                <w:szCs w:val="21"/>
              </w:rPr>
              <w:t>项目</w:t>
            </w:r>
          </w:p>
        </w:tc>
        <w:tc>
          <w:tcPr>
            <w:tcW w:w="315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Cs w:val="21"/>
              </w:rPr>
            </w:pPr>
            <w:r>
              <w:rPr>
                <w:rFonts w:hint="eastAsia" w:ascii="宋体" w:hAnsi="宋体" w:cs="宋体"/>
                <w:b/>
                <w:bCs/>
                <w:kern w:val="0"/>
                <w:szCs w:val="21"/>
              </w:rPr>
              <w:t>数量</w:t>
            </w:r>
          </w:p>
        </w:tc>
        <w:tc>
          <w:tcPr>
            <w:tcW w:w="5103"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Cs w:val="21"/>
              </w:rPr>
            </w:pPr>
            <w:r>
              <w:rPr>
                <w:rFonts w:hint="eastAsia" w:ascii="宋体" w:hAnsi="宋体" w:cs="宋体"/>
                <w:b/>
                <w:bCs/>
                <w:kern w:val="0"/>
                <w:szCs w:val="21"/>
              </w:rPr>
              <w:t>价值（金额</w:t>
            </w:r>
            <w:r>
              <w:rPr>
                <w:rFonts w:hint="eastAsia" w:ascii="宋体" w:hAnsi="宋体" w:eastAsia="宋体" w:cs="宋体"/>
                <w:b/>
                <w:bCs/>
                <w:kern w:val="0"/>
                <w:szCs w:val="21"/>
                <w:lang w:eastAsia="zh-CN"/>
              </w:rPr>
              <w:t>单位</w:t>
            </w:r>
            <w:r>
              <w:rPr>
                <w:rFonts w:hint="eastAsia" w:ascii="宋体" w:hAnsi="宋体" w:cs="宋体"/>
                <w:b/>
                <w:bCs/>
                <w:kern w:val="0"/>
                <w:szCs w:val="21"/>
              </w:rPr>
              <w:t>：万元）</w:t>
            </w: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资产总额</w:t>
            </w:r>
          </w:p>
        </w:tc>
        <w:tc>
          <w:tcPr>
            <w:tcW w:w="3155"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w:t>
            </w:r>
          </w:p>
        </w:tc>
        <w:tc>
          <w:tcPr>
            <w:tcW w:w="5103" w:type="dxa"/>
            <w:tcBorders>
              <w:top w:val="nil"/>
              <w:left w:val="nil"/>
              <w:bottom w:val="single" w:color="auto" w:sz="4" w:space="0"/>
              <w:right w:val="single" w:color="auto" w:sz="4" w:space="0"/>
            </w:tcBorders>
            <w:vAlign w:val="center"/>
          </w:tcPr>
          <w:p>
            <w:pPr>
              <w:widowControl/>
              <w:ind w:firstLine="2160" w:firstLineChars="900"/>
              <w:rPr>
                <w:rFonts w:hint="default" w:ascii="宋体" w:hAnsi="宋体" w:eastAsia="宋体" w:cs="宋体"/>
                <w:kern w:val="0"/>
                <w:szCs w:val="21"/>
                <w:lang w:val="en-US" w:eastAsia="zh-CN"/>
              </w:rPr>
            </w:pPr>
            <w:r>
              <w:rPr>
                <w:rFonts w:hint="eastAsia" w:ascii="宋体" w:hAnsi="宋体" w:cs="宋体"/>
                <w:kern w:val="0"/>
                <w:szCs w:val="21"/>
                <w:lang w:val="en-US" w:eastAsia="zh-CN"/>
              </w:rPr>
              <w:t>186.38</w:t>
            </w: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（一）房屋（平方米）</w:t>
            </w:r>
          </w:p>
        </w:tc>
        <w:tc>
          <w:tcPr>
            <w:tcW w:w="3155"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0</w:t>
            </w:r>
          </w:p>
        </w:tc>
        <w:tc>
          <w:tcPr>
            <w:tcW w:w="5103"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0</w:t>
            </w:r>
          </w:p>
        </w:tc>
      </w:tr>
      <w:tr>
        <w:tblPrEx>
          <w:tblCellMar>
            <w:top w:w="0" w:type="dxa"/>
            <w:left w:w="108" w:type="dxa"/>
            <w:bottom w:w="0" w:type="dxa"/>
            <w:right w:w="108" w:type="dxa"/>
          </w:tblCellMar>
        </w:tblPrEx>
        <w:trPr>
          <w:trHeight w:val="819"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（二）汽车（台、辆）</w:t>
            </w:r>
          </w:p>
        </w:tc>
        <w:tc>
          <w:tcPr>
            <w:tcW w:w="3155"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4</w:t>
            </w:r>
          </w:p>
        </w:tc>
        <w:tc>
          <w:tcPr>
            <w:tcW w:w="5103" w:type="dxa"/>
            <w:tcBorders>
              <w:top w:val="nil"/>
              <w:left w:val="nil"/>
              <w:bottom w:val="single" w:color="auto" w:sz="4" w:space="0"/>
              <w:right w:val="single" w:color="auto" w:sz="4" w:space="0"/>
            </w:tcBorders>
            <w:vAlign w:val="center"/>
          </w:tcPr>
          <w:p>
            <w:pPr>
              <w:widowControl/>
              <w:jc w:val="center"/>
              <w:rPr>
                <w:rFonts w:hint="default" w:ascii="宋体" w:hAnsi="宋体" w:eastAsia="宋体" w:cs="宋体"/>
                <w:kern w:val="0"/>
                <w:szCs w:val="21"/>
                <w:lang w:val="en-US" w:eastAsia="zh-CN"/>
              </w:rPr>
            </w:pPr>
            <w:r>
              <w:rPr>
                <w:rFonts w:hint="eastAsia" w:ascii="宋体" w:hAnsi="宋体" w:eastAsia="宋体" w:cs="宋体"/>
                <w:kern w:val="0"/>
                <w:szCs w:val="21"/>
                <w:lang w:val="en-US" w:eastAsia="zh-CN"/>
              </w:rPr>
              <w:t>85.98</w:t>
            </w: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（三）单价在20万元以上的设备（台、套…）</w:t>
            </w:r>
          </w:p>
        </w:tc>
        <w:tc>
          <w:tcPr>
            <w:tcW w:w="3155" w:type="dxa"/>
            <w:tcBorders>
              <w:top w:val="nil"/>
              <w:left w:val="nil"/>
              <w:bottom w:val="single" w:color="auto" w:sz="4" w:space="0"/>
              <w:right w:val="single" w:color="auto" w:sz="4" w:space="0"/>
            </w:tcBorders>
            <w:vAlign w:val="center"/>
          </w:tcPr>
          <w:p>
            <w:pPr>
              <w:widowControl/>
              <w:ind w:firstLine="1440" w:firstLineChars="600"/>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0</w:t>
            </w:r>
          </w:p>
        </w:tc>
        <w:tc>
          <w:tcPr>
            <w:tcW w:w="5103" w:type="dxa"/>
            <w:tcBorders>
              <w:top w:val="nil"/>
              <w:left w:val="nil"/>
              <w:bottom w:val="single" w:color="auto" w:sz="4" w:space="0"/>
              <w:right w:val="single" w:color="auto" w:sz="4" w:space="0"/>
            </w:tcBorders>
            <w:vAlign w:val="center"/>
          </w:tcPr>
          <w:p>
            <w:pPr>
              <w:widowControl/>
              <w:ind w:firstLine="2400" w:firstLineChars="1000"/>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0</w:t>
            </w: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（四）其他固定资产</w:t>
            </w:r>
          </w:p>
        </w:tc>
        <w:tc>
          <w:tcPr>
            <w:tcW w:w="3155"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w:t>
            </w:r>
          </w:p>
        </w:tc>
        <w:tc>
          <w:tcPr>
            <w:tcW w:w="5103" w:type="dxa"/>
            <w:tcBorders>
              <w:top w:val="nil"/>
              <w:left w:val="nil"/>
              <w:bottom w:val="single" w:color="auto" w:sz="4" w:space="0"/>
              <w:right w:val="single" w:color="auto" w:sz="4" w:space="0"/>
            </w:tcBorders>
            <w:vAlign w:val="center"/>
          </w:tcPr>
          <w:p>
            <w:pPr>
              <w:widowControl/>
              <w:jc w:val="center"/>
              <w:rPr>
                <w:rFonts w:hint="default" w:ascii="宋体" w:hAnsi="宋体" w:eastAsia="宋体" w:cs="宋体"/>
                <w:kern w:val="0"/>
                <w:szCs w:val="21"/>
                <w:lang w:val="en-US" w:eastAsia="zh-CN"/>
              </w:rPr>
            </w:pPr>
            <w:r>
              <w:rPr>
                <w:rFonts w:hint="eastAsia" w:ascii="宋体" w:hAnsi="宋体" w:eastAsia="宋体" w:cs="宋体"/>
                <w:kern w:val="0"/>
                <w:szCs w:val="21"/>
                <w:lang w:val="en-US" w:eastAsia="zh-CN"/>
              </w:rPr>
              <w:t>100.4</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6" w:name="_Toc_3_3_0000000017"/>
      <w:r>
        <w:rPr>
          <w:rFonts w:ascii="黑体" w:hAnsi="黑体" w:eastAsia="黑体" w:cs="黑体"/>
          <w:color w:val="000000"/>
          <w:sz w:val="32"/>
        </w:rPr>
        <w:t>八、名词解释</w:t>
      </w:r>
      <w:bookmarkEnd w:id="16"/>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eastAsia="zh-CN"/>
        </w:rPr>
        <w:t>本级</w:t>
      </w:r>
      <w:r>
        <w:rPr>
          <w:rFonts w:ascii="Times New Roman" w:hAnsi="Times New Roman" w:eastAsia="方正仿宋_GBK" w:cs="Times New Roman"/>
          <w:b w:val="0"/>
          <w:color w:val="000000"/>
          <w:sz w:val="28"/>
        </w:rPr>
        <w:t>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eastAsia="zh-CN"/>
        </w:rPr>
        <w:t>本级</w:t>
      </w:r>
      <w:r>
        <w:rPr>
          <w:rFonts w:ascii="Times New Roman" w:hAnsi="Times New Roman" w:eastAsia="方正仿宋_GBK" w:cs="Times New Roman"/>
          <w:b w:val="0"/>
          <w:color w:val="000000"/>
          <w:sz w:val="28"/>
        </w:rPr>
        <w:t>财政预算管理的“三公”经费，是指</w:t>
      </w:r>
      <w:r>
        <w:rPr>
          <w:rFonts w:hint="eastAsia" w:eastAsia="方正仿宋_GBK" w:cs="Times New Roman"/>
          <w:b w:val="0"/>
          <w:color w:val="000000"/>
          <w:sz w:val="28"/>
          <w:lang w:eastAsia="zh-CN"/>
        </w:rPr>
        <w:t>本级单位</w:t>
      </w:r>
      <w:r>
        <w:rPr>
          <w:rFonts w:ascii="Times New Roman" w:hAnsi="Times New Roman" w:eastAsia="方正仿宋_GBK" w:cs="Times New Roman"/>
          <w:b w:val="0"/>
          <w:color w:val="000000"/>
          <w:sz w:val="28"/>
        </w:rPr>
        <w:t>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w:t>
      </w:r>
      <w:r>
        <w:rPr>
          <w:rFonts w:hint="eastAsia" w:eastAsia="方正仿宋_GBK" w:cs="Times New Roman"/>
          <w:b w:val="0"/>
          <w:color w:val="000000"/>
          <w:sz w:val="28"/>
          <w:lang w:eastAsia="zh-CN"/>
        </w:rPr>
        <w:t>单位</w:t>
      </w:r>
      <w:r>
        <w:rPr>
          <w:rFonts w:ascii="Times New Roman" w:hAnsi="Times New Roman" w:eastAsia="方正仿宋_GBK" w:cs="Times New Roman"/>
          <w:b w:val="0"/>
          <w:color w:val="000000"/>
          <w:sz w:val="28"/>
        </w:rPr>
        <w:t>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2"/>
      </w:pPr>
      <w:bookmarkStart w:id="17" w:name="_Toc_3_3_0000000018"/>
      <w:r>
        <w:rPr>
          <w:rFonts w:ascii="黑体" w:hAnsi="黑体" w:eastAsia="黑体" w:cs="黑体"/>
          <w:color w:val="000000"/>
          <w:sz w:val="32"/>
        </w:rPr>
        <w:t>九、其他需要说明的事项</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我</w:t>
      </w:r>
      <w:r>
        <w:rPr>
          <w:rFonts w:hint="eastAsia" w:eastAsia="方正仿宋_GBK" w:cs="Times New Roman"/>
          <w:b w:val="0"/>
          <w:color w:val="000000"/>
          <w:sz w:val="28"/>
          <w:lang w:eastAsia="zh-CN"/>
        </w:rPr>
        <w:t>单位</w:t>
      </w:r>
      <w:r>
        <w:rPr>
          <w:rFonts w:ascii="Times New Roman" w:hAnsi="Times New Roman" w:eastAsia="方正仿宋_GBK" w:cs="Times New Roman"/>
          <w:b w:val="0"/>
          <w:color w:val="000000"/>
          <w:sz w:val="28"/>
        </w:rPr>
        <w:t>无其他需要说明的事项</w:t>
      </w:r>
      <w:r>
        <w:rPr>
          <w:rFonts w:hint="eastAsia" w:eastAsia="方正仿宋_GBK" w:cs="Times New Roman"/>
          <w:b w:val="0"/>
          <w:color w:val="000000"/>
          <w:sz w:val="28"/>
          <w:lang w:eastAsia="zh-CN"/>
        </w:rPr>
        <w:t>。</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Arial Unicode MS"/>
    <w:panose1 w:val="00000000000000000000"/>
    <w:charset w:val="00"/>
    <w:family w:val="auto"/>
    <w:pitch w:val="default"/>
    <w:sig w:usb0="00000000" w:usb1="00000000" w:usb2="00000000" w:usb3="00000000" w:csb0="00000000" w:csb1="00000000"/>
  </w:font>
  <w:font w:name="方正小标宋_GBK">
    <w:altName w:val="Arial Unicode MS"/>
    <w:panose1 w:val="00000000000000000000"/>
    <w:charset w:val="00"/>
    <w:family w:val="auto"/>
    <w:pitch w:val="default"/>
    <w:sig w:usb0="00000000" w:usb1="00000000" w:usb2="00000000" w:usb3="00000000" w:csb0="00000000" w:csb1="00000000"/>
  </w:font>
  <w:font w:name="方正书宋_GBK">
    <w:altName w:val="Arial Unicode MS"/>
    <w:panose1 w:val="00000000000000000000"/>
    <w:charset w:val="00"/>
    <w:family w:val="auto"/>
    <w:pitch w:val="default"/>
    <w:sig w:usb0="00000000" w:usb1="00000000" w:usb2="00000000" w:usb3="00000000" w:csb0="00000000" w:csb1="00000000"/>
  </w:font>
  <w:font w:name="方正楷体_GBK">
    <w:altName w:val="Arial Unicode MS"/>
    <w:panose1 w:val="00000000000000000000"/>
    <w:charset w:val="00"/>
    <w:family w:val="auto"/>
    <w:pitch w:val="default"/>
    <w:sig w:usb0="00000000" w:usb1="00000000" w:usb2="00000000" w:usb3="00000000" w:csb0="00000000" w:csb1="00000000"/>
  </w:font>
  <w:font w:name="仿宋">
    <w:panose1 w:val="02010609060101010101"/>
    <w:charset w:val="86"/>
    <w:family w:val="swiss"/>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24"/>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24"/>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4</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84C11ED"/>
    <w:multiLevelType w:val="singleLevel"/>
    <w:tmpl w:val="D84C11ED"/>
    <w:lvl w:ilvl="0" w:tentative="0">
      <w:start w:val="3"/>
      <w:numFmt w:val="chineseCounting"/>
      <w:suff w:val="nothing"/>
      <w:lvlText w:val="%1、"/>
      <w:lvlJc w:val="left"/>
      <w:rPr>
        <w:rFonts w:hint="eastAsia"/>
      </w:rPr>
    </w:lvl>
  </w:abstractNum>
  <w:abstractNum w:abstractNumId="1">
    <w:nsid w:val="06B02367"/>
    <w:multiLevelType w:val="singleLevel"/>
    <w:tmpl w:val="06B02367"/>
    <w:lvl w:ilvl="0" w:tentative="0">
      <w:start w:val="2"/>
      <w:numFmt w:val="chineseCounting"/>
      <w:suff w:val="space"/>
      <w:lvlText w:val="第%1部分"/>
      <w:lvlJc w:val="left"/>
      <w:rPr>
        <w:rFonts w:hint="eastAsia"/>
      </w:rPr>
    </w:lvl>
  </w:abstractNum>
  <w:abstractNum w:abstractNumId="2">
    <w:nsid w:val="1F8DE1A3"/>
    <w:multiLevelType w:val="singleLevel"/>
    <w:tmpl w:val="1F8DE1A3"/>
    <w:lvl w:ilvl="0" w:tentative="0">
      <w:start w:val="3"/>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DD7B46"/>
    <w:rsid w:val="0D6930A0"/>
    <w:rsid w:val="19991550"/>
    <w:rsid w:val="1F5F4E37"/>
    <w:rsid w:val="2901248D"/>
    <w:rsid w:val="365C7602"/>
    <w:rsid w:val="3EB50851"/>
    <w:rsid w:val="48B15B00"/>
    <w:rsid w:val="557B6795"/>
    <w:rsid w:val="593C084B"/>
    <w:rsid w:val="5D9E21FC"/>
    <w:rsid w:val="69EF5CEF"/>
    <w:rsid w:val="6A8C63AF"/>
    <w:rsid w:val="6C42266D"/>
    <w:rsid w:val="6DB86ED9"/>
    <w:rsid w:val="6FDD2F63"/>
    <w:rsid w:val="7A926D6F"/>
    <w:rsid w:val="7A962D66"/>
    <w:rsid w:val="7AE4489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semiHidden/>
    <w:unhideWhenUsed/>
    <w:qFormat/>
    <w:uiPriority w:val="99"/>
    <w:pPr>
      <w:tabs>
        <w:tab w:val="center" w:pos="4153"/>
        <w:tab w:val="right" w:pos="8306"/>
      </w:tabs>
      <w:snapToGrid w:val="0"/>
      <w:jc w:val="left"/>
    </w:pPr>
    <w:rPr>
      <w:sz w:val="18"/>
    </w:rPr>
  </w:style>
  <w:style w:type="paragraph" w:styleId="4">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6">
    <w:name w:val="toc 4"/>
    <w:basedOn w:val="1"/>
    <w:next w:val="1"/>
    <w:qFormat/>
    <w:uiPriority w:val="0"/>
    <w:pPr>
      <w:ind w:left="720"/>
    </w:pPr>
  </w:style>
  <w:style w:type="paragraph" w:styleId="7">
    <w:name w:val="toc 2"/>
    <w:basedOn w:val="1"/>
    <w:next w:val="1"/>
    <w:qFormat/>
    <w:uiPriority w:val="0"/>
    <w:pPr>
      <w:ind w:left="240"/>
    </w:pPr>
  </w:style>
  <w:style w:type="table" w:styleId="9">
    <w:name w:val="Table Grid"/>
    <w:basedOn w:val="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1">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2">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3">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4">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6">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7">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8">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9">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20">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21">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7">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9">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1">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2">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2" Type="http://schemas.openxmlformats.org/officeDocument/2006/relationships/fontTable" Target="fontTable.xml"/><Relationship Id="rId31" Type="http://schemas.openxmlformats.org/officeDocument/2006/relationships/customXml" Target="../customXml/item23.xml"/><Relationship Id="rId30" Type="http://schemas.openxmlformats.org/officeDocument/2006/relationships/customXml" Target="../customXml/item22.xml"/><Relationship Id="rId3" Type="http://schemas.openxmlformats.org/officeDocument/2006/relationships/footer" Target="footer1.xml"/><Relationship Id="rId29" Type="http://schemas.openxmlformats.org/officeDocument/2006/relationships/customXml" Target="../customXml/item21.xml"/><Relationship Id="rId28" Type="http://schemas.openxmlformats.org/officeDocument/2006/relationships/customXml" Target="../customXml/item20.xml"/><Relationship Id="rId27" Type="http://schemas.openxmlformats.org/officeDocument/2006/relationships/customXml" Target="../customXml/item19.xml"/><Relationship Id="rId26" Type="http://schemas.openxmlformats.org/officeDocument/2006/relationships/customXml" Target="../customXml/item18.xml"/><Relationship Id="rId25" Type="http://schemas.openxmlformats.org/officeDocument/2006/relationships/customXml" Target="../customXml/item17.xml"/><Relationship Id="rId24" Type="http://schemas.openxmlformats.org/officeDocument/2006/relationships/customXml" Target="../customXml/item16.xml"/><Relationship Id="rId23" Type="http://schemas.openxmlformats.org/officeDocument/2006/relationships/customXml" Target="../customXml/item15.xml"/><Relationship Id="rId22" Type="http://schemas.openxmlformats.org/officeDocument/2006/relationships/customXml" Target="../customXml/item14.xml"/><Relationship Id="rId21" Type="http://schemas.openxmlformats.org/officeDocument/2006/relationships/customXml" Target="../customXml/item13.xml"/><Relationship Id="rId20" Type="http://schemas.openxmlformats.org/officeDocument/2006/relationships/customXml" Target="../customXml/item12.xml"/><Relationship Id="rId2" Type="http://schemas.openxmlformats.org/officeDocument/2006/relationships/settings" Target="settings.xml"/><Relationship Id="rId19" Type="http://schemas.openxmlformats.org/officeDocument/2006/relationships/customXml" Target="../customXml/item11.xml"/><Relationship Id="rId18" Type="http://schemas.openxmlformats.org/officeDocument/2006/relationships/customXml" Target="../customXml/item10.xml"/><Relationship Id="rId17" Type="http://schemas.openxmlformats.org/officeDocument/2006/relationships/customXml" Target="../customXml/item9.xml"/><Relationship Id="rId16" Type="http://schemas.openxmlformats.org/officeDocument/2006/relationships/customXml" Target="../customXml/item8.xml"/><Relationship Id="rId15" Type="http://schemas.openxmlformats.org/officeDocument/2006/relationships/customXml" Target="../customXml/item7.xml"/><Relationship Id="rId14" Type="http://schemas.openxmlformats.org/officeDocument/2006/relationships/customXml" Target="../customXml/item6.xml"/><Relationship Id="rId13" Type="http://schemas.openxmlformats.org/officeDocument/2006/relationships/customXml" Target="../customXml/item5.xml"/><Relationship Id="rId12" Type="http://schemas.openxmlformats.org/officeDocument/2006/relationships/customXml" Target="../customXml/item4.xml"/><Relationship Id="rId11" Type="http://schemas.openxmlformats.org/officeDocument/2006/relationships/customXml" Target="../customXml/item3.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2023-02-23T15:45:52Z</dcterms:created>
  <dcterms:modified xsi:type="dcterms:W3CDTF">2023-02-23T07:45:52Z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2023-02-23T15:45:52Z</dcterms:created>
  <dcterms:modified xsi:type="dcterms:W3CDTF">2023-02-23T07:45:52Z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2023-02-23T15:45:51Z</dcterms:created>
  <dcterms:modified xsi:type="dcterms:W3CDTF">2023-02-23T07:45:51Z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2023-02-23T15:45:48Z</dcterms:created>
  <dcterms:modified xsi:type="dcterms:W3CDTF">2023-02-23T07:45:48Z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2023-02-23T15:45:52Z</dcterms:created>
  <dcterms:modified xsi:type="dcterms:W3CDTF">2023-02-23T07:45:52Z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2023-02-23T15:45:53Z</dcterms:created>
  <dcterms:modified xsi:type="dcterms:W3CDTF">2023-02-23T07:45:53Z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2023-02-23T15:45:47Z</dcterms:created>
  <dcterms:modified xsi:type="dcterms:W3CDTF">2023-02-23T07:45:47Z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2023-02-23T15:45:53Z</dcterms:created>
  <dcterms:modified xsi:type="dcterms:W3CDTF">2023-02-23T07:45:53Z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2023-02-23T15:45:53Z</dcterms:created>
  <dcterms:modified xsi:type="dcterms:W3CDTF">2023-02-23T07:45:53Z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2023-02-23T15:45:53Z</dcterms:created>
  <dcterms:modified xsi:type="dcterms:W3CDTF">2023-02-23T07:45:53Z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2023-02-23T15:45:53Z</dcterms:created>
  <dcterms:modified xsi:type="dcterms:W3CDTF">2023-02-23T07:45:53Z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9bd3a5bc-a623-46f4-a810-b5164a62aa2e}">
  <ds:schemaRefs/>
</ds:datastoreItem>
</file>

<file path=customXml/itemProps11.xml><?xml version="1.0" encoding="utf-8"?>
<ds:datastoreItem xmlns:ds="http://schemas.openxmlformats.org/officeDocument/2006/customXml" ds:itemID="{edf04ab1-c464-4431-b19b-81c6f87eef1d}">
  <ds:schemaRefs/>
</ds:datastoreItem>
</file>

<file path=customXml/itemProps12.xml><?xml version="1.0" encoding="utf-8"?>
<ds:datastoreItem xmlns:ds="http://schemas.openxmlformats.org/officeDocument/2006/customXml" ds:itemID="{ca35c8b1-8776-4eb3-a36e-90c38ebcaebc}">
  <ds:schemaRefs/>
</ds:datastoreItem>
</file>

<file path=customXml/itemProps13.xml><?xml version="1.0" encoding="utf-8"?>
<ds:datastoreItem xmlns:ds="http://schemas.openxmlformats.org/officeDocument/2006/customXml" ds:itemID="{2efcf0b9-8de6-4def-902a-22284299ab59}">
  <ds:schemaRefs/>
</ds:datastoreItem>
</file>

<file path=customXml/itemProps14.xml><?xml version="1.0" encoding="utf-8"?>
<ds:datastoreItem xmlns:ds="http://schemas.openxmlformats.org/officeDocument/2006/customXml" ds:itemID="{bfce4466-3d85-430a-9ed0-aab7abaf07b7}">
  <ds:schemaRefs/>
</ds:datastoreItem>
</file>

<file path=customXml/itemProps15.xml><?xml version="1.0" encoding="utf-8"?>
<ds:datastoreItem xmlns:ds="http://schemas.openxmlformats.org/officeDocument/2006/customXml" ds:itemID="{97411fc8-c0f5-4c4f-90e5-8c564dacddb3}">
  <ds:schemaRefs/>
</ds:datastoreItem>
</file>

<file path=customXml/itemProps16.xml><?xml version="1.0" encoding="utf-8"?>
<ds:datastoreItem xmlns:ds="http://schemas.openxmlformats.org/officeDocument/2006/customXml" ds:itemID="{44649edb-620b-4f48-8fd8-ec24b0e9978a}">
  <ds:schemaRefs/>
</ds:datastoreItem>
</file>

<file path=customXml/itemProps17.xml><?xml version="1.0" encoding="utf-8"?>
<ds:datastoreItem xmlns:ds="http://schemas.openxmlformats.org/officeDocument/2006/customXml" ds:itemID="{cbe1f4aa-8f98-4782-a0fc-237a0613ca79}">
  <ds:schemaRefs/>
</ds:datastoreItem>
</file>

<file path=customXml/itemProps18.xml><?xml version="1.0" encoding="utf-8"?>
<ds:datastoreItem xmlns:ds="http://schemas.openxmlformats.org/officeDocument/2006/customXml" ds:itemID="{4c5e44ea-b550-4602-9f15-01a82730553c}">
  <ds:schemaRefs/>
</ds:datastoreItem>
</file>

<file path=customXml/itemProps19.xml><?xml version="1.0" encoding="utf-8"?>
<ds:datastoreItem xmlns:ds="http://schemas.openxmlformats.org/officeDocument/2006/customXml" ds:itemID="{f5f2b60a-7418-4642-a25d-99c94ec5ebc2}">
  <ds:schemaRefs/>
</ds:datastoreItem>
</file>

<file path=customXml/itemProps2.xml><?xml version="1.0" encoding="utf-8"?>
<ds:datastoreItem xmlns:ds="http://schemas.openxmlformats.org/officeDocument/2006/customXml" ds:itemID="{90e98968-cedd-4107-bfd3-48e107ebafcc}">
  <ds:schemaRefs/>
</ds:datastoreItem>
</file>

<file path=customXml/itemProps20.xml><?xml version="1.0" encoding="utf-8"?>
<ds:datastoreItem xmlns:ds="http://schemas.openxmlformats.org/officeDocument/2006/customXml" ds:itemID="{d3ec8322-6fb9-44ac-bc9d-4bb48bfe4a32}">
  <ds:schemaRefs/>
</ds:datastoreItem>
</file>

<file path=customXml/itemProps21.xml><?xml version="1.0" encoding="utf-8"?>
<ds:datastoreItem xmlns:ds="http://schemas.openxmlformats.org/officeDocument/2006/customXml" ds:itemID="{4aa7d1da-2c1b-4ca2-a3ee-0cadaf85ec4b}">
  <ds:schemaRefs/>
</ds:datastoreItem>
</file>

<file path=customXml/itemProps22.xml><?xml version="1.0" encoding="utf-8"?>
<ds:datastoreItem xmlns:ds="http://schemas.openxmlformats.org/officeDocument/2006/customXml" ds:itemID="{410fc4a0-7f8e-4b78-953c-ee2b58cd8d01}">
  <ds:schemaRefs/>
</ds:datastoreItem>
</file>

<file path=customXml/itemProps23.xml><?xml version="1.0" encoding="utf-8"?>
<ds:datastoreItem xmlns:ds="http://schemas.openxmlformats.org/officeDocument/2006/customXml" ds:itemID="{591c0f7f-d214-4881-914a-9c859014249c}">
  <ds:schemaRefs/>
</ds:datastoreItem>
</file>

<file path=customXml/itemProps3.xml><?xml version="1.0" encoding="utf-8"?>
<ds:datastoreItem xmlns:ds="http://schemas.openxmlformats.org/officeDocument/2006/customXml" ds:itemID="{d63ae2f0-5c6e-4268-a1c5-15b61375b7d1}">
  <ds:schemaRefs/>
</ds:datastoreItem>
</file>

<file path=customXml/itemProps4.xml><?xml version="1.0" encoding="utf-8"?>
<ds:datastoreItem xmlns:ds="http://schemas.openxmlformats.org/officeDocument/2006/customXml" ds:itemID="{639a508f-faca-4261-b7a8-63c083533b30}">
  <ds:schemaRefs/>
</ds:datastoreItem>
</file>

<file path=customXml/itemProps5.xml><?xml version="1.0" encoding="utf-8"?>
<ds:datastoreItem xmlns:ds="http://schemas.openxmlformats.org/officeDocument/2006/customXml" ds:itemID="{242f9de4-2b08-416c-8f77-69c75f68521d}">
  <ds:schemaRefs/>
</ds:datastoreItem>
</file>

<file path=customXml/itemProps6.xml><?xml version="1.0" encoding="utf-8"?>
<ds:datastoreItem xmlns:ds="http://schemas.openxmlformats.org/officeDocument/2006/customXml" ds:itemID="{27ddac50-b0c2-411b-838d-f30db7b4c296}">
  <ds:schemaRefs/>
</ds:datastoreItem>
</file>

<file path=customXml/itemProps7.xml><?xml version="1.0" encoding="utf-8"?>
<ds:datastoreItem xmlns:ds="http://schemas.openxmlformats.org/officeDocument/2006/customXml" ds:itemID="{7a46dbdf-81b4-42c8-abb6-f399031406e2}">
  <ds:schemaRefs/>
</ds:datastoreItem>
</file>

<file path=customXml/itemProps8.xml><?xml version="1.0" encoding="utf-8"?>
<ds:datastoreItem xmlns:ds="http://schemas.openxmlformats.org/officeDocument/2006/customXml" ds:itemID="{663dc76e-6e05-4576-9c11-6a71c30827c6}">
  <ds:schemaRefs/>
</ds:datastoreItem>
</file>

<file path=customXml/itemProps9.xml><?xml version="1.0" encoding="utf-8"?>
<ds:datastoreItem xmlns:ds="http://schemas.openxmlformats.org/officeDocument/2006/customXml" ds:itemID="{99e047e6-741d-4130-bf69-d20d2d6356c9}">
  <ds:schemaRefs/>
</ds:datastoreItem>
</file>

<file path=docProps/app.xml><?xml version="1.0" encoding="utf-8"?>
<Properties xmlns="http://schemas.openxmlformats.org/officeDocument/2006/extended-properties" xmlns:vt="http://schemas.openxmlformats.org/officeDocument/2006/docPropsVTypes">
  <TotalTime>4</TotalTime>
  <ScaleCrop>false</ScaleCrop>
  <LinksUpToDate>false</LinksUpToDate>
  <Application>WPS Office_11.8.2.8875_F1E327BC-269C-435d-A152-05C5408002CA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2023-02-23T15:45:00Z</dcterms:created>
  <dc:creator>lx</dc:creator>
  <cp:lastModifiedBy>hp</cp:lastModifiedBy>
  <dcterms:modified xsi:type="dcterms:W3CDTF">2025-07-18T09:18:30Z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y fmtid="{D5CDD505-2E9C-101B-9397-08002B2CF9AE}" pid="3" name="ICV">
    <vt:lpwstr>AF180E10D7B84F8B932D0D3B63E8BCD4</vt:lpwstr>
  </property>
</Properties>
</file>