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B27B9">
      <w:pPr>
        <w:spacing w:line="600" w:lineRule="exact"/>
        <w:jc w:val="center"/>
        <w:rPr>
          <w:rFonts w:hint="eastAsia" w:ascii="方正小标宋简体" w:hAnsi="方正小标宋简体" w:eastAsia="方正小标宋简体"/>
          <w:sz w:val="36"/>
        </w:rPr>
      </w:pPr>
      <w:bookmarkStart w:id="0" w:name="_GoBack"/>
      <w:bookmarkEnd w:id="0"/>
      <w:r>
        <w:rPr>
          <w:rFonts w:hint="eastAsia" w:ascii="方正小标宋简体" w:hAnsi="方正小标宋简体" w:eastAsia="方正小标宋简体"/>
          <w:sz w:val="36"/>
          <w:lang w:val="en-US" w:eastAsia="zh-CN"/>
        </w:rPr>
        <w:t>退役军人事务局</w:t>
      </w:r>
      <w:r>
        <w:rPr>
          <w:rFonts w:hint="eastAsia" w:ascii="方正小标宋简体" w:hAnsi="方正小标宋简体" w:eastAsia="方正小标宋简体"/>
          <w:sz w:val="36"/>
        </w:rPr>
        <w:t>部门权责清单事项分表</w:t>
      </w:r>
    </w:p>
    <w:p w14:paraId="3C2FD054">
      <w:pPr>
        <w:spacing w:line="600" w:lineRule="exact"/>
        <w:jc w:val="center"/>
        <w:rPr>
          <w:rFonts w:hint="eastAsia" w:ascii="楷体_GB2312" w:hAnsi="楷体_GB2312" w:eastAsia="楷体_GB2312"/>
          <w:sz w:val="36"/>
        </w:rPr>
      </w:pPr>
      <w:r>
        <w:rPr>
          <w:rFonts w:hint="eastAsia" w:ascii="楷体_GB2312" w:hAnsi="楷体_GB2312" w:eastAsia="楷体_GB2312"/>
        </w:rPr>
        <w:t>（共</w:t>
      </w:r>
      <w:r>
        <w:rPr>
          <w:rFonts w:hint="eastAsia" w:ascii="楷体_GB2312" w:hAnsi="楷体_GB2312" w:eastAsia="楷体_GB2312"/>
          <w:lang w:val="en-US" w:eastAsia="zh-CN"/>
        </w:rPr>
        <w:t>2</w:t>
      </w:r>
      <w:r>
        <w:rPr>
          <w:rFonts w:hint="eastAsia" w:ascii="楷体_GB2312" w:hAnsi="楷体_GB2312" w:eastAsia="楷体_GB2312"/>
        </w:rPr>
        <w:t>类、</w:t>
      </w:r>
      <w:r>
        <w:rPr>
          <w:rFonts w:hint="eastAsia" w:ascii="楷体_GB2312" w:hAnsi="楷体_GB2312" w:eastAsia="楷体_GB2312"/>
          <w:lang w:val="en-US" w:eastAsia="zh-CN"/>
        </w:rPr>
        <w:t>5</w:t>
      </w:r>
      <w:r>
        <w:rPr>
          <w:rFonts w:hint="eastAsia" w:ascii="楷体_GB2312" w:hAnsi="楷体_GB2312" w:eastAsia="楷体_GB2312"/>
        </w:rPr>
        <w:t>项）</w:t>
      </w:r>
    </w:p>
    <w:p w14:paraId="68449964">
      <w:pPr>
        <w:spacing w:line="600" w:lineRule="exact"/>
        <w:rPr>
          <w:rFonts w:hint="eastAsia" w:ascii="方正小标宋简体" w:hAnsi="方正小标宋简体" w:eastAsia="方正小标宋简体"/>
          <w:sz w:val="36"/>
        </w:rPr>
      </w:pPr>
      <w:r>
        <w:rPr>
          <w:rFonts w:hint="eastAsia" w:ascii="楷体_GB2312" w:hAnsi="楷体_GB2312" w:eastAsia="楷体_GB2312"/>
          <w:sz w:val="28"/>
        </w:rPr>
        <w:t>单位：</w:t>
      </w:r>
      <w:r>
        <w:rPr>
          <w:rFonts w:hint="eastAsia" w:ascii="楷体_GB2312" w:hAnsi="楷体_GB2312" w:eastAsia="楷体_GB2312"/>
          <w:sz w:val="28"/>
          <w:lang w:val="en-US" w:eastAsia="zh-CN"/>
        </w:rPr>
        <w:t>唐山市开平区退役军人事务局</w:t>
      </w:r>
    </w:p>
    <w:tbl>
      <w:tblPr>
        <w:tblStyle w:val="2"/>
        <w:tblpPr w:leftFromText="180" w:rightFromText="180" w:vertAnchor="text" w:horzAnchor="page" w:tblpX="1586" w:tblpY="583"/>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2299"/>
        <w:gridCol w:w="2940"/>
        <w:gridCol w:w="2807"/>
        <w:gridCol w:w="1375"/>
      </w:tblGrid>
      <w:tr w14:paraId="3E8B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14:paraId="1BE00C1B">
            <w:pPr>
              <w:spacing w:line="400" w:lineRule="exact"/>
              <w:jc w:val="center"/>
              <w:rPr>
                <w:rFonts w:hint="eastAsia" w:ascii="黑体" w:hAnsi="黑体" w:eastAsia="黑体"/>
                <w:sz w:val="24"/>
              </w:rPr>
            </w:pPr>
            <w:r>
              <w:rPr>
                <w:rFonts w:hint="eastAsia" w:ascii="黑体" w:hAnsi="黑体" w:eastAsia="黑体"/>
                <w:sz w:val="24"/>
              </w:rPr>
              <w:t>序号</w:t>
            </w:r>
          </w:p>
        </w:tc>
        <w:tc>
          <w:tcPr>
            <w:tcW w:w="1247" w:type="dxa"/>
            <w:noWrap w:val="0"/>
            <w:vAlign w:val="center"/>
          </w:tcPr>
          <w:p w14:paraId="227508B9">
            <w:pPr>
              <w:spacing w:line="400" w:lineRule="exact"/>
              <w:jc w:val="center"/>
              <w:rPr>
                <w:rFonts w:hint="eastAsia" w:ascii="黑体" w:hAnsi="黑体" w:eastAsia="黑体"/>
                <w:sz w:val="24"/>
              </w:rPr>
            </w:pPr>
            <w:r>
              <w:rPr>
                <w:rFonts w:hint="eastAsia" w:ascii="黑体" w:hAnsi="黑体" w:eastAsia="黑体"/>
                <w:sz w:val="24"/>
              </w:rPr>
              <w:t>权力类型</w:t>
            </w:r>
          </w:p>
        </w:tc>
        <w:tc>
          <w:tcPr>
            <w:tcW w:w="1247" w:type="dxa"/>
            <w:noWrap w:val="0"/>
            <w:vAlign w:val="center"/>
          </w:tcPr>
          <w:p w14:paraId="6277CCF0">
            <w:pPr>
              <w:spacing w:line="400" w:lineRule="exact"/>
              <w:jc w:val="center"/>
              <w:rPr>
                <w:rFonts w:hint="eastAsia" w:ascii="黑体" w:hAnsi="黑体" w:eastAsia="黑体"/>
                <w:sz w:val="24"/>
              </w:rPr>
            </w:pPr>
            <w:r>
              <w:rPr>
                <w:rFonts w:hint="eastAsia" w:ascii="黑体" w:hAnsi="黑体" w:eastAsia="黑体"/>
                <w:sz w:val="24"/>
              </w:rPr>
              <w:t>权力事项</w:t>
            </w:r>
          </w:p>
        </w:tc>
        <w:tc>
          <w:tcPr>
            <w:tcW w:w="1247" w:type="dxa"/>
            <w:noWrap w:val="0"/>
            <w:vAlign w:val="center"/>
          </w:tcPr>
          <w:p w14:paraId="6FAA6FB1">
            <w:pPr>
              <w:spacing w:line="400" w:lineRule="exact"/>
              <w:jc w:val="center"/>
              <w:rPr>
                <w:rFonts w:hint="eastAsia" w:ascii="黑体" w:hAnsi="黑体" w:eastAsia="黑体"/>
                <w:sz w:val="24"/>
              </w:rPr>
            </w:pPr>
            <w:r>
              <w:rPr>
                <w:rFonts w:hint="eastAsia" w:ascii="黑体" w:hAnsi="黑体" w:eastAsia="黑体"/>
                <w:sz w:val="24"/>
              </w:rPr>
              <w:t>行政主体</w:t>
            </w:r>
          </w:p>
        </w:tc>
        <w:tc>
          <w:tcPr>
            <w:tcW w:w="2299" w:type="dxa"/>
            <w:noWrap w:val="0"/>
            <w:vAlign w:val="center"/>
          </w:tcPr>
          <w:p w14:paraId="1DA3639A">
            <w:pPr>
              <w:spacing w:line="400" w:lineRule="exact"/>
              <w:jc w:val="center"/>
              <w:rPr>
                <w:rFonts w:hint="eastAsia" w:ascii="黑体" w:hAnsi="黑体" w:eastAsia="黑体"/>
                <w:sz w:val="24"/>
              </w:rPr>
            </w:pPr>
            <w:r>
              <w:rPr>
                <w:rFonts w:hint="eastAsia" w:ascii="黑体" w:hAnsi="黑体" w:eastAsia="黑体"/>
                <w:sz w:val="24"/>
              </w:rPr>
              <w:t>实施依据</w:t>
            </w:r>
          </w:p>
        </w:tc>
        <w:tc>
          <w:tcPr>
            <w:tcW w:w="2940" w:type="dxa"/>
            <w:noWrap w:val="0"/>
            <w:vAlign w:val="center"/>
          </w:tcPr>
          <w:p w14:paraId="1D5F33C6">
            <w:pPr>
              <w:spacing w:line="400" w:lineRule="exact"/>
              <w:jc w:val="center"/>
              <w:rPr>
                <w:rFonts w:hint="eastAsia" w:ascii="黑体" w:hAnsi="黑体" w:eastAsia="黑体"/>
                <w:sz w:val="24"/>
              </w:rPr>
            </w:pPr>
            <w:r>
              <w:rPr>
                <w:rFonts w:hint="eastAsia" w:ascii="黑体" w:hAnsi="黑体" w:eastAsia="黑体"/>
                <w:sz w:val="24"/>
              </w:rPr>
              <w:t>责任事项</w:t>
            </w:r>
          </w:p>
        </w:tc>
        <w:tc>
          <w:tcPr>
            <w:tcW w:w="2807" w:type="dxa"/>
            <w:noWrap w:val="0"/>
            <w:vAlign w:val="center"/>
          </w:tcPr>
          <w:p w14:paraId="1ED972BD">
            <w:pPr>
              <w:spacing w:line="400" w:lineRule="exact"/>
              <w:jc w:val="center"/>
              <w:rPr>
                <w:rFonts w:hint="eastAsia" w:ascii="黑体" w:hAnsi="黑体" w:eastAsia="黑体"/>
                <w:sz w:val="24"/>
              </w:rPr>
            </w:pPr>
            <w:r>
              <w:rPr>
                <w:rFonts w:hint="eastAsia" w:ascii="黑体" w:hAnsi="黑体" w:eastAsia="黑体"/>
                <w:sz w:val="24"/>
              </w:rPr>
              <w:t>追责情形</w:t>
            </w:r>
          </w:p>
        </w:tc>
        <w:tc>
          <w:tcPr>
            <w:tcW w:w="1375" w:type="dxa"/>
            <w:noWrap w:val="0"/>
            <w:vAlign w:val="center"/>
          </w:tcPr>
          <w:p w14:paraId="39A10EE2">
            <w:pPr>
              <w:spacing w:line="400" w:lineRule="exact"/>
              <w:jc w:val="center"/>
              <w:rPr>
                <w:rFonts w:hint="eastAsia" w:ascii="黑体" w:hAnsi="黑体" w:eastAsia="黑体"/>
                <w:sz w:val="24"/>
              </w:rPr>
            </w:pPr>
            <w:r>
              <w:rPr>
                <w:rFonts w:hint="eastAsia" w:ascii="黑体" w:hAnsi="黑体" w:eastAsia="黑体"/>
                <w:sz w:val="24"/>
              </w:rPr>
              <w:t>备注</w:t>
            </w:r>
          </w:p>
        </w:tc>
      </w:tr>
      <w:tr w14:paraId="19DE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trPr>
        <w:tc>
          <w:tcPr>
            <w:tcW w:w="690" w:type="dxa"/>
            <w:noWrap w:val="0"/>
            <w:vAlign w:val="center"/>
          </w:tcPr>
          <w:p w14:paraId="515F103C">
            <w:pPr>
              <w:tabs>
                <w:tab w:val="left" w:pos="7937"/>
              </w:tabs>
              <w:spacing w:line="2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247" w:type="dxa"/>
            <w:noWrap w:val="0"/>
            <w:vAlign w:val="center"/>
          </w:tcPr>
          <w:p w14:paraId="30AADCCE">
            <w:pPr>
              <w:tabs>
                <w:tab w:val="left" w:pos="7937"/>
              </w:tabs>
              <w:spacing w:line="2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行政给付</w:t>
            </w:r>
          </w:p>
        </w:tc>
        <w:tc>
          <w:tcPr>
            <w:tcW w:w="1247" w:type="dxa"/>
            <w:noWrap w:val="0"/>
            <w:vAlign w:val="center"/>
          </w:tcPr>
          <w:p w14:paraId="44230E73">
            <w:pPr>
              <w:tabs>
                <w:tab w:val="left" w:pos="7937"/>
              </w:tabs>
              <w:spacing w:line="2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优抚对象抚恤补助</w:t>
            </w:r>
            <w:r>
              <w:rPr>
                <w:rFonts w:hint="eastAsia" w:ascii="仿宋_GB2312" w:hAnsi="仿宋_GB2312" w:cs="仿宋_GB2312"/>
                <w:sz w:val="21"/>
                <w:szCs w:val="21"/>
                <w:lang w:val="en-US" w:eastAsia="zh-CN"/>
              </w:rPr>
              <w:t>发放</w:t>
            </w:r>
          </w:p>
        </w:tc>
        <w:tc>
          <w:tcPr>
            <w:tcW w:w="1247" w:type="dxa"/>
            <w:noWrap w:val="0"/>
            <w:vAlign w:val="center"/>
          </w:tcPr>
          <w:p w14:paraId="3115CFFC">
            <w:pPr>
              <w:tabs>
                <w:tab w:val="left" w:pos="7937"/>
              </w:tabs>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开平区退役军人事务局</w:t>
            </w:r>
          </w:p>
        </w:tc>
        <w:tc>
          <w:tcPr>
            <w:tcW w:w="2299" w:type="dxa"/>
            <w:noWrap w:val="0"/>
            <w:vAlign w:val="center"/>
          </w:tcPr>
          <w:p w14:paraId="79859D14">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《军人抚恤优待条例》（2004年8月1日国务院、中央军委第413号令，2011年7月29日修改）第</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条：“</w:t>
            </w:r>
            <w:r>
              <w:rPr>
                <w:rFonts w:hint="eastAsia" w:ascii="仿宋_GB2312" w:hAnsi="仿宋_GB2312" w:eastAsia="仿宋_GB2312" w:cs="仿宋_GB2312"/>
                <w:sz w:val="21"/>
                <w:szCs w:val="21"/>
                <w:lang w:val="en-US" w:eastAsia="zh-CN"/>
              </w:rPr>
              <w:t>中国人民解放军现役军人、服现役或者退出现役的残疾军人以及复员军人、退伍军人、烈士遗属、因公牺牲军人遗属、病故军人遗属、现役军人家属，是规定的抚恤优待对象，享受抚恤优待</w:t>
            </w:r>
            <w:r>
              <w:rPr>
                <w:rFonts w:hint="eastAsia" w:ascii="仿宋_GB2312" w:hAnsi="仿宋_GB2312" w:eastAsia="仿宋_GB2312" w:cs="仿宋_GB2312"/>
                <w:sz w:val="21"/>
                <w:szCs w:val="21"/>
              </w:rPr>
              <w:t>”。</w:t>
            </w:r>
          </w:p>
        </w:tc>
        <w:tc>
          <w:tcPr>
            <w:tcW w:w="2940" w:type="dxa"/>
            <w:noWrap w:val="0"/>
            <w:vAlign w:val="center"/>
          </w:tcPr>
          <w:p w14:paraId="1E9C4F56">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1、受理责任：依法受理或不予受理，并一次性告之不予受理理由或需补充提供的相关材料目录。</w:t>
            </w:r>
          </w:p>
          <w:p w14:paraId="03EB2F53">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2、审查责任。审查</w:t>
            </w:r>
            <w:r>
              <w:rPr>
                <w:rFonts w:hint="eastAsia" w:ascii="仿宋_GB2312" w:hAnsi="仿宋_GB2312" w:eastAsia="仿宋_GB2312" w:cs="仿宋_GB2312"/>
                <w:sz w:val="21"/>
                <w:szCs w:val="21"/>
                <w:lang w:val="en-US" w:eastAsia="zh-CN"/>
              </w:rPr>
              <w:t>人员身份信息</w:t>
            </w:r>
            <w:r>
              <w:rPr>
                <w:rFonts w:hint="eastAsia" w:ascii="仿宋_GB2312" w:hAnsi="仿宋_GB2312" w:eastAsia="仿宋_GB2312" w:cs="仿宋_GB2312"/>
                <w:sz w:val="21"/>
                <w:szCs w:val="21"/>
              </w:rPr>
              <w:t>，核对信息及以往办理记录。</w:t>
            </w:r>
          </w:p>
          <w:p w14:paraId="1C88F773">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3、决定责任：对符合条件的，告之</w:t>
            </w:r>
            <w:r>
              <w:rPr>
                <w:rFonts w:hint="eastAsia" w:ascii="仿宋_GB2312" w:hAnsi="仿宋_GB2312" w:eastAsia="仿宋_GB2312" w:cs="仿宋_GB2312"/>
                <w:sz w:val="21"/>
                <w:szCs w:val="21"/>
                <w:lang w:val="en-US" w:eastAsia="zh-CN"/>
              </w:rPr>
              <w:t>户口辖区办理</w:t>
            </w:r>
            <w:r>
              <w:rPr>
                <w:rFonts w:hint="eastAsia" w:ascii="仿宋_GB2312" w:hAnsi="仿宋_GB2312" w:eastAsia="仿宋_GB2312" w:cs="仿宋_GB2312"/>
                <w:sz w:val="21"/>
                <w:szCs w:val="21"/>
              </w:rPr>
              <w:t>后续事宜。对不符合条件的，解释原因。</w:t>
            </w:r>
          </w:p>
          <w:p w14:paraId="57963526">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4、事后监管责任：登记并留存</w:t>
            </w:r>
            <w:r>
              <w:rPr>
                <w:rFonts w:hint="eastAsia" w:ascii="仿宋_GB2312" w:hAnsi="仿宋_GB2312" w:eastAsia="仿宋_GB2312" w:cs="仿宋_GB2312"/>
                <w:sz w:val="21"/>
                <w:szCs w:val="21"/>
                <w:lang w:val="en-US" w:eastAsia="zh-CN"/>
              </w:rPr>
              <w:t>上报材料</w:t>
            </w:r>
            <w:r>
              <w:rPr>
                <w:rFonts w:hint="eastAsia" w:ascii="仿宋_GB2312" w:hAnsi="仿宋_GB2312" w:eastAsia="仿宋_GB2312" w:cs="仿宋_GB2312"/>
                <w:sz w:val="21"/>
                <w:szCs w:val="21"/>
              </w:rPr>
              <w:t>。</w:t>
            </w:r>
          </w:p>
          <w:p w14:paraId="03355C14">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5、其他法律法规规章文件规定应履行的责任。</w:t>
            </w:r>
          </w:p>
        </w:tc>
        <w:tc>
          <w:tcPr>
            <w:tcW w:w="2807" w:type="dxa"/>
            <w:noWrap w:val="0"/>
            <w:vAlign w:val="center"/>
          </w:tcPr>
          <w:p w14:paraId="762C3C5C">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因不履行或不正确履行行政职责，有下列情形的，行政机关及相关工作人员应承担相应责任：</w:t>
            </w:r>
          </w:p>
          <w:p w14:paraId="745F56BC">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1、对符合条件不予受理的；</w:t>
            </w:r>
          </w:p>
          <w:p w14:paraId="4A7AC5F3">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2、违反规定批准的；</w:t>
            </w:r>
          </w:p>
          <w:p w14:paraId="6E672840">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3、未按照规定</w:t>
            </w:r>
            <w:r>
              <w:rPr>
                <w:rFonts w:hint="eastAsia" w:ascii="仿宋_GB2312" w:hAnsi="仿宋_GB2312" w:eastAsia="仿宋_GB2312" w:cs="仿宋_GB2312"/>
                <w:sz w:val="21"/>
                <w:szCs w:val="21"/>
                <w:lang w:val="en-US" w:eastAsia="zh-CN"/>
              </w:rPr>
              <w:t>时间申请所需资金的</w:t>
            </w:r>
            <w:r>
              <w:rPr>
                <w:rFonts w:hint="eastAsia" w:ascii="仿宋_GB2312" w:hAnsi="仿宋_GB2312" w:eastAsia="仿宋_GB2312" w:cs="仿宋_GB2312"/>
                <w:sz w:val="21"/>
                <w:szCs w:val="21"/>
              </w:rPr>
              <w:t>；</w:t>
            </w:r>
          </w:p>
          <w:p w14:paraId="3AC0C34B">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r>
              <w:rPr>
                <w:rFonts w:hint="eastAsia" w:ascii="仿宋_GB2312" w:hAnsi="仿宋_GB2312" w:eastAsia="仿宋_GB2312" w:cs="仿宋_GB2312"/>
                <w:sz w:val="21"/>
                <w:szCs w:val="21"/>
                <w:lang w:val="en-US" w:eastAsia="zh-CN"/>
              </w:rPr>
              <w:t>资金不到位，造成不能按办理时限下发的</w:t>
            </w:r>
            <w:r>
              <w:rPr>
                <w:rFonts w:hint="eastAsia" w:ascii="仿宋_GB2312" w:hAnsi="仿宋_GB2312" w:eastAsia="仿宋_GB2312" w:cs="仿宋_GB2312"/>
                <w:sz w:val="21"/>
                <w:szCs w:val="21"/>
              </w:rPr>
              <w:t>；</w:t>
            </w:r>
          </w:p>
          <w:p w14:paraId="0040914F">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5、其他违反法律法规规章文件规定的行为。</w:t>
            </w:r>
          </w:p>
        </w:tc>
        <w:tc>
          <w:tcPr>
            <w:tcW w:w="1375" w:type="dxa"/>
            <w:noWrap w:val="0"/>
            <w:vAlign w:val="center"/>
          </w:tcPr>
          <w:p w14:paraId="3A76D303">
            <w:pPr>
              <w:spacing w:line="400" w:lineRule="exact"/>
              <w:jc w:val="center"/>
              <w:rPr>
                <w:rFonts w:hint="eastAsia" w:ascii="宋体" w:hAnsi="宋体" w:eastAsia="宋体"/>
                <w:sz w:val="18"/>
              </w:rPr>
            </w:pPr>
          </w:p>
        </w:tc>
      </w:tr>
      <w:tr w14:paraId="0B73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14:paraId="2D714C42">
            <w:pPr>
              <w:tabs>
                <w:tab w:val="left" w:pos="7937"/>
              </w:tabs>
              <w:spacing w:line="26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p>
        </w:tc>
        <w:tc>
          <w:tcPr>
            <w:tcW w:w="1247" w:type="dxa"/>
            <w:noWrap w:val="0"/>
            <w:vAlign w:val="center"/>
          </w:tcPr>
          <w:p w14:paraId="5E377F67">
            <w:pPr>
              <w:tabs>
                <w:tab w:val="left" w:pos="7937"/>
              </w:tabs>
              <w:spacing w:line="2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行政给付</w:t>
            </w:r>
          </w:p>
        </w:tc>
        <w:tc>
          <w:tcPr>
            <w:tcW w:w="1247" w:type="dxa"/>
            <w:noWrap w:val="0"/>
            <w:vAlign w:val="center"/>
          </w:tcPr>
          <w:p w14:paraId="6BC0EF42">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义务兵家庭优待金发放</w:t>
            </w:r>
          </w:p>
        </w:tc>
        <w:tc>
          <w:tcPr>
            <w:tcW w:w="1247" w:type="dxa"/>
            <w:noWrap w:val="0"/>
            <w:vAlign w:val="center"/>
          </w:tcPr>
          <w:p w14:paraId="035C2BEC">
            <w:pPr>
              <w:tabs>
                <w:tab w:val="left" w:pos="7937"/>
              </w:tabs>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cs="仿宋_GB2312"/>
                <w:sz w:val="21"/>
                <w:szCs w:val="21"/>
                <w:lang w:val="en-US" w:eastAsia="zh-CN"/>
              </w:rPr>
              <w:t>开平区退役军人事务局</w:t>
            </w:r>
          </w:p>
        </w:tc>
        <w:tc>
          <w:tcPr>
            <w:tcW w:w="2299" w:type="dxa"/>
            <w:noWrap w:val="0"/>
            <w:vAlign w:val="center"/>
          </w:tcPr>
          <w:p w14:paraId="46BAE00E">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《军人抚恤优待条例》（2004年8月1日国务院、中央军委第413号令，2011年7月29日修改）第</w:t>
            </w:r>
            <w:r>
              <w:rPr>
                <w:rFonts w:hint="eastAsia" w:ascii="仿宋_GB2312" w:hAnsi="仿宋_GB2312" w:eastAsia="仿宋_GB2312" w:cs="仿宋_GB2312"/>
                <w:sz w:val="21"/>
                <w:szCs w:val="21"/>
                <w:lang w:val="en-US" w:eastAsia="zh-CN"/>
              </w:rPr>
              <w:t>33</w:t>
            </w:r>
            <w:r>
              <w:rPr>
                <w:rFonts w:hint="eastAsia" w:ascii="仿宋_GB2312" w:hAnsi="仿宋_GB2312" w:eastAsia="仿宋_GB2312" w:cs="仿宋_GB2312"/>
                <w:sz w:val="21"/>
                <w:szCs w:val="21"/>
              </w:rPr>
              <w:t>条：“</w:t>
            </w:r>
            <w:r>
              <w:rPr>
                <w:rFonts w:hint="eastAsia" w:ascii="仿宋_GB2312" w:hAnsi="仿宋_GB2312" w:eastAsia="仿宋_GB2312" w:cs="仿宋_GB2312"/>
                <w:sz w:val="21"/>
                <w:szCs w:val="21"/>
                <w:lang w:val="en-US" w:eastAsia="zh-CN"/>
              </w:rPr>
              <w:t>义务兵服现役期间，其家庭由当地人民政府发给优待金或者给予其他优待，优待标准不低于当地平均生活水平</w:t>
            </w:r>
            <w:r>
              <w:rPr>
                <w:rFonts w:hint="eastAsia" w:ascii="仿宋_GB2312" w:hAnsi="仿宋_GB2312" w:eastAsia="仿宋_GB2312" w:cs="仿宋_GB2312"/>
                <w:sz w:val="21"/>
                <w:szCs w:val="21"/>
              </w:rPr>
              <w:t>”。</w:t>
            </w:r>
          </w:p>
        </w:tc>
        <w:tc>
          <w:tcPr>
            <w:tcW w:w="2940" w:type="dxa"/>
            <w:noWrap w:val="0"/>
            <w:vAlign w:val="center"/>
          </w:tcPr>
          <w:p w14:paraId="34E0BCE1">
            <w:pPr>
              <w:numPr>
                <w:ilvl w:val="0"/>
                <w:numId w:val="1"/>
              </w:numPr>
              <w:tabs>
                <w:tab w:val="left" w:pos="7937"/>
              </w:tabs>
              <w:spacing w:line="26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核对义务兵名单</w:t>
            </w:r>
          </w:p>
          <w:p w14:paraId="55467A7D">
            <w:pPr>
              <w:tabs>
                <w:tab w:val="left" w:pos="7937"/>
              </w:tabs>
              <w:spacing w:line="260" w:lineRule="exact"/>
              <w:rPr>
                <w:rFonts w:hint="eastAsia" w:ascii="仿宋_GB2312" w:hAnsi="仿宋_GB2312" w:eastAsia="仿宋_GB2312" w:cs="仿宋_GB2312"/>
                <w:sz w:val="21"/>
                <w:szCs w:val="21"/>
              </w:rPr>
            </w:pPr>
          </w:p>
        </w:tc>
        <w:tc>
          <w:tcPr>
            <w:tcW w:w="2807" w:type="dxa"/>
            <w:noWrap w:val="0"/>
            <w:vAlign w:val="center"/>
          </w:tcPr>
          <w:p w14:paraId="27675F1E">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因不履行或不正确履行行政职责，有下列情形的，行政机关及相关工作人员应承担相应责任：</w:t>
            </w:r>
          </w:p>
          <w:p w14:paraId="33D5477E">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1、对符合条件不予受理的；</w:t>
            </w:r>
          </w:p>
          <w:p w14:paraId="4C5FCC35">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未按时向政府申请资金</w:t>
            </w:r>
            <w:r>
              <w:rPr>
                <w:rFonts w:hint="eastAsia" w:ascii="仿宋_GB2312" w:hAnsi="仿宋_GB2312" w:eastAsia="仿宋_GB2312" w:cs="仿宋_GB2312"/>
                <w:sz w:val="21"/>
                <w:szCs w:val="21"/>
              </w:rPr>
              <w:t>；</w:t>
            </w:r>
          </w:p>
          <w:p w14:paraId="469F8D73">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3、其他违反法律法规规章文件规定的行为。</w:t>
            </w:r>
          </w:p>
        </w:tc>
        <w:tc>
          <w:tcPr>
            <w:tcW w:w="1375" w:type="dxa"/>
            <w:noWrap w:val="0"/>
            <w:vAlign w:val="center"/>
          </w:tcPr>
          <w:p w14:paraId="06C87A8A">
            <w:pPr>
              <w:spacing w:line="400" w:lineRule="exact"/>
              <w:jc w:val="center"/>
              <w:rPr>
                <w:rFonts w:hint="eastAsia" w:ascii="宋体" w:hAnsi="宋体" w:eastAsia="宋体"/>
                <w:sz w:val="18"/>
              </w:rPr>
            </w:pPr>
          </w:p>
        </w:tc>
      </w:tr>
      <w:tr w14:paraId="1EAD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trPr>
        <w:tc>
          <w:tcPr>
            <w:tcW w:w="690" w:type="dxa"/>
            <w:noWrap w:val="0"/>
            <w:vAlign w:val="center"/>
          </w:tcPr>
          <w:p w14:paraId="647BC24D">
            <w:pPr>
              <w:tabs>
                <w:tab w:val="left" w:pos="7937"/>
              </w:tabs>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3</w:t>
            </w:r>
          </w:p>
        </w:tc>
        <w:tc>
          <w:tcPr>
            <w:tcW w:w="1247" w:type="dxa"/>
            <w:noWrap w:val="0"/>
            <w:vAlign w:val="center"/>
          </w:tcPr>
          <w:p w14:paraId="78310A30">
            <w:pPr>
              <w:tabs>
                <w:tab w:val="left" w:pos="7937"/>
              </w:tabs>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行政给付</w:t>
            </w:r>
          </w:p>
        </w:tc>
        <w:tc>
          <w:tcPr>
            <w:tcW w:w="1247" w:type="dxa"/>
            <w:noWrap w:val="0"/>
            <w:vAlign w:val="center"/>
          </w:tcPr>
          <w:p w14:paraId="45BB0BCE">
            <w:pPr>
              <w:tabs>
                <w:tab w:val="left" w:pos="7937"/>
              </w:tabs>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烈士褒扬金和一次性抚恤金发放</w:t>
            </w:r>
          </w:p>
        </w:tc>
        <w:tc>
          <w:tcPr>
            <w:tcW w:w="1247" w:type="dxa"/>
            <w:noWrap w:val="0"/>
            <w:vAlign w:val="center"/>
          </w:tcPr>
          <w:p w14:paraId="6757B60E">
            <w:pPr>
              <w:tabs>
                <w:tab w:val="left" w:pos="7937"/>
              </w:tabs>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cs="仿宋_GB2312"/>
                <w:sz w:val="21"/>
                <w:szCs w:val="21"/>
                <w:lang w:val="en-US" w:eastAsia="zh-CN"/>
              </w:rPr>
              <w:t>开平区退役军人事务局</w:t>
            </w:r>
          </w:p>
        </w:tc>
        <w:tc>
          <w:tcPr>
            <w:tcW w:w="2299" w:type="dxa"/>
            <w:noWrap w:val="0"/>
            <w:vAlign w:val="center"/>
          </w:tcPr>
          <w:p w14:paraId="3815767F">
            <w:pPr>
              <w:tabs>
                <w:tab w:val="left" w:pos="7937"/>
              </w:tabs>
              <w:spacing w:line="26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《军人抚恤优待条例》（2004年8月1日国务院、中央军委第413号令，2011年7月29日修改）第</w:t>
            </w: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rPr>
              <w:t>条：“</w:t>
            </w:r>
            <w:r>
              <w:rPr>
                <w:rFonts w:hint="eastAsia" w:ascii="仿宋_GB2312" w:hAnsi="仿宋_GB2312" w:eastAsia="仿宋_GB2312" w:cs="仿宋_GB2312"/>
                <w:sz w:val="21"/>
                <w:szCs w:val="21"/>
                <w:lang w:val="en-US" w:eastAsia="zh-CN"/>
              </w:rPr>
              <w:t>现役军人死亡被批准为烈士、被确认为因公牺牲或者病故的，其遗属依照本条例的规定享受抚恤</w:t>
            </w:r>
            <w:r>
              <w:rPr>
                <w:rFonts w:hint="eastAsia" w:ascii="仿宋_GB2312" w:hAnsi="仿宋_GB2312" w:eastAsia="仿宋_GB2312" w:cs="仿宋_GB2312"/>
                <w:sz w:val="21"/>
                <w:szCs w:val="21"/>
              </w:rPr>
              <w:t>”。</w:t>
            </w:r>
          </w:p>
        </w:tc>
        <w:tc>
          <w:tcPr>
            <w:tcW w:w="2940" w:type="dxa"/>
            <w:noWrap w:val="0"/>
            <w:vAlign w:val="center"/>
          </w:tcPr>
          <w:p w14:paraId="0892E853">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依法受理或不予受理，并一次性告之不予受理理由或需补充提供的相关材料目录。</w:t>
            </w:r>
          </w:p>
          <w:p w14:paraId="25E1B056">
            <w:pPr>
              <w:tabs>
                <w:tab w:val="left" w:pos="7937"/>
              </w:tabs>
              <w:spacing w:line="26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2、其他法律法规规章文件规定应履行的责任。</w:t>
            </w:r>
          </w:p>
        </w:tc>
        <w:tc>
          <w:tcPr>
            <w:tcW w:w="2807" w:type="dxa"/>
            <w:noWrap w:val="0"/>
            <w:vAlign w:val="center"/>
          </w:tcPr>
          <w:p w14:paraId="3A8DBE07">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因不履行或不正确履行行政职责，有下列情形的，行政机关及相关工作人员应承担相应责任：</w:t>
            </w:r>
          </w:p>
          <w:p w14:paraId="1A779111">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1、对符合条件不予受理的；</w:t>
            </w:r>
          </w:p>
          <w:p w14:paraId="5B72E7C8">
            <w:pPr>
              <w:tabs>
                <w:tab w:val="left" w:pos="7937"/>
              </w:tabs>
              <w:spacing w:line="26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2、其他违反法律法规规章文件规定的行为。</w:t>
            </w:r>
          </w:p>
        </w:tc>
        <w:tc>
          <w:tcPr>
            <w:tcW w:w="1375" w:type="dxa"/>
            <w:noWrap w:val="0"/>
            <w:vAlign w:val="center"/>
          </w:tcPr>
          <w:p w14:paraId="1272D8F6">
            <w:pPr>
              <w:spacing w:line="400" w:lineRule="exact"/>
              <w:jc w:val="center"/>
              <w:rPr>
                <w:rFonts w:hint="eastAsia" w:ascii="宋体" w:hAnsi="宋体" w:eastAsia="宋体"/>
                <w:kern w:val="2"/>
                <w:sz w:val="18"/>
                <w:szCs w:val="32"/>
                <w:lang w:val="en-US" w:eastAsia="zh-CN" w:bidi="ar-SA"/>
              </w:rPr>
            </w:pPr>
          </w:p>
        </w:tc>
      </w:tr>
      <w:tr w14:paraId="34EE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trPr>
        <w:tc>
          <w:tcPr>
            <w:tcW w:w="690" w:type="dxa"/>
            <w:noWrap w:val="0"/>
            <w:vAlign w:val="center"/>
          </w:tcPr>
          <w:p w14:paraId="1C378467">
            <w:pPr>
              <w:tabs>
                <w:tab w:val="left" w:pos="7937"/>
              </w:tabs>
              <w:spacing w:line="26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247" w:type="dxa"/>
            <w:noWrap w:val="0"/>
            <w:vAlign w:val="center"/>
          </w:tcPr>
          <w:p w14:paraId="040C3A24">
            <w:pPr>
              <w:tabs>
                <w:tab w:val="left" w:pos="7937"/>
              </w:tabs>
              <w:spacing w:line="26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行政给付</w:t>
            </w:r>
          </w:p>
        </w:tc>
        <w:tc>
          <w:tcPr>
            <w:tcW w:w="1247" w:type="dxa"/>
            <w:noWrap w:val="0"/>
            <w:vAlign w:val="center"/>
          </w:tcPr>
          <w:p w14:paraId="026957A1">
            <w:pPr>
              <w:tabs>
                <w:tab w:val="left" w:pos="7937"/>
              </w:tabs>
              <w:spacing w:line="26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自主就业退役士兵一次性经济补助金审批发放</w:t>
            </w:r>
          </w:p>
        </w:tc>
        <w:tc>
          <w:tcPr>
            <w:tcW w:w="1247" w:type="dxa"/>
            <w:noWrap w:val="0"/>
            <w:vAlign w:val="center"/>
          </w:tcPr>
          <w:p w14:paraId="126A05EE">
            <w:pPr>
              <w:tabs>
                <w:tab w:val="left" w:pos="7937"/>
              </w:tabs>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cs="仿宋_GB2312"/>
                <w:sz w:val="21"/>
                <w:szCs w:val="21"/>
                <w:lang w:val="en-US" w:eastAsia="zh-CN"/>
              </w:rPr>
              <w:t>开平区退役军人事务局</w:t>
            </w:r>
          </w:p>
        </w:tc>
        <w:tc>
          <w:tcPr>
            <w:tcW w:w="2299" w:type="dxa"/>
            <w:noWrap w:val="0"/>
            <w:vAlign w:val="center"/>
          </w:tcPr>
          <w:p w14:paraId="45A6A40B">
            <w:pPr>
              <w:tabs>
                <w:tab w:val="left" w:pos="7937"/>
              </w:tabs>
              <w:spacing w:line="26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《唐山市民政局、财政局关于开展自主就业退役士兵一次性经济补助金审批发放工作的通知》（唐民通【2013】47号“）</w:t>
            </w:r>
          </w:p>
        </w:tc>
        <w:tc>
          <w:tcPr>
            <w:tcW w:w="2940" w:type="dxa"/>
            <w:noWrap w:val="0"/>
            <w:vAlign w:val="center"/>
          </w:tcPr>
          <w:p w14:paraId="561547F5">
            <w:pPr>
              <w:numPr>
                <w:ilvl w:val="0"/>
                <w:numId w:val="2"/>
              </w:numPr>
              <w:tabs>
                <w:tab w:val="left" w:pos="7937"/>
              </w:tabs>
              <w:spacing w:line="26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受理责任：依法受理或不予受理，并一次性告之不予受理理由或需补充提供的相关材料目录。                                  2、审查责任。审查退出现役士兵的申请表填写情况。                        3、决定责任：对符合条件的，在审批表上签署办理意见，现场予以告之后续办事事宜。对不符合条件的，解释原因。                  4、事后监管责任：登记并留存审批表复印件。                                        5、其他法律法规规章文件规定应履行的责任。</w:t>
            </w:r>
          </w:p>
        </w:tc>
        <w:tc>
          <w:tcPr>
            <w:tcW w:w="2807" w:type="dxa"/>
            <w:noWrap w:val="0"/>
            <w:vAlign w:val="center"/>
          </w:tcPr>
          <w:p w14:paraId="776A59CA">
            <w:pPr>
              <w:tabs>
                <w:tab w:val="left" w:pos="7937"/>
              </w:tabs>
              <w:spacing w:line="26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因不履行或不正确履行行政职责，有下列情形的，行政机关及相关工作人员应承担相应责任：               1、对符合条件不予受理的；                  2、违反规定批准不符合条件的退役士兵的；                        3、未按照规定的标准办理，或在审批工作中利用职权谋取私利的；                       4、侵犯退出现役士兵申请补助金合法权益的；                              5、其他违反法律法规规章文件规定的行为。</w:t>
            </w:r>
          </w:p>
        </w:tc>
        <w:tc>
          <w:tcPr>
            <w:tcW w:w="1375" w:type="dxa"/>
            <w:noWrap w:val="0"/>
            <w:vAlign w:val="center"/>
          </w:tcPr>
          <w:p w14:paraId="62C49210">
            <w:pPr>
              <w:spacing w:line="400" w:lineRule="exact"/>
              <w:jc w:val="center"/>
              <w:rPr>
                <w:rFonts w:hint="eastAsia" w:ascii="宋体" w:hAnsi="宋体" w:eastAsia="宋体"/>
                <w:sz w:val="18"/>
              </w:rPr>
            </w:pPr>
          </w:p>
        </w:tc>
      </w:tr>
      <w:tr w14:paraId="2DEE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4" w:hRule="atLeast"/>
        </w:trPr>
        <w:tc>
          <w:tcPr>
            <w:tcW w:w="690" w:type="dxa"/>
            <w:noWrap w:val="0"/>
            <w:vAlign w:val="center"/>
          </w:tcPr>
          <w:p w14:paraId="7F494AE7">
            <w:pPr>
              <w:tabs>
                <w:tab w:val="left" w:pos="7937"/>
              </w:tabs>
              <w:spacing w:line="260" w:lineRule="exact"/>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1247" w:type="dxa"/>
            <w:noWrap w:val="0"/>
            <w:vAlign w:val="center"/>
          </w:tcPr>
          <w:p w14:paraId="4A22D168">
            <w:pPr>
              <w:tabs>
                <w:tab w:val="left" w:pos="7937"/>
              </w:tabs>
              <w:spacing w:line="260" w:lineRule="exact"/>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行政处罚</w:t>
            </w:r>
          </w:p>
        </w:tc>
        <w:tc>
          <w:tcPr>
            <w:tcW w:w="1247" w:type="dxa"/>
            <w:noWrap w:val="0"/>
            <w:vAlign w:val="center"/>
          </w:tcPr>
          <w:p w14:paraId="1D959532">
            <w:pPr>
              <w:tabs>
                <w:tab w:val="left" w:pos="7937"/>
              </w:tabs>
              <w:spacing w:line="260" w:lineRule="exact"/>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对拒绝接收安置退役士兵的单位的处罚</w:t>
            </w:r>
          </w:p>
        </w:tc>
        <w:tc>
          <w:tcPr>
            <w:tcW w:w="1247" w:type="dxa"/>
            <w:noWrap w:val="0"/>
            <w:vAlign w:val="center"/>
          </w:tcPr>
          <w:p w14:paraId="029C0D82">
            <w:pPr>
              <w:tabs>
                <w:tab w:val="left" w:pos="7937"/>
              </w:tabs>
              <w:spacing w:line="260" w:lineRule="exact"/>
              <w:jc w:val="center"/>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开平区退役军人事务局</w:t>
            </w:r>
          </w:p>
        </w:tc>
        <w:tc>
          <w:tcPr>
            <w:tcW w:w="2299" w:type="dxa"/>
            <w:noWrap w:val="0"/>
            <w:vAlign w:val="center"/>
          </w:tcPr>
          <w:p w14:paraId="5E6485D7">
            <w:pPr>
              <w:tabs>
                <w:tab w:val="left" w:pos="7937"/>
              </w:tabs>
              <w:spacing w:line="260" w:lineRule="exact"/>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退役军人安置条例》第4条、第36条、第39条等条款明确规定：“国家机关、社会团体、企业事业单位，有接收安置退役士兵的义务”、“承担安排工作退役士兵任务的单位应当按时完成所在地人民政府下达的安排退役士兵工作任务，在退役士兵安置工作主管部门开出介绍信的1个月内安排退役士兵上岗，并于退役时彼国依法签订期限不少于3年的劳动合同或者聘用合同”、“对安排工作的残疾退役士兵，所在单位不得因其残疾与其解除劳动关系或者人事关系”。</w:t>
            </w:r>
          </w:p>
        </w:tc>
        <w:tc>
          <w:tcPr>
            <w:tcW w:w="2940" w:type="dxa"/>
            <w:noWrap w:val="0"/>
            <w:vAlign w:val="center"/>
          </w:tcPr>
          <w:p w14:paraId="22087AF7">
            <w:pPr>
              <w:tabs>
                <w:tab w:val="left" w:pos="7937"/>
              </w:tabs>
              <w:spacing w:line="260" w:lineRule="exact"/>
              <w:rPr>
                <w:rFonts w:hint="eastAsia" w:ascii="仿宋_GB2312" w:hAnsi="仿宋_GB2312" w:cs="仿宋_GB2312"/>
                <w:sz w:val="21"/>
                <w:szCs w:val="21"/>
                <w:lang w:val="en-US" w:eastAsia="zh-CN"/>
              </w:rPr>
            </w:pPr>
            <w:r>
              <w:rPr>
                <w:rFonts w:hint="eastAsia" w:ascii="仿宋_GB2312" w:hAnsi="仿宋_GB2312" w:eastAsia="仿宋_GB2312" w:cs="仿宋_GB2312"/>
                <w:sz w:val="21"/>
                <w:szCs w:val="21"/>
              </w:rPr>
              <w:t>1</w:t>
            </w:r>
            <w:r>
              <w:rPr>
                <w:rFonts w:hint="eastAsia" w:ascii="仿宋_GB2312" w:hAnsi="仿宋_GB2312" w:cs="仿宋_GB2312"/>
                <w:sz w:val="21"/>
                <w:szCs w:val="21"/>
                <w:lang w:val="en-US" w:eastAsia="zh-CN"/>
              </w:rPr>
              <w:t>.立案责任：发现接收单位未按规定接收安置退役士兵的，予以审查，决定是否立案。</w:t>
            </w:r>
          </w:p>
          <w:p w14:paraId="1C5315A3">
            <w:pPr>
              <w:tabs>
                <w:tab w:val="left" w:pos="7937"/>
              </w:tabs>
              <w:spacing w:line="260" w:lineRule="exac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2.调查取证责任：对立案的案件，指定专人负责，及时组织调查取证，通过搜集证据、现场了解核实情况等进行调查，并制作笔录。与当事人有直接利害关系的应当回避。执法人员不得少于两人，调查时应出示执法证件，允许当事人辩解陈述。</w:t>
            </w:r>
          </w:p>
          <w:p w14:paraId="689D7F66">
            <w:pPr>
              <w:tabs>
                <w:tab w:val="left" w:pos="7937"/>
              </w:tabs>
              <w:spacing w:line="260" w:lineRule="exac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3.审查责任：审查案件调查报告，对案件违法事实、证据、调查取证程序、法律适用、处罚种类和幅度、当事人陈述和申辩理由等方面进行审查，提出处理意见（主要证据不足时，以适当的方式补充调查）。</w:t>
            </w:r>
          </w:p>
          <w:p w14:paraId="31613508">
            <w:pPr>
              <w:tabs>
                <w:tab w:val="left" w:pos="7937"/>
              </w:tabs>
              <w:spacing w:line="260" w:lineRule="exac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4.告知责任：作出行政处罚决定前，应制作《行政处罚告知书》送达当事人，告知违法事实及其享有的陈述、申辩等权利。符合听证规定的，制作并送达《行政处罚听证告知书》。</w:t>
            </w:r>
          </w:p>
          <w:p w14:paraId="591CC7BA">
            <w:pPr>
              <w:tabs>
                <w:tab w:val="left" w:pos="7937"/>
              </w:tabs>
              <w:spacing w:line="260" w:lineRule="exac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5.决定责任：作出处罚决定，制作《行政处罚决定书》，并载明行政处罚告知、当事人陈述申辩或者听证情况等内容。</w:t>
            </w:r>
          </w:p>
          <w:p w14:paraId="6544FC5B">
            <w:pPr>
              <w:tabs>
                <w:tab w:val="left" w:pos="7937"/>
              </w:tabs>
              <w:spacing w:line="260" w:lineRule="exac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6.送达责任：按法律规定的方式和时限将《行政处罚决定书》送达当事人。</w:t>
            </w:r>
          </w:p>
          <w:p w14:paraId="04E3FA12">
            <w:pPr>
              <w:tabs>
                <w:tab w:val="left" w:pos="7937"/>
              </w:tabs>
              <w:spacing w:line="260" w:lineRule="exac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7.执行责任：依照生效的行政处罚决定，自觉履行或申请人民法院强制执行。</w:t>
            </w:r>
          </w:p>
          <w:p w14:paraId="054D5F30">
            <w:pPr>
              <w:tabs>
                <w:tab w:val="left" w:pos="7937"/>
              </w:tabs>
              <w:spacing w:line="260" w:lineRule="exac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8.其他责任：法律法规规章文件规定应履行的其他责任。</w:t>
            </w:r>
          </w:p>
          <w:p w14:paraId="311822B2">
            <w:pPr>
              <w:numPr>
                <w:ilvl w:val="0"/>
                <w:numId w:val="0"/>
              </w:numPr>
              <w:tabs>
                <w:tab w:val="left" w:pos="7937"/>
              </w:tabs>
              <w:spacing w:line="260" w:lineRule="exact"/>
              <w:jc w:val="left"/>
              <w:rPr>
                <w:rFonts w:hint="eastAsia" w:ascii="仿宋_GB2312" w:hAnsi="仿宋_GB2312" w:eastAsia="仿宋_GB2312" w:cs="仿宋_GB2312"/>
                <w:sz w:val="21"/>
                <w:szCs w:val="21"/>
                <w:lang w:val="en-US" w:eastAsia="zh-CN"/>
              </w:rPr>
            </w:pPr>
          </w:p>
        </w:tc>
        <w:tc>
          <w:tcPr>
            <w:tcW w:w="2807" w:type="dxa"/>
            <w:noWrap w:val="0"/>
            <w:vAlign w:val="center"/>
          </w:tcPr>
          <w:p w14:paraId="53D49787">
            <w:pPr>
              <w:tabs>
                <w:tab w:val="left" w:pos="7937"/>
              </w:tabs>
              <w:spacing w:line="260" w:lineRule="exact"/>
              <w:jc w:val="left"/>
              <w:rPr>
                <w:rFonts w:hint="eastAsia" w:ascii="仿宋_GB2312" w:hAnsi="仿宋_GB2312" w:cs="仿宋_GB2312"/>
                <w:sz w:val="21"/>
                <w:szCs w:val="21"/>
                <w:lang w:val="en-US" w:eastAsia="zh-CN"/>
              </w:rPr>
            </w:pPr>
            <w:r>
              <w:rPr>
                <w:rFonts w:hint="eastAsia" w:ascii="仿宋_GB2312" w:hAnsi="仿宋_GB2312" w:eastAsia="仿宋_GB2312" w:cs="仿宋_GB2312"/>
                <w:sz w:val="21"/>
                <w:szCs w:val="21"/>
                <w:lang w:val="en-US" w:eastAsia="zh-CN"/>
              </w:rPr>
              <w:t>因不履行或不正确履行行政职责，有下列情形的，</w:t>
            </w:r>
            <w:r>
              <w:rPr>
                <w:rFonts w:hint="eastAsia" w:ascii="仿宋_GB2312" w:hAnsi="仿宋_GB2312" w:cs="仿宋_GB2312"/>
                <w:sz w:val="21"/>
                <w:szCs w:val="21"/>
                <w:lang w:val="en-US" w:eastAsia="zh-CN"/>
              </w:rPr>
              <w:t>接收安置退役士兵的单位</w:t>
            </w:r>
            <w:r>
              <w:rPr>
                <w:rFonts w:hint="eastAsia" w:ascii="仿宋_GB2312" w:hAnsi="仿宋_GB2312" w:eastAsia="仿宋_GB2312" w:cs="仿宋_GB2312"/>
                <w:sz w:val="21"/>
                <w:szCs w:val="21"/>
                <w:lang w:val="en-US" w:eastAsia="zh-CN"/>
              </w:rPr>
              <w:t>及相关工作人员应承担相应责任</w:t>
            </w:r>
            <w:r>
              <w:rPr>
                <w:rFonts w:hint="eastAsia" w:ascii="仿宋_GB2312" w:hAnsi="仿宋_GB2312" w:cs="仿宋_GB2312"/>
                <w:sz w:val="21"/>
                <w:szCs w:val="21"/>
                <w:lang w:val="en-US" w:eastAsia="zh-CN"/>
              </w:rPr>
              <w:t>：</w:t>
            </w:r>
          </w:p>
          <w:p w14:paraId="1639B793">
            <w:pPr>
              <w:numPr>
                <w:ilvl w:val="0"/>
                <w:numId w:val="3"/>
              </w:numPr>
              <w:tabs>
                <w:tab w:val="left" w:pos="7937"/>
                <w:tab w:val="clear" w:pos="312"/>
              </w:tabs>
              <w:spacing w:line="260" w:lineRule="exact"/>
              <w:jc w:val="lef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拒拒绝或者无故拖延执行人民政府下达的安排退役士兵工作任务的；</w:t>
            </w:r>
          </w:p>
          <w:p w14:paraId="3E7DE991">
            <w:pPr>
              <w:numPr>
                <w:ilvl w:val="0"/>
                <w:numId w:val="3"/>
              </w:numPr>
              <w:tabs>
                <w:tab w:val="left" w:pos="7937"/>
                <w:tab w:val="clear" w:pos="312"/>
              </w:tabs>
              <w:spacing w:line="260" w:lineRule="exact"/>
              <w:jc w:val="left"/>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未未依法与退役士兵签订劳动合同、聘用合同的；</w:t>
            </w:r>
          </w:p>
          <w:p w14:paraId="511E710F">
            <w:pPr>
              <w:numPr>
                <w:ilvl w:val="0"/>
                <w:numId w:val="3"/>
              </w:numPr>
              <w:tabs>
                <w:tab w:val="left" w:pos="7937"/>
                <w:tab w:val="clear" w:pos="312"/>
              </w:tabs>
              <w:spacing w:line="260" w:lineRule="exact"/>
              <w:jc w:val="left"/>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与因其残疾与残疾退役士兵解除劳动关系或者人事关系的。</w:t>
            </w:r>
          </w:p>
        </w:tc>
        <w:tc>
          <w:tcPr>
            <w:tcW w:w="1375" w:type="dxa"/>
            <w:noWrap w:val="0"/>
            <w:vAlign w:val="center"/>
          </w:tcPr>
          <w:p w14:paraId="7429B2D2">
            <w:pPr>
              <w:spacing w:line="400" w:lineRule="exact"/>
              <w:jc w:val="center"/>
              <w:rPr>
                <w:rFonts w:hint="eastAsia" w:ascii="宋体" w:hAnsi="宋体" w:eastAsia="宋体"/>
                <w:sz w:val="18"/>
              </w:rPr>
            </w:pPr>
          </w:p>
        </w:tc>
      </w:tr>
    </w:tbl>
    <w:p w14:paraId="51DD7644"/>
    <w:sectPr>
      <w:pgSz w:w="16838" w:h="11906" w:orient="landscape"/>
      <w:pgMar w:top="567"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26767"/>
    <w:multiLevelType w:val="singleLevel"/>
    <w:tmpl w:val="ACD26767"/>
    <w:lvl w:ilvl="0" w:tentative="0">
      <w:start w:val="1"/>
      <w:numFmt w:val="decimal"/>
      <w:lvlText w:val="%1."/>
      <w:lvlJc w:val="left"/>
      <w:pPr>
        <w:tabs>
          <w:tab w:val="left" w:pos="312"/>
        </w:tabs>
      </w:pPr>
    </w:lvl>
  </w:abstractNum>
  <w:abstractNum w:abstractNumId="1">
    <w:nsid w:val="57BE757A"/>
    <w:multiLevelType w:val="singleLevel"/>
    <w:tmpl w:val="57BE757A"/>
    <w:lvl w:ilvl="0" w:tentative="0">
      <w:start w:val="1"/>
      <w:numFmt w:val="decimal"/>
      <w:suff w:val="nothing"/>
      <w:lvlText w:val="%1、"/>
      <w:lvlJc w:val="left"/>
    </w:lvl>
  </w:abstractNum>
  <w:abstractNum w:abstractNumId="2">
    <w:nsid w:val="66827DEE"/>
    <w:multiLevelType w:val="singleLevel"/>
    <w:tmpl w:val="66827DEE"/>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4775D"/>
    <w:rsid w:val="1E001B0A"/>
    <w:rsid w:val="26E8297D"/>
    <w:rsid w:val="27220AF2"/>
    <w:rsid w:val="31A14859"/>
    <w:rsid w:val="359038D4"/>
    <w:rsid w:val="676E0146"/>
    <w:rsid w:val="6C924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2409</Words>
  <Characters>2456</Characters>
  <Lines>0</Lines>
  <Paragraphs>0</Paragraphs>
  <TotalTime>14</TotalTime>
  <ScaleCrop>false</ScaleCrop>
  <LinksUpToDate>false</LinksUpToDate>
  <CharactersWithSpaces>2682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2020-11-26T01:57:00Z</dcterms:created>
  <dc:creator>Administrator</dc:creator>
  <cp:lastModifiedBy>Administrator</cp:lastModifiedBy>
  <cp:lastPrinted>2021-03-17T07:11:00Z</cp:lastPrinted>
  <dcterms:modified xsi:type="dcterms:W3CDTF">2025-03-12T01:41:06Z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FBAFCE3C72F84E0B9D6B3EAB8B58A8DC</vt:lpwstr>
  </property>
  <property fmtid="{D5CDD505-2E9C-101B-9397-08002B2CF9AE}" pid="4" name="KSOTemplateDocerSaveRecord">
    <vt:lpwstr>eyJoZGlkIjoiYTVjYWQ4MjlkNzAxODY0NWY3YjcyN2I3OGVlYmI4MmEifQ==</vt:lpwstr>
  </property>
</Properties>
</file>