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sz w:val="36"/>
        </w:rPr>
      </w:pPr>
      <w:r>
        <w:rPr>
          <w:rFonts w:hint="eastAsia" w:ascii="方正小标宋简体" w:hAnsi="方正小标宋简体" w:eastAsia="方正小标宋简体"/>
          <w:sz w:val="36"/>
          <w:lang w:eastAsia="zh-CN"/>
        </w:rPr>
        <w:t>唐山市公安局</w:t>
      </w:r>
      <w:r>
        <w:rPr>
          <w:rFonts w:hint="eastAsia" w:ascii="方正小标宋简体" w:hAnsi="方正小标宋简体" w:eastAsia="方正小标宋简体"/>
          <w:sz w:val="36"/>
        </w:rPr>
        <w:t>开平分局权责清单事项分表</w:t>
      </w:r>
      <w:bookmarkStart w:id="1" w:name="_GoBack"/>
      <w:bookmarkEnd w:id="1"/>
    </w:p>
    <w:p>
      <w:pPr>
        <w:spacing w:line="600" w:lineRule="exact"/>
        <w:jc w:val="center"/>
        <w:rPr>
          <w:rFonts w:ascii="楷体_GB2312" w:hAnsi="楷体_GB2312" w:eastAsia="楷体_GB2312"/>
          <w:sz w:val="36"/>
        </w:rPr>
      </w:pPr>
      <w:r>
        <w:rPr>
          <w:rFonts w:hint="eastAsia" w:ascii="楷体_GB2312" w:hAnsi="楷体_GB2312" w:eastAsia="楷体_GB2312"/>
        </w:rPr>
        <w:t>（共</w:t>
      </w:r>
      <w:r>
        <w:rPr>
          <w:rFonts w:hint="eastAsia" w:ascii="楷体_GB2312" w:hAnsi="楷体_GB2312" w:eastAsia="楷体_GB2312"/>
          <w:lang w:eastAsia="zh-CN"/>
        </w:rPr>
        <w:t>八</w:t>
      </w:r>
      <w:r>
        <w:rPr>
          <w:rFonts w:hint="eastAsia" w:ascii="楷体_GB2312" w:hAnsi="楷体_GB2312" w:eastAsia="楷体_GB2312"/>
        </w:rPr>
        <w:t>类、</w:t>
      </w:r>
      <w:r>
        <w:rPr>
          <w:rFonts w:hint="eastAsia" w:ascii="楷体_GB2312" w:hAnsi="楷体_GB2312" w:eastAsia="楷体_GB2312"/>
          <w:lang w:val="en-US" w:eastAsia="zh-CN"/>
        </w:rPr>
        <w:t>82</w:t>
      </w:r>
      <w:r>
        <w:rPr>
          <w:rFonts w:hint="eastAsia" w:ascii="楷体_GB2312" w:hAnsi="楷体_GB2312" w:eastAsia="楷体_GB2312"/>
        </w:rPr>
        <w:t>项）</w:t>
      </w:r>
    </w:p>
    <w:p>
      <w:pPr>
        <w:spacing w:line="600" w:lineRule="exact"/>
        <w:rPr>
          <w:rFonts w:ascii="仿宋_GB2312"/>
        </w:rPr>
      </w:pPr>
      <w:r>
        <w:rPr>
          <w:rFonts w:hint="eastAsia" w:ascii="楷体_GB2312" w:hAnsi="楷体_GB2312" w:eastAsia="楷体_GB2312"/>
          <w:sz w:val="28"/>
        </w:rPr>
        <w:t>单位：</w:t>
      </w:r>
      <w:r>
        <w:rPr>
          <w:rFonts w:hint="eastAsia" w:ascii="楷体_GB2312" w:hAnsi="楷体_GB2312" w:eastAsia="楷体_GB2312" w:cs="Arial"/>
          <w:sz w:val="28"/>
        </w:rPr>
        <w:t>唐山市公安局开平分局</w:t>
      </w:r>
    </w:p>
    <w:tbl>
      <w:tblPr>
        <w:tblStyle w:val="6"/>
        <w:tblW w:w="13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589"/>
        <w:gridCol w:w="839"/>
        <w:gridCol w:w="350"/>
        <w:gridCol w:w="509"/>
        <w:gridCol w:w="456"/>
        <w:gridCol w:w="22"/>
        <w:gridCol w:w="225"/>
        <w:gridCol w:w="263"/>
        <w:gridCol w:w="865"/>
        <w:gridCol w:w="298"/>
        <w:gridCol w:w="2353"/>
        <w:gridCol w:w="1013"/>
        <w:gridCol w:w="26"/>
        <w:gridCol w:w="251"/>
        <w:gridCol w:w="737"/>
        <w:gridCol w:w="306"/>
        <w:gridCol w:w="743"/>
        <w:gridCol w:w="395"/>
        <w:gridCol w:w="805"/>
        <w:gridCol w:w="427"/>
        <w:gridCol w:w="1083"/>
        <w:gridCol w:w="15"/>
        <w:gridCol w:w="124"/>
        <w:gridCol w:w="236"/>
        <w:gridCol w:w="12"/>
        <w:gridCol w:w="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5" w:type="dxa"/>
          <w:trHeight w:val="567" w:hRule="exact"/>
        </w:trPr>
        <w:tc>
          <w:tcPr>
            <w:tcW w:w="456" w:type="dxa"/>
            <w:vAlign w:val="center"/>
          </w:tcPr>
          <w:p>
            <w:pPr>
              <w:autoSpaceDN w:val="0"/>
              <w:spacing w:line="300" w:lineRule="exact"/>
              <w:jc w:val="center"/>
              <w:textAlignment w:val="center"/>
              <w:rPr>
                <w:rFonts w:ascii="仿宋_GB2312"/>
                <w:sz w:val="20"/>
                <w:szCs w:val="20"/>
              </w:rPr>
            </w:pPr>
            <w:r>
              <w:rPr>
                <w:rFonts w:ascii="黑体" w:hAnsi="黑体" w:eastAsia="黑体"/>
                <w:color w:val="000000"/>
                <w:sz w:val="20"/>
                <w:szCs w:val="20"/>
              </w:rPr>
              <w:t>序号</w:t>
            </w:r>
          </w:p>
        </w:tc>
        <w:tc>
          <w:tcPr>
            <w:tcW w:w="589" w:type="dxa"/>
            <w:vAlign w:val="center"/>
          </w:tcPr>
          <w:p>
            <w:pPr>
              <w:autoSpaceDN w:val="0"/>
              <w:spacing w:line="300" w:lineRule="exact"/>
              <w:jc w:val="center"/>
              <w:textAlignment w:val="center"/>
              <w:rPr>
                <w:rFonts w:ascii="仿宋_GB2312"/>
                <w:sz w:val="20"/>
                <w:szCs w:val="20"/>
              </w:rPr>
            </w:pPr>
            <w:r>
              <w:rPr>
                <w:rFonts w:ascii="黑体" w:hAnsi="黑体" w:eastAsia="黑体"/>
                <w:color w:val="000000"/>
                <w:sz w:val="20"/>
                <w:szCs w:val="20"/>
              </w:rPr>
              <w:t>权力类型</w:t>
            </w:r>
          </w:p>
        </w:tc>
        <w:tc>
          <w:tcPr>
            <w:tcW w:w="1189" w:type="dxa"/>
            <w:gridSpan w:val="2"/>
            <w:vAlign w:val="center"/>
          </w:tcPr>
          <w:p>
            <w:pPr>
              <w:autoSpaceDN w:val="0"/>
              <w:spacing w:line="300" w:lineRule="exact"/>
              <w:jc w:val="center"/>
              <w:textAlignment w:val="center"/>
              <w:rPr>
                <w:rFonts w:ascii="仿宋_GB2312"/>
                <w:sz w:val="20"/>
                <w:szCs w:val="20"/>
              </w:rPr>
            </w:pPr>
            <w:r>
              <w:rPr>
                <w:rFonts w:ascii="黑体" w:hAnsi="黑体" w:eastAsia="黑体"/>
                <w:color w:val="000000"/>
                <w:sz w:val="20"/>
                <w:szCs w:val="20"/>
              </w:rPr>
              <w:t>权力事项</w:t>
            </w:r>
          </w:p>
        </w:tc>
        <w:tc>
          <w:tcPr>
            <w:tcW w:w="965" w:type="dxa"/>
            <w:gridSpan w:val="2"/>
            <w:vAlign w:val="center"/>
          </w:tcPr>
          <w:p>
            <w:pPr>
              <w:autoSpaceDN w:val="0"/>
              <w:spacing w:line="300" w:lineRule="exact"/>
              <w:jc w:val="center"/>
              <w:textAlignment w:val="center"/>
              <w:rPr>
                <w:rFonts w:ascii="仿宋_GB2312"/>
                <w:sz w:val="20"/>
                <w:szCs w:val="20"/>
              </w:rPr>
            </w:pPr>
            <w:r>
              <w:rPr>
                <w:rFonts w:ascii="黑体" w:hAnsi="黑体" w:eastAsia="黑体"/>
                <w:color w:val="000000"/>
                <w:sz w:val="20"/>
                <w:szCs w:val="20"/>
              </w:rPr>
              <w:t>行政主体</w:t>
            </w:r>
          </w:p>
        </w:tc>
        <w:tc>
          <w:tcPr>
            <w:tcW w:w="5065" w:type="dxa"/>
            <w:gridSpan w:val="8"/>
            <w:vAlign w:val="center"/>
          </w:tcPr>
          <w:p>
            <w:pPr>
              <w:autoSpaceDN w:val="0"/>
              <w:spacing w:line="300" w:lineRule="exact"/>
              <w:jc w:val="center"/>
              <w:textAlignment w:val="center"/>
              <w:rPr>
                <w:rFonts w:ascii="仿宋_GB2312"/>
                <w:sz w:val="20"/>
                <w:szCs w:val="20"/>
              </w:rPr>
            </w:pPr>
            <w:r>
              <w:rPr>
                <w:rFonts w:ascii="黑体" w:hAnsi="黑体" w:eastAsia="黑体"/>
                <w:color w:val="000000"/>
                <w:sz w:val="20"/>
                <w:szCs w:val="20"/>
              </w:rPr>
              <w:t>实施依据</w:t>
            </w:r>
          </w:p>
        </w:tc>
        <w:tc>
          <w:tcPr>
            <w:tcW w:w="1294" w:type="dxa"/>
            <w:gridSpan w:val="3"/>
            <w:vAlign w:val="center"/>
          </w:tcPr>
          <w:p>
            <w:pPr>
              <w:autoSpaceDN w:val="0"/>
              <w:spacing w:line="300" w:lineRule="exact"/>
              <w:jc w:val="center"/>
              <w:textAlignment w:val="center"/>
              <w:rPr>
                <w:rFonts w:ascii="仿宋_GB2312"/>
                <w:sz w:val="20"/>
                <w:szCs w:val="20"/>
              </w:rPr>
            </w:pPr>
            <w:r>
              <w:rPr>
                <w:rFonts w:ascii="黑体" w:hAnsi="黑体" w:eastAsia="黑体"/>
                <w:color w:val="000000"/>
                <w:sz w:val="20"/>
                <w:szCs w:val="20"/>
              </w:rPr>
              <w:t>责任事项</w:t>
            </w:r>
          </w:p>
        </w:tc>
        <w:tc>
          <w:tcPr>
            <w:tcW w:w="2370" w:type="dxa"/>
            <w:gridSpan w:val="4"/>
            <w:vAlign w:val="center"/>
          </w:tcPr>
          <w:p>
            <w:pPr>
              <w:autoSpaceDN w:val="0"/>
              <w:spacing w:line="300" w:lineRule="exact"/>
              <w:jc w:val="center"/>
              <w:textAlignment w:val="center"/>
              <w:rPr>
                <w:rFonts w:ascii="仿宋_GB2312"/>
                <w:sz w:val="20"/>
                <w:szCs w:val="20"/>
              </w:rPr>
            </w:pPr>
            <w:r>
              <w:rPr>
                <w:rFonts w:ascii="黑体" w:hAnsi="黑体" w:eastAsia="黑体"/>
                <w:color w:val="000000"/>
                <w:sz w:val="20"/>
                <w:szCs w:val="20"/>
              </w:rPr>
              <w:t>追责情形</w:t>
            </w:r>
          </w:p>
        </w:tc>
        <w:tc>
          <w:tcPr>
            <w:tcW w:w="1470" w:type="dxa"/>
            <w:gridSpan w:val="5"/>
            <w:vAlign w:val="center"/>
          </w:tcPr>
          <w:p>
            <w:pPr>
              <w:autoSpaceDN w:val="0"/>
              <w:spacing w:line="300" w:lineRule="exact"/>
              <w:jc w:val="center"/>
              <w:textAlignment w:val="center"/>
              <w:rPr>
                <w:rFonts w:ascii="黑体" w:hAnsi="黑体" w:eastAsia="黑体"/>
                <w:color w:val="000000"/>
                <w:sz w:val="20"/>
                <w:szCs w:val="20"/>
              </w:rPr>
            </w:pPr>
            <w:r>
              <w:rPr>
                <w:rFonts w:ascii="黑体" w:hAnsi="黑体" w:eastAsia="黑体"/>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5" w:type="dxa"/>
          <w:trHeight w:val="6301" w:hRule="exact"/>
        </w:trPr>
        <w:tc>
          <w:tcPr>
            <w:tcW w:w="456" w:type="dxa"/>
            <w:vAlign w:val="center"/>
          </w:tcPr>
          <w:p>
            <w:pPr>
              <w:autoSpaceDN w:val="0"/>
              <w:spacing w:line="300" w:lineRule="exact"/>
              <w:jc w:val="center"/>
              <w:textAlignment w:val="center"/>
              <w:rPr>
                <w:rFonts w:ascii="仿宋_GB2312" w:hAnsi="仿宋_GB2312"/>
                <w:color w:val="000000"/>
                <w:sz w:val="20"/>
                <w:szCs w:val="20"/>
              </w:rPr>
            </w:pPr>
            <w:r>
              <w:rPr>
                <w:rFonts w:hint="eastAsia" w:ascii="仿宋_GB2312" w:hAnsi="仿宋_GB2312"/>
                <w:color w:val="000000"/>
                <w:sz w:val="20"/>
                <w:szCs w:val="20"/>
              </w:rPr>
              <w:t>1</w:t>
            </w:r>
          </w:p>
        </w:tc>
        <w:tc>
          <w:tcPr>
            <w:tcW w:w="589" w:type="dxa"/>
            <w:vAlign w:val="center"/>
          </w:tcPr>
          <w:p>
            <w:pPr>
              <w:spacing w:line="240" w:lineRule="exact"/>
              <w:textAlignment w:val="center"/>
              <w:rPr>
                <w:sz w:val="20"/>
                <w:szCs w:val="20"/>
              </w:rPr>
            </w:pPr>
            <w:r>
              <w:rPr>
                <w:rFonts w:hint="eastAsia"/>
                <w:sz w:val="20"/>
                <w:szCs w:val="20"/>
              </w:rPr>
              <w:t>行政许可</w:t>
            </w:r>
          </w:p>
        </w:tc>
        <w:tc>
          <w:tcPr>
            <w:tcW w:w="1189" w:type="dxa"/>
            <w:gridSpan w:val="2"/>
            <w:vAlign w:val="center"/>
          </w:tcPr>
          <w:p>
            <w:pPr>
              <w:spacing w:line="240" w:lineRule="exact"/>
              <w:textAlignment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普通护照签发</w:t>
            </w:r>
          </w:p>
        </w:tc>
        <w:tc>
          <w:tcPr>
            <w:tcW w:w="965" w:type="dxa"/>
            <w:gridSpan w:val="2"/>
            <w:vAlign w:val="center"/>
          </w:tcPr>
          <w:p>
            <w:pPr>
              <w:spacing w:line="240" w:lineRule="exact"/>
              <w:textAlignment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唐山市公安局开平分局出入境管理大队</w:t>
            </w:r>
          </w:p>
        </w:tc>
        <w:tc>
          <w:tcPr>
            <w:tcW w:w="5065" w:type="dxa"/>
            <w:gridSpan w:val="8"/>
            <w:vAlign w:val="center"/>
          </w:tcPr>
          <w:p>
            <w:pPr>
              <w:spacing w:line="240" w:lineRule="exact"/>
              <w:textAlignment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《中华人民共和国护照法》第四条：普通护照由公安部出入境管理机构或者公安部委托的县级以上地方人民政府公安机关出入境管理机构以及中华人民共和国驻外使馆、领馆和外交部委托的其他驻外机构签发。   第五条：公民因前往外国定居、探亲、学习、就业、旅行、从事商务活动等非公务原因出国的，由本人向户籍所在地的县级以上地方人民政府公安机关出入境管理机构申请普通护照。   第十条：护照持有人所持护照的登记事项发生变更时应当持相关证明材料向护照签发机关申请护照变更加注。</w:t>
            </w:r>
          </w:p>
          <w:p>
            <w:pPr>
              <w:spacing w:line="240" w:lineRule="exact"/>
              <w:textAlignment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第十一条：护照持有人申请换发或者补发普通护照在国内由本人向户籍所在地的县级以上地方人民政府公安机关出入境管理机构提出。</w:t>
            </w:r>
          </w:p>
          <w:p>
            <w:pPr>
              <w:autoSpaceDN w:val="0"/>
              <w:spacing w:line="300" w:lineRule="exact"/>
              <w:jc w:val="center"/>
              <w:textAlignment w:val="center"/>
              <w:rPr>
                <w:rFonts w:ascii="仿宋_GB2312" w:hAnsi="Arial" w:cs="Arial"/>
                <w:color w:val="000000" w:themeColor="text1"/>
                <w:kern w:val="0"/>
                <w:sz w:val="13"/>
                <w:szCs w:val="13"/>
              </w:rPr>
            </w:pPr>
          </w:p>
        </w:tc>
        <w:tc>
          <w:tcPr>
            <w:tcW w:w="1294" w:type="dxa"/>
            <w:gridSpan w:val="3"/>
            <w:vAlign w:val="center"/>
          </w:tcPr>
          <w:p>
            <w:pPr>
              <w:spacing w:line="240" w:lineRule="exact"/>
              <w:jc w:val="lef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1、受理责任： 公示依法应当提交的材料；一次性告知补正材料；依法受理或不予受理（不予受理的告知理由）。</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2.审查责任：审核申请人是否具备办理因私普通护照的法定资格条件，并提出审查意见。</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3.决定责任：作出许可或不予许可的决定（不予许可的书面告知理由）；按时办结；法定告知。</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4.其他法律法规规章文件规定应履行的责任。</w:t>
            </w:r>
          </w:p>
          <w:p>
            <w:pPr>
              <w:autoSpaceDN w:val="0"/>
              <w:spacing w:line="100" w:lineRule="atLeast"/>
              <w:jc w:val="center"/>
              <w:textAlignment w:val="center"/>
              <w:rPr>
                <w:rFonts w:ascii="仿宋_GB2312" w:hAnsi="Arial" w:cs="Arial"/>
                <w:color w:val="000000" w:themeColor="text1"/>
                <w:kern w:val="0"/>
                <w:sz w:val="13"/>
                <w:szCs w:val="13"/>
              </w:rPr>
            </w:pPr>
          </w:p>
        </w:tc>
        <w:tc>
          <w:tcPr>
            <w:tcW w:w="2370" w:type="dxa"/>
            <w:gridSpan w:val="4"/>
            <w:vAlign w:val="center"/>
          </w:tcPr>
          <w:p>
            <w:pPr>
              <w:spacing w:line="240" w:lineRule="exact"/>
              <w:textAlignment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因不履行或不正确履行行政职责，有下列情形的，公安机关及相关工作人员应承担相应责任：</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1、对符合因私出境条件的申请不予受理的；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2、未依法说明不受理行政许可申请或者不予行政许可理由的；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3、依法应当公开行政许可事项和申请所需材料而不公开的；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4、无法定依据实施行政许可或者超越法定权限作出行政许可决定的；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5、超过法定期限或者违反法定程序实施行政许可的；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6、在办理行政许可过程中索取或者收受他人财物或者谋取其他利益的；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7、其他违反法律法规规章文件规定的行为。</w:t>
            </w:r>
          </w:p>
          <w:p>
            <w:pPr>
              <w:autoSpaceDN w:val="0"/>
              <w:spacing w:line="240" w:lineRule="exact"/>
              <w:jc w:val="center"/>
              <w:textAlignment w:val="center"/>
              <w:rPr>
                <w:rFonts w:ascii="仿宋_GB2312" w:hAnsi="Arial" w:cs="Arial"/>
                <w:color w:val="000000" w:themeColor="text1"/>
                <w:kern w:val="0"/>
                <w:sz w:val="13"/>
                <w:szCs w:val="13"/>
              </w:rPr>
            </w:pPr>
          </w:p>
        </w:tc>
        <w:tc>
          <w:tcPr>
            <w:tcW w:w="1470" w:type="dxa"/>
            <w:gridSpan w:val="5"/>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5" w:type="dxa"/>
          <w:trHeight w:val="6301" w:hRule="exact"/>
        </w:trPr>
        <w:tc>
          <w:tcPr>
            <w:tcW w:w="456"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仿宋_GB2312" w:hAnsi="仿宋_GB2312"/>
                <w:color w:val="000000"/>
                <w:sz w:val="20"/>
                <w:szCs w:val="20"/>
              </w:rPr>
            </w:pPr>
            <w:r>
              <w:rPr>
                <w:rFonts w:ascii="仿宋_GB2312" w:hAnsi="仿宋_GB2312"/>
                <w:color w:val="000000"/>
                <w:sz w:val="20"/>
                <w:szCs w:val="20"/>
              </w:rPr>
              <w:t>2</w:t>
            </w:r>
          </w:p>
        </w:tc>
        <w:tc>
          <w:tcPr>
            <w:tcW w:w="589" w:type="dxa"/>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sz w:val="20"/>
                <w:szCs w:val="20"/>
              </w:rPr>
            </w:pPr>
            <w:r>
              <w:rPr>
                <w:rFonts w:hint="eastAsia"/>
                <w:sz w:val="20"/>
                <w:szCs w:val="20"/>
              </w:rPr>
              <w:t>行政许可</w:t>
            </w:r>
          </w:p>
        </w:tc>
        <w:tc>
          <w:tcPr>
            <w:tcW w:w="118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内地居民前往港澳通行证、往来港澳通行证和签注签发</w:t>
            </w:r>
          </w:p>
          <w:p>
            <w:pPr>
              <w:spacing w:line="240" w:lineRule="exact"/>
              <w:textAlignment w:val="center"/>
              <w:rPr>
                <w:rFonts w:ascii="仿宋_GB2312" w:hAnsi="Arial" w:cs="Arial"/>
                <w:color w:val="000000" w:themeColor="text1"/>
                <w:kern w:val="0"/>
                <w:sz w:val="13"/>
                <w:szCs w:val="13"/>
              </w:rPr>
            </w:pPr>
          </w:p>
        </w:tc>
        <w:tc>
          <w:tcPr>
            <w:tcW w:w="96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唐山市公安局开平分局出入境管理大队</w:t>
            </w:r>
          </w:p>
        </w:tc>
        <w:tc>
          <w:tcPr>
            <w:tcW w:w="5065"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 xml:space="preserve">《中国公民因私事往来香港地区或者澳门地区的暂行管理办法》（1986年12月3日国务院批准，1986年12月25日公安部公布）第三条：内地公民因私事前往香港、澳门，凭我国公安机关签发的前往港澳通行证或者往来港澳通行证从指定的口岸通行。   </w:t>
            </w:r>
          </w:p>
          <w:p>
            <w:pPr>
              <w:spacing w:line="240" w:lineRule="exact"/>
              <w:textAlignment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 xml:space="preserve">第六条：内地公民因私事前往香港、澳门，须向户口所在地的市、县公安局出入境管理部门提出申请。   </w:t>
            </w:r>
          </w:p>
          <w:p>
            <w:pPr>
              <w:spacing w:line="240" w:lineRule="exact"/>
              <w:textAlignment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第二十二条：……每次前往香港、澳门均需按照本办法第六条、第八条、第十条的规定办理申请手续，经批准的作一次往返签注。经公安部特别授权的公安机关可以作多次往返签注。</w:t>
            </w:r>
          </w:p>
        </w:tc>
        <w:tc>
          <w:tcPr>
            <w:tcW w:w="129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1、受理责任： 公示依法应当提交的材料；一次性告知补正材料；依法受理或不予受理（不予受理的告知理由）。</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2.审查责任：审核申请人是否具备办理内地居民前往港澳通行证、往来港澳通行证和签注签发的法定资格条件，并提出审查意见。</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3.决定责任：作出许可或不予许可的决定（不予许可的书面告知理由）；按时办结；法定告知。</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4.其他法律法规规章文件规定应履行的责任。</w:t>
            </w:r>
          </w:p>
          <w:p>
            <w:pPr>
              <w:spacing w:line="240" w:lineRule="exact"/>
              <w:jc w:val="left"/>
              <w:rPr>
                <w:rFonts w:ascii="仿宋_GB2312" w:hAnsi="Arial" w:cs="Arial"/>
                <w:color w:val="000000" w:themeColor="text1"/>
                <w:kern w:val="0"/>
                <w:sz w:val="13"/>
                <w:szCs w:val="13"/>
              </w:rPr>
            </w:pPr>
          </w:p>
        </w:tc>
        <w:tc>
          <w:tcPr>
            <w:tcW w:w="237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因不履行或不正确履行行政职责，有下列情形的，公安机关及相关工作人员应承担相应责任：</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1、对符合因私出境条件的申请不予受理的；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2、未依法说明不受理行政许可申请或者不予行政许可理由的；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3、依法应当公开行政许可事项和申请所需材料而不公开的；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4、无法定依据实施行政许可或者超越法定权限作出行政许可决定的；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5、超过法定期限或者违反法定程序实施行政许可的；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6、在办理行政许可过程中索取或者收受他人财物或者谋取其他利益的；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7、其他违反法律法规规章文件规定的行为。</w:t>
            </w:r>
          </w:p>
        </w:tc>
        <w:tc>
          <w:tcPr>
            <w:tcW w:w="1470" w:type="dxa"/>
            <w:gridSpan w:val="5"/>
            <w:tcBorders>
              <w:top w:val="single" w:color="auto" w:sz="4" w:space="0"/>
              <w:left w:val="single" w:color="auto" w:sz="4" w:space="0"/>
              <w:bottom w:val="single" w:color="auto" w:sz="4" w:space="0"/>
              <w:right w:val="single" w:color="auto" w:sz="4" w:space="0"/>
            </w:tcBorders>
          </w:tcPr>
          <w:p>
            <w:pPr>
              <w:spacing w:line="240" w:lineRule="exact"/>
              <w:textAlignment w:val="center"/>
              <w:rPr>
                <w:rFonts w:hint="eastAsia" w:ascii="仿宋_GB2312" w:hAnsi="Arial" w:cs="Arial"/>
                <w:color w:val="000000" w:themeColor="text1"/>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5" w:type="dxa"/>
          <w:trHeight w:val="6301" w:hRule="exact"/>
        </w:trPr>
        <w:tc>
          <w:tcPr>
            <w:tcW w:w="456"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仿宋_GB2312" w:hAnsi="仿宋_GB2312"/>
                <w:color w:val="000000"/>
                <w:sz w:val="20"/>
                <w:szCs w:val="20"/>
              </w:rPr>
            </w:pPr>
            <w:r>
              <w:rPr>
                <w:rFonts w:ascii="仿宋_GB2312" w:hAnsi="仿宋_GB2312"/>
                <w:color w:val="000000"/>
                <w:sz w:val="20"/>
                <w:szCs w:val="20"/>
              </w:rPr>
              <w:t>3</w:t>
            </w:r>
          </w:p>
        </w:tc>
        <w:tc>
          <w:tcPr>
            <w:tcW w:w="589" w:type="dxa"/>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sz w:val="20"/>
                <w:szCs w:val="20"/>
              </w:rPr>
            </w:pPr>
            <w:r>
              <w:rPr>
                <w:rFonts w:hint="eastAsia"/>
                <w:sz w:val="20"/>
                <w:szCs w:val="20"/>
              </w:rPr>
              <w:t>行政许可</w:t>
            </w:r>
          </w:p>
        </w:tc>
        <w:tc>
          <w:tcPr>
            <w:tcW w:w="118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大陆居民往来台湾通行证和签注签发</w:t>
            </w:r>
          </w:p>
          <w:p>
            <w:pPr>
              <w:spacing w:line="240" w:lineRule="exact"/>
              <w:textAlignment w:val="center"/>
              <w:rPr>
                <w:rFonts w:ascii="仿宋_GB2312" w:hAnsi="Arial" w:cs="Arial"/>
                <w:color w:val="000000" w:themeColor="text1"/>
                <w:kern w:val="0"/>
                <w:sz w:val="13"/>
                <w:szCs w:val="13"/>
              </w:rPr>
            </w:pPr>
          </w:p>
        </w:tc>
        <w:tc>
          <w:tcPr>
            <w:tcW w:w="96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唐山市公安局开平分局出入境管理大队</w:t>
            </w:r>
          </w:p>
        </w:tc>
        <w:tc>
          <w:tcPr>
            <w:tcW w:w="5065"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 xml:space="preserve">《中国公民往来台湾地区管理办法》（1991年12月17日国务院令第93号，2015年6月14日予以修改） 第三条：大陆居民前往台湾，凭公安机关出入境管理部门签发的旅行证件，从开放的或者指定的出入境口岸通行。  </w:t>
            </w:r>
          </w:p>
          <w:p>
            <w:pPr>
              <w:spacing w:line="240" w:lineRule="exact"/>
              <w:textAlignment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 xml:space="preserve">第六条：大陆居民前往台湾定居、探亲、访友、旅游、接受和处理财产、处理婚丧事宜或者参加经济、科技、文化、教育、体育、学术等活动，须向户口所在地的市、县公安局提出申请。   </w:t>
            </w:r>
          </w:p>
          <w:p>
            <w:pPr>
              <w:spacing w:line="240" w:lineRule="exact"/>
              <w:textAlignment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 xml:space="preserve">第二十二条：大陆居民往来台湾的旅行证件系指大陆居民往来台湾通行证和其他有效旅行证件。      </w:t>
            </w:r>
          </w:p>
          <w:p>
            <w:pPr>
              <w:spacing w:line="240" w:lineRule="exact"/>
              <w:textAlignment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第二十五条：大陆居民往来台湾通行证实行逐次签注。签注分一次往返有效和多次往返有效。</w:t>
            </w:r>
          </w:p>
          <w:p>
            <w:pPr>
              <w:spacing w:line="240" w:lineRule="exact"/>
              <w:textAlignment w:val="center"/>
              <w:rPr>
                <w:rFonts w:ascii="仿宋_GB2312" w:hAnsi="Arial" w:cs="Arial"/>
                <w:color w:val="000000" w:themeColor="text1"/>
                <w:kern w:val="0"/>
                <w:sz w:val="13"/>
                <w:szCs w:val="13"/>
              </w:rPr>
            </w:pPr>
          </w:p>
        </w:tc>
        <w:tc>
          <w:tcPr>
            <w:tcW w:w="129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1、受理责任： 公示依法应当提交的材料；一次性告知补正材料；依法受理或不予受理（不予受理的告知理由）。</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2.审查责任：审核申请人是否具备办理内地居民前往港澳通行证、往来港澳通行证和签注签发的法定资格条件，并提出审查意见。</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3.决定责任：作出许可或不予许可的决定（不予许可的书面告知理由）；按时办结；法定告知。</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4.其他法律法规规章文件规定应履行的责任。</w:t>
            </w:r>
          </w:p>
          <w:p>
            <w:pPr>
              <w:spacing w:line="240" w:lineRule="exact"/>
              <w:jc w:val="left"/>
              <w:rPr>
                <w:rFonts w:ascii="仿宋_GB2312" w:hAnsi="Arial" w:cs="Arial"/>
                <w:color w:val="000000" w:themeColor="text1"/>
                <w:kern w:val="0"/>
                <w:sz w:val="13"/>
                <w:szCs w:val="13"/>
              </w:rPr>
            </w:pPr>
          </w:p>
        </w:tc>
        <w:tc>
          <w:tcPr>
            <w:tcW w:w="237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因不履行或不正确履行行政职责，有下列情形的，公安机关及相关工作人员应承担相应责任：</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1、对符合因私出境条件的申请不予受理的；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2、未依法说明不受理行政许可申请或者不予行政许可理由的；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3、依法应当公开行政许可事项和申请所需材料而不公开的；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4、无法定依据实施行政许可或者超越法定权限作出行政许可决定的；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5、超过法定期限或者违反法定程序实施行政许可的；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6、在办理行政许可过程中索取或者收受他人财物或者谋取其他利益的；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7、其他违反法律法规规章文件规定的行为。</w:t>
            </w:r>
          </w:p>
          <w:p>
            <w:pPr>
              <w:spacing w:line="240" w:lineRule="exact"/>
              <w:textAlignment w:val="center"/>
              <w:rPr>
                <w:rFonts w:ascii="仿宋_GB2312" w:hAnsi="Arial" w:cs="Arial"/>
                <w:color w:val="000000" w:themeColor="text1"/>
                <w:kern w:val="0"/>
                <w:sz w:val="13"/>
                <w:szCs w:val="13"/>
              </w:rPr>
            </w:pPr>
          </w:p>
        </w:tc>
        <w:tc>
          <w:tcPr>
            <w:tcW w:w="1470" w:type="dxa"/>
            <w:gridSpan w:val="5"/>
            <w:tcBorders>
              <w:top w:val="single" w:color="auto" w:sz="4" w:space="0"/>
              <w:left w:val="single" w:color="auto" w:sz="4" w:space="0"/>
              <w:bottom w:val="single" w:color="auto" w:sz="4" w:space="0"/>
              <w:right w:val="single" w:color="auto" w:sz="4" w:space="0"/>
            </w:tcBorders>
          </w:tcPr>
          <w:p>
            <w:pPr>
              <w:spacing w:line="240" w:lineRule="exact"/>
              <w:textAlignment w:val="center"/>
              <w:rPr>
                <w:rFonts w:hint="eastAsia" w:ascii="仿宋_GB2312" w:hAnsi="Arial" w:cs="Arial"/>
                <w:color w:val="000000" w:themeColor="text1"/>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22" w:type="dxa"/>
          <w:trHeight w:val="8225" w:hRule="exact"/>
        </w:trPr>
        <w:tc>
          <w:tcPr>
            <w:tcW w:w="4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sz w:val="20"/>
                <w:szCs w:val="20"/>
              </w:rPr>
            </w:pPr>
            <w:r>
              <w:rPr>
                <w:rFonts w:hint="eastAsia"/>
                <w:sz w:val="20"/>
                <w:szCs w:val="20"/>
              </w:rPr>
              <w:t>4</w:t>
            </w:r>
          </w:p>
        </w:tc>
        <w:tc>
          <w:tcPr>
            <w:tcW w:w="58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sz w:val="20"/>
                <w:szCs w:val="20"/>
              </w:rPr>
            </w:pPr>
            <w:r>
              <w:rPr>
                <w:rFonts w:hint="eastAsia"/>
                <w:sz w:val="20"/>
                <w:szCs w:val="20"/>
              </w:rPr>
              <w:t>行政许可</w:t>
            </w:r>
          </w:p>
        </w:tc>
        <w:tc>
          <w:tcPr>
            <w:tcW w:w="118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港澳居民往来内地通行证换发、补发</w:t>
            </w:r>
          </w:p>
        </w:tc>
        <w:tc>
          <w:tcPr>
            <w:tcW w:w="96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唐山市公安局开平分局出入境管理大队</w:t>
            </w:r>
          </w:p>
        </w:tc>
        <w:tc>
          <w:tcPr>
            <w:tcW w:w="5065"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 xml:space="preserve">《中国公民因私事往来香港地区或者澳门地区的暂行管理办法》 </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 xml:space="preserve">第二十一条 港澳同胞回乡证由持证人保存，有效期10年，在有效期内可以多次使用，超过有效期或者查验页用完的，可以换领新证。申请新证按照本办法第十四条规定办理。     </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第二十三条 港澳同胞来内地，遗失港澳同胞回乡证，应向遗失地的市、县或者交通运输部门的公安机关报失，经公安机关调查属实出具证明，由公安机关出入境管理部门签发一 有效的入出境通行证，凭证返回香港、澳门。港澳同胞无论在香港、澳门或者内地遗失港澳同胞回乡证，均可以按照本办法第十四条规定重新申请领取港澳同胞回乡证。 </w:t>
            </w:r>
          </w:p>
        </w:tc>
        <w:tc>
          <w:tcPr>
            <w:tcW w:w="129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1、受理责任： 公示依法应当提交的材料；一次性告知补正材料；依法受理或不予受理（不予受理的告知理由）。</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2.审查责任：审核申请人是否具备办理港澳居民往来内地通行证换发、补发的法定资格条件，并提出审查意见。</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3.决定责任：作出许可或不予许可的决定（不予许可的书面告知理由）；按时办结；法定告知。</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4.其他法律法规规章文件规定应履行的责任。</w:t>
            </w:r>
          </w:p>
        </w:tc>
        <w:tc>
          <w:tcPr>
            <w:tcW w:w="237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因不履行或不正确履行行政职责，有下列情形的，公安机关及相关工作人员应承担相应责任：</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1、对符合条件的申请不予受理的；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2、未依法说明不受理行政许可申请或者不予行政许可理由的；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3、依法应当公开行政许可事项和申请所需材料而不公开的；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4、无法定依据实施行政许可或者超越法定权限作出行政许可决定的；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5、超过法定期限或者违反法定程序实施行政许可的；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6、在办理行政许可过程中索取或者收受他人财物或者谋取其他利益的；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7、其他违反法律法规规章文件规定的行为。</w:t>
            </w:r>
          </w:p>
        </w:tc>
        <w:tc>
          <w:tcPr>
            <w:tcW w:w="1083" w:type="dxa"/>
            <w:tcBorders>
              <w:top w:val="single" w:color="auto" w:sz="4" w:space="0"/>
              <w:left w:val="single" w:color="auto" w:sz="4" w:space="0"/>
              <w:bottom w:val="single" w:color="auto" w:sz="4" w:space="0"/>
              <w:right w:val="single" w:color="auto" w:sz="4" w:space="0"/>
            </w:tcBorders>
          </w:tcPr>
          <w:p>
            <w:pPr>
              <w:spacing w:line="240" w:lineRule="exact"/>
              <w:textAlignment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8225" w:hRule="exact"/>
        </w:trPr>
        <w:tc>
          <w:tcPr>
            <w:tcW w:w="4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hint="eastAsia"/>
                <w:sz w:val="20"/>
                <w:szCs w:val="20"/>
              </w:rPr>
            </w:pPr>
            <w:r>
              <w:rPr>
                <w:rFonts w:hint="eastAsia"/>
                <w:sz w:val="20"/>
                <w:szCs w:val="20"/>
              </w:rPr>
              <w:t>5</w:t>
            </w:r>
          </w:p>
        </w:tc>
        <w:tc>
          <w:tcPr>
            <w:tcW w:w="589"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sz w:val="20"/>
                <w:szCs w:val="20"/>
              </w:rPr>
            </w:pPr>
            <w:r>
              <w:rPr>
                <w:rFonts w:hint="eastAsia"/>
                <w:sz w:val="20"/>
                <w:szCs w:val="20"/>
              </w:rPr>
              <w:t>行政许可</w:t>
            </w:r>
          </w:p>
        </w:tc>
        <w:tc>
          <w:tcPr>
            <w:tcW w:w="118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sz w:val="20"/>
                <w:szCs w:val="20"/>
              </w:rPr>
            </w:pPr>
            <w:r>
              <w:rPr>
                <w:rFonts w:hint="eastAsia"/>
                <w:sz w:val="20"/>
                <w:szCs w:val="20"/>
              </w:rPr>
              <w:t>台湾居民来往大陆通行证签发</w:t>
            </w:r>
          </w:p>
          <w:p>
            <w:pPr>
              <w:spacing w:line="240" w:lineRule="exact"/>
              <w:rPr>
                <w:rFonts w:hint="eastAsia"/>
                <w:sz w:val="20"/>
                <w:szCs w:val="20"/>
              </w:rPr>
            </w:pPr>
          </w:p>
        </w:tc>
        <w:tc>
          <w:tcPr>
            <w:tcW w:w="96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sz w:val="20"/>
                <w:szCs w:val="20"/>
              </w:rPr>
            </w:pPr>
            <w:r>
              <w:rPr>
                <w:rFonts w:hint="eastAsia"/>
                <w:sz w:val="20"/>
                <w:szCs w:val="20"/>
              </w:rPr>
              <w:t>唐山市公安局开平分局出入境管理大队</w:t>
            </w:r>
          </w:p>
        </w:tc>
        <w:tc>
          <w:tcPr>
            <w:tcW w:w="5065"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rPr>
                <w:sz w:val="20"/>
                <w:szCs w:val="20"/>
              </w:rPr>
            </w:pPr>
            <w:r>
              <w:rPr>
                <w:rFonts w:hint="eastAsia"/>
                <w:sz w:val="20"/>
                <w:szCs w:val="20"/>
              </w:rPr>
              <w:t>《中国公民往来台湾地区管理办法》（1991年12月17日国务院令第93号，2015年6月14日予以修改）第十三条：台湾居民要求来大陆的，向下列有关机关申请办理旅行证件：（一）从台湾地区要求直接来大陆的，向公安部出入境管理局派出的或者委托的有关机构申请；有特殊事由的，也可以向指定口岸的公安机关申请；（二）到香港、澳门地区后要求来大陆的，向公安部出入境管理局派出的机构或者委托的在香港、澳门地区的有关机构申请。    第二十三条：台湾居民来往大陆通行证系指台湾居民来往大陆通行证和其他有效旅行证件。</w:t>
            </w:r>
          </w:p>
          <w:p>
            <w:pPr>
              <w:spacing w:line="240" w:lineRule="exact"/>
              <w:rPr>
                <w:rFonts w:hint="eastAsia"/>
                <w:sz w:val="20"/>
                <w:szCs w:val="20"/>
              </w:rPr>
            </w:pPr>
          </w:p>
        </w:tc>
        <w:tc>
          <w:tcPr>
            <w:tcW w:w="129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sz w:val="20"/>
                <w:szCs w:val="20"/>
              </w:rPr>
            </w:pPr>
            <w:r>
              <w:rPr>
                <w:rFonts w:hint="eastAsia"/>
                <w:sz w:val="20"/>
                <w:szCs w:val="20"/>
              </w:rPr>
              <w:t>1、受理责任： 公示依法应当提交的材料；一次性告知补正材料；依法受理或不予受理（不予受理的告知理由）。</w:t>
            </w:r>
            <w:r>
              <w:rPr>
                <w:rFonts w:hint="eastAsia"/>
                <w:sz w:val="20"/>
                <w:szCs w:val="20"/>
              </w:rPr>
              <w:br w:type="textWrapping"/>
            </w:r>
            <w:r>
              <w:rPr>
                <w:rFonts w:hint="eastAsia"/>
                <w:sz w:val="20"/>
                <w:szCs w:val="20"/>
              </w:rPr>
              <w:t>2.审查责任：审核申请人是否具备办理台湾居民来往大陆签注的法定资格条件，并提出审查意见。</w:t>
            </w:r>
            <w:r>
              <w:rPr>
                <w:rFonts w:hint="eastAsia"/>
                <w:sz w:val="20"/>
                <w:szCs w:val="20"/>
              </w:rPr>
              <w:br w:type="textWrapping"/>
            </w:r>
            <w:r>
              <w:rPr>
                <w:rFonts w:hint="eastAsia"/>
                <w:sz w:val="20"/>
                <w:szCs w:val="20"/>
              </w:rPr>
              <w:t>3.决定责任：作出许可或不予许可的决定（不予许可的书面告知理由）；按时办结；法定告知。</w:t>
            </w:r>
            <w:r>
              <w:rPr>
                <w:rFonts w:hint="eastAsia"/>
                <w:sz w:val="20"/>
                <w:szCs w:val="20"/>
              </w:rPr>
              <w:br w:type="textWrapping"/>
            </w:r>
            <w:r>
              <w:rPr>
                <w:rFonts w:hint="eastAsia"/>
                <w:sz w:val="20"/>
                <w:szCs w:val="20"/>
              </w:rPr>
              <w:t>4.其他法律法规规章文件规定应履行的责任。</w:t>
            </w:r>
          </w:p>
        </w:tc>
        <w:tc>
          <w:tcPr>
            <w:tcW w:w="237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sz w:val="20"/>
                <w:szCs w:val="20"/>
              </w:rPr>
            </w:pPr>
            <w:r>
              <w:rPr>
                <w:rFonts w:hint="eastAsia"/>
                <w:sz w:val="20"/>
                <w:szCs w:val="20"/>
              </w:rPr>
              <w:t>因不履行或不正确履行行政职责，有下列情形的，公安机关及相关工作人员应承担相应责任：</w:t>
            </w:r>
            <w:r>
              <w:rPr>
                <w:rFonts w:hint="eastAsia"/>
                <w:sz w:val="20"/>
                <w:szCs w:val="20"/>
              </w:rPr>
              <w:br w:type="textWrapping"/>
            </w:r>
            <w:r>
              <w:rPr>
                <w:rFonts w:hint="eastAsia"/>
                <w:sz w:val="20"/>
                <w:szCs w:val="20"/>
              </w:rPr>
              <w:t>1、对符合因私出境条件的申请不予受理的；</w:t>
            </w:r>
            <w:r>
              <w:rPr>
                <w:rFonts w:hint="eastAsia"/>
                <w:sz w:val="20"/>
                <w:szCs w:val="20"/>
              </w:rPr>
              <w:br w:type="textWrapping"/>
            </w:r>
            <w:r>
              <w:rPr>
                <w:rFonts w:hint="eastAsia"/>
                <w:sz w:val="20"/>
                <w:szCs w:val="20"/>
              </w:rPr>
              <w:t>2、未依法说明不受理行政许可申请或者不予行政许可理由的；</w:t>
            </w:r>
            <w:r>
              <w:rPr>
                <w:rFonts w:hint="eastAsia"/>
                <w:sz w:val="20"/>
                <w:szCs w:val="20"/>
              </w:rPr>
              <w:br w:type="textWrapping"/>
            </w:r>
            <w:r>
              <w:rPr>
                <w:rFonts w:hint="eastAsia"/>
                <w:sz w:val="20"/>
                <w:szCs w:val="20"/>
              </w:rPr>
              <w:t>3、依法应当公开行政许可事项和申请所需材料而不公开的；</w:t>
            </w:r>
            <w:r>
              <w:rPr>
                <w:rFonts w:hint="eastAsia"/>
                <w:sz w:val="20"/>
                <w:szCs w:val="20"/>
              </w:rPr>
              <w:br w:type="textWrapping"/>
            </w:r>
            <w:r>
              <w:rPr>
                <w:rFonts w:hint="eastAsia"/>
                <w:sz w:val="20"/>
                <w:szCs w:val="20"/>
              </w:rPr>
              <w:t>4、无法定依据实施行政许可或者超越法定权限作出行政许可决定的；</w:t>
            </w:r>
            <w:r>
              <w:rPr>
                <w:rFonts w:hint="eastAsia"/>
                <w:sz w:val="20"/>
                <w:szCs w:val="20"/>
              </w:rPr>
              <w:br w:type="textWrapping"/>
            </w:r>
            <w:r>
              <w:rPr>
                <w:rFonts w:hint="eastAsia"/>
                <w:sz w:val="20"/>
                <w:szCs w:val="20"/>
              </w:rPr>
              <w:t>5、超过法定期限或者违反法定程序实施行政许可的；</w:t>
            </w:r>
            <w:r>
              <w:rPr>
                <w:rFonts w:hint="eastAsia"/>
                <w:sz w:val="20"/>
                <w:szCs w:val="20"/>
              </w:rPr>
              <w:br w:type="textWrapping"/>
            </w:r>
            <w:r>
              <w:rPr>
                <w:rFonts w:hint="eastAsia"/>
                <w:sz w:val="20"/>
                <w:szCs w:val="20"/>
              </w:rPr>
              <w:t>6、在办理行政许可过程中索取或者收受他人财物或者谋取其他利益的；</w:t>
            </w:r>
            <w:r>
              <w:rPr>
                <w:rFonts w:hint="eastAsia"/>
                <w:sz w:val="20"/>
                <w:szCs w:val="20"/>
              </w:rPr>
              <w:br w:type="textWrapping"/>
            </w:r>
            <w:r>
              <w:rPr>
                <w:rFonts w:hint="eastAsia"/>
                <w:sz w:val="20"/>
                <w:szCs w:val="20"/>
              </w:rPr>
              <w:t>7、其他违反法律法规规章文件规定的行为.</w:t>
            </w:r>
          </w:p>
          <w:p>
            <w:pPr>
              <w:spacing w:line="240" w:lineRule="exact"/>
              <w:rPr>
                <w:rFonts w:hint="eastAsia"/>
                <w:sz w:val="20"/>
                <w:szCs w:val="20"/>
              </w:rPr>
            </w:pPr>
          </w:p>
        </w:tc>
        <w:tc>
          <w:tcPr>
            <w:tcW w:w="109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8225" w:hRule="exact"/>
        </w:trPr>
        <w:tc>
          <w:tcPr>
            <w:tcW w:w="4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hint="eastAsia"/>
                <w:sz w:val="20"/>
                <w:szCs w:val="20"/>
              </w:rPr>
            </w:pPr>
            <w:r>
              <w:rPr>
                <w:rFonts w:hint="eastAsia"/>
                <w:sz w:val="20"/>
                <w:szCs w:val="20"/>
              </w:rPr>
              <w:t>6</w:t>
            </w:r>
          </w:p>
        </w:tc>
        <w:tc>
          <w:tcPr>
            <w:tcW w:w="589"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sz w:val="20"/>
                <w:szCs w:val="20"/>
              </w:rPr>
            </w:pPr>
            <w:r>
              <w:rPr>
                <w:rFonts w:hint="eastAsia"/>
                <w:sz w:val="20"/>
                <w:szCs w:val="20"/>
              </w:rPr>
              <w:t>行政许可</w:t>
            </w:r>
          </w:p>
        </w:tc>
        <w:tc>
          <w:tcPr>
            <w:tcW w:w="118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sz w:val="20"/>
                <w:szCs w:val="20"/>
              </w:rPr>
            </w:pPr>
            <w:r>
              <w:rPr>
                <w:rFonts w:hint="eastAsia"/>
                <w:sz w:val="20"/>
                <w:szCs w:val="20"/>
              </w:rPr>
              <w:t>出入境通行证签发</w:t>
            </w:r>
          </w:p>
        </w:tc>
        <w:tc>
          <w:tcPr>
            <w:tcW w:w="96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sz w:val="20"/>
                <w:szCs w:val="20"/>
              </w:rPr>
            </w:pPr>
            <w:r>
              <w:rPr>
                <w:rFonts w:hint="eastAsia"/>
                <w:sz w:val="20"/>
                <w:szCs w:val="20"/>
              </w:rPr>
              <w:t>唐山市公安局开平分局出入境管理大队</w:t>
            </w:r>
          </w:p>
        </w:tc>
        <w:tc>
          <w:tcPr>
            <w:tcW w:w="5065"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rPr>
                <w:sz w:val="20"/>
                <w:szCs w:val="20"/>
              </w:rPr>
            </w:pPr>
            <w:r>
              <w:rPr>
                <w:rFonts w:hint="eastAsia"/>
                <w:sz w:val="20"/>
                <w:szCs w:val="20"/>
              </w:rPr>
              <w:t>1.《中华人民共和国护照法》(2006年4月29日主席令第50号)第二十四条：公民从事边境贸易、边境旅游服务或者参加边境旅游等情形，可以向公安部委托的县级以上地方人民政府公安机关出入境管理机构申请中华人民共和国出入境通行证。</w:t>
            </w:r>
            <w:r>
              <w:rPr>
                <w:rFonts w:hint="eastAsia"/>
                <w:sz w:val="20"/>
                <w:szCs w:val="20"/>
              </w:rPr>
              <w:br w:type="textWrapping"/>
            </w:r>
            <w:r>
              <w:rPr>
                <w:rFonts w:hint="eastAsia"/>
                <w:sz w:val="20"/>
                <w:szCs w:val="20"/>
              </w:rPr>
              <w:t>2.《中国公民因私事往来香港地区或者澳门地区的暂行管理办法》（1986年12月3日国务院批准，1986年12月25日公安部公布）第十四条：不经常来内地的港澳同胞，可申请领取人出境通行证。申领办法与申领港澳同胞回乡证相同。</w:t>
            </w:r>
            <w:r>
              <w:rPr>
                <w:rFonts w:hint="eastAsia"/>
                <w:sz w:val="20"/>
                <w:szCs w:val="20"/>
              </w:rPr>
              <w:br w:type="textWrapping"/>
            </w:r>
            <w:r>
              <w:rPr>
                <w:rFonts w:hint="eastAsia"/>
                <w:sz w:val="20"/>
                <w:szCs w:val="20"/>
              </w:rPr>
              <w:t>第二十三条：港澳同胞来内地，遗失港澳同胞回乡证，应向遗失地的市、县或者交通运输部门的公安机关报失，经公安机关调查属实出具证明，由公安机关出入境管理部门签发一次性有效的入出境通行证，凭证返回香港、澳门。</w:t>
            </w:r>
          </w:p>
        </w:tc>
        <w:tc>
          <w:tcPr>
            <w:tcW w:w="129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rPr>
                <w:sz w:val="20"/>
                <w:szCs w:val="20"/>
              </w:rPr>
            </w:pPr>
            <w:r>
              <w:rPr>
                <w:rFonts w:hint="eastAsia"/>
                <w:sz w:val="20"/>
                <w:szCs w:val="20"/>
              </w:rPr>
              <w:t>1、受理责任： 公示依法应当提交的材料；一次性告知补正材料；依法受理或不予受理。</w:t>
            </w:r>
            <w:r>
              <w:rPr>
                <w:rFonts w:hint="eastAsia"/>
                <w:sz w:val="20"/>
                <w:szCs w:val="20"/>
              </w:rPr>
              <w:br w:type="textWrapping"/>
            </w:r>
            <w:r>
              <w:rPr>
                <w:rFonts w:hint="eastAsia"/>
                <w:sz w:val="20"/>
                <w:szCs w:val="20"/>
              </w:rPr>
              <w:t>2.审查责任：审核申请人是否具备办理出入境通行证的法定资格条件，并提出审查意见。</w:t>
            </w:r>
            <w:r>
              <w:rPr>
                <w:rFonts w:hint="eastAsia"/>
                <w:sz w:val="20"/>
                <w:szCs w:val="20"/>
              </w:rPr>
              <w:br w:type="textWrapping"/>
            </w:r>
            <w:r>
              <w:rPr>
                <w:rFonts w:hint="eastAsia"/>
                <w:sz w:val="20"/>
                <w:szCs w:val="20"/>
              </w:rPr>
              <w:t>3.决定责任：作出许可或不予许可的决定；按时办结；法定告知。</w:t>
            </w:r>
            <w:r>
              <w:rPr>
                <w:rFonts w:hint="eastAsia"/>
                <w:sz w:val="20"/>
                <w:szCs w:val="20"/>
              </w:rPr>
              <w:br w:type="textWrapping"/>
            </w:r>
            <w:r>
              <w:rPr>
                <w:rFonts w:hint="eastAsia"/>
                <w:sz w:val="20"/>
                <w:szCs w:val="20"/>
              </w:rPr>
              <w:t>4.其他法律法规规章文件规定应履行的责任。</w:t>
            </w:r>
          </w:p>
        </w:tc>
        <w:tc>
          <w:tcPr>
            <w:tcW w:w="2370"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rPr>
                <w:sz w:val="20"/>
                <w:szCs w:val="20"/>
              </w:rPr>
            </w:pPr>
            <w:r>
              <w:rPr>
                <w:rFonts w:hint="eastAsia"/>
                <w:sz w:val="20"/>
                <w:szCs w:val="20"/>
              </w:rPr>
              <w:t>因不履行或不正确履行行政职责，有下列情形的，公安机关及相关工作人员应承担相应责任：</w:t>
            </w:r>
            <w:r>
              <w:rPr>
                <w:rFonts w:hint="eastAsia"/>
                <w:sz w:val="20"/>
                <w:szCs w:val="20"/>
              </w:rPr>
              <w:br w:type="textWrapping"/>
            </w:r>
            <w:r>
              <w:rPr>
                <w:rFonts w:hint="eastAsia"/>
                <w:sz w:val="20"/>
                <w:szCs w:val="20"/>
              </w:rPr>
              <w:t>1、对符合出入境通行证条件的申请不予受理的；</w:t>
            </w:r>
            <w:r>
              <w:rPr>
                <w:rFonts w:hint="eastAsia"/>
                <w:sz w:val="20"/>
                <w:szCs w:val="20"/>
              </w:rPr>
              <w:br w:type="textWrapping"/>
            </w:r>
            <w:r>
              <w:rPr>
                <w:rFonts w:hint="eastAsia"/>
                <w:sz w:val="20"/>
                <w:szCs w:val="20"/>
              </w:rPr>
              <w:t>2、违反规定，为不符合条件的办理证件的；</w:t>
            </w:r>
            <w:r>
              <w:rPr>
                <w:rFonts w:hint="eastAsia"/>
                <w:sz w:val="20"/>
                <w:szCs w:val="20"/>
              </w:rPr>
              <w:br w:type="textWrapping"/>
            </w:r>
            <w:r>
              <w:rPr>
                <w:rFonts w:hint="eastAsia"/>
                <w:sz w:val="20"/>
                <w:szCs w:val="20"/>
              </w:rPr>
              <w:t>3、依法应当公开行政审批事项和申请所需材料而不公开的；</w:t>
            </w:r>
            <w:r>
              <w:rPr>
                <w:rFonts w:hint="eastAsia"/>
                <w:sz w:val="20"/>
                <w:szCs w:val="20"/>
              </w:rPr>
              <w:br w:type="textWrapping"/>
            </w:r>
            <w:r>
              <w:rPr>
                <w:rFonts w:hint="eastAsia"/>
                <w:sz w:val="20"/>
                <w:szCs w:val="20"/>
              </w:rPr>
              <w:t>4、无法定依据实施行政审批或者超越法定权限作出行政审批决定的；</w:t>
            </w:r>
            <w:r>
              <w:rPr>
                <w:rFonts w:hint="eastAsia"/>
                <w:sz w:val="20"/>
                <w:szCs w:val="20"/>
              </w:rPr>
              <w:br w:type="textWrapping"/>
            </w:r>
            <w:r>
              <w:rPr>
                <w:rFonts w:hint="eastAsia"/>
                <w:sz w:val="20"/>
                <w:szCs w:val="20"/>
              </w:rPr>
              <w:t>5、超过法定期限或者违反法定程序实施行政审批的；</w:t>
            </w:r>
            <w:r>
              <w:rPr>
                <w:rFonts w:hint="eastAsia"/>
                <w:sz w:val="20"/>
                <w:szCs w:val="20"/>
              </w:rPr>
              <w:br w:type="textWrapping"/>
            </w:r>
            <w:r>
              <w:rPr>
                <w:rFonts w:hint="eastAsia"/>
                <w:sz w:val="20"/>
                <w:szCs w:val="20"/>
              </w:rPr>
              <w:t xml:space="preserve">6、在办理行政审批、实施监督检查中索取或者收受他人财物或者谋取其他利益的；                     </w:t>
            </w:r>
            <w:r>
              <w:rPr>
                <w:rFonts w:hint="eastAsia"/>
                <w:sz w:val="20"/>
                <w:szCs w:val="20"/>
              </w:rPr>
              <w:br w:type="textWrapping"/>
            </w:r>
            <w:r>
              <w:rPr>
                <w:rFonts w:hint="eastAsia"/>
                <w:sz w:val="20"/>
                <w:szCs w:val="20"/>
              </w:rPr>
              <w:t>7、其他违反法律法规规章文件规定的行为。</w:t>
            </w:r>
          </w:p>
        </w:tc>
        <w:tc>
          <w:tcPr>
            <w:tcW w:w="109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8225" w:hRule="exact"/>
        </w:trPr>
        <w:tc>
          <w:tcPr>
            <w:tcW w:w="456" w:type="dxa"/>
            <w:vAlign w:val="center"/>
          </w:tcPr>
          <w:p>
            <w:pPr>
              <w:spacing w:line="240" w:lineRule="exact"/>
              <w:jc w:val="center"/>
              <w:textAlignment w:val="center"/>
              <w:rPr>
                <w:rFonts w:hint="eastAsia" w:eastAsia="仿宋_GB2312"/>
                <w:sz w:val="20"/>
                <w:szCs w:val="20"/>
                <w:lang w:eastAsia="zh-CN"/>
              </w:rPr>
            </w:pPr>
            <w:r>
              <w:rPr>
                <w:rFonts w:hint="eastAsia"/>
                <w:sz w:val="20"/>
                <w:szCs w:val="20"/>
                <w:lang w:val="en-US" w:eastAsia="zh-CN"/>
              </w:rPr>
              <w:t>7</w:t>
            </w:r>
          </w:p>
        </w:tc>
        <w:tc>
          <w:tcPr>
            <w:tcW w:w="1428" w:type="dxa"/>
            <w:gridSpan w:val="2"/>
            <w:vAlign w:val="center"/>
          </w:tcPr>
          <w:p>
            <w:pPr>
              <w:widowControl/>
              <w:tabs>
                <w:tab w:val="left" w:pos="492"/>
              </w:tabs>
              <w:spacing w:line="240" w:lineRule="exact"/>
              <w:rPr>
                <w:sz w:val="20"/>
                <w:szCs w:val="20"/>
              </w:rPr>
            </w:pPr>
            <w:r>
              <w:rPr>
                <w:rFonts w:hint="eastAsia"/>
                <w:sz w:val="20"/>
                <w:szCs w:val="20"/>
              </w:rPr>
              <w:t>行政许可</w:t>
            </w:r>
          </w:p>
        </w:tc>
        <w:tc>
          <w:tcPr>
            <w:tcW w:w="1825" w:type="dxa"/>
            <w:gridSpan w:val="6"/>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爆破作业许可</w:t>
            </w:r>
          </w:p>
        </w:tc>
        <w:tc>
          <w:tcPr>
            <w:tcW w:w="1163" w:type="dxa"/>
            <w:gridSpan w:val="2"/>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唐山市公安局开平分局治安大队</w:t>
            </w:r>
          </w:p>
        </w:tc>
        <w:tc>
          <w:tcPr>
            <w:tcW w:w="3392" w:type="dxa"/>
            <w:gridSpan w:val="3"/>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w:t>
            </w:r>
            <w:r>
              <w:rPr>
                <w:rFonts w:hint="eastAsia" w:ascii="仿宋_GB2312" w:hAnsi="Arial" w:cs="Arial"/>
                <w:color w:val="000000" w:themeColor="text1"/>
                <w:kern w:val="0"/>
                <w:sz w:val="13"/>
                <w:szCs w:val="13"/>
                <w:lang w:eastAsia="zh-CN"/>
              </w:rPr>
              <w:t>民用爆炸物品安全管理条例</w:t>
            </w:r>
            <w:r>
              <w:rPr>
                <w:rFonts w:hint="eastAsia" w:ascii="仿宋_GB2312" w:hAnsi="Arial" w:cs="Arial"/>
                <w:color w:val="000000" w:themeColor="text1"/>
                <w:kern w:val="0"/>
                <w:sz w:val="13"/>
                <w:szCs w:val="13"/>
              </w:rPr>
              <w:t>》《河北省民用爆破器材管理暂行办法》河北省公安厅关于贯彻执行《河北省民用爆炸物品安全管理实施办法》有关问题的通知</w:t>
            </w:r>
          </w:p>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河北省民用爆炸物品安全管理实施办法</w:t>
            </w:r>
          </w:p>
        </w:tc>
        <w:tc>
          <w:tcPr>
            <w:tcW w:w="988" w:type="dxa"/>
            <w:gridSpan w:val="2"/>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1、受理责任： 依法应当提交的材料；一次性告知补正材料；依法受理或不予受理（不予受理的告知理由）。</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2、审查责任：对纸质申报材料进行审核，提出初审意见。</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3、决定责任：作出行政许可或者不予行政许可的决定（不予许可的告知理由）；按时办结；法定告知。</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4、送达责任：制发爆破作业单位许可证；信息公开。</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5、事后监管责任：对实施阶段定时检查。发现问题及时整改或作暂停处理。必要时收缴许可。</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6、其他法律法规规章文件规定应履行的责任。</w:t>
            </w:r>
          </w:p>
        </w:tc>
        <w:tc>
          <w:tcPr>
            <w:tcW w:w="2249" w:type="dxa"/>
            <w:gridSpan w:val="4"/>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因不履行或不正确履行行政职责，有下列情形的，公安机关及相关工作人员应承担相应责任：</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1、对符合爆破作业单位许可证条件的申请不予受理的；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2、未依法说明不受理行政许可申请或者不予行政许可理由的；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3、依法应当公开行政许可事项和申请所需材料而不公开的；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4、无法定依据实施行政许可或者超越法定权限作出行政许可决定的；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 xml:space="preserve">5、行政许可后续监管不到位，造成严重后果的；                 </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6、其他违反法律法规规章文件规定的行为。</w:t>
            </w:r>
          </w:p>
        </w:tc>
        <w:tc>
          <w:tcPr>
            <w:tcW w:w="1525" w:type="dxa"/>
            <w:gridSpan w:val="3"/>
          </w:tcPr>
          <w:p>
            <w:pPr>
              <w:widowControl/>
              <w:tabs>
                <w:tab w:val="left" w:pos="492"/>
              </w:tabs>
              <w:spacing w:line="240" w:lineRule="exact"/>
              <w:rPr>
                <w:rFonts w:hint="eastAsia" w:ascii="仿宋_GB2312" w:hAnsi="Arial" w:cs="Arial"/>
                <w:color w:val="000000" w:themeColor="text1"/>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8509" w:hRule="exact"/>
        </w:trPr>
        <w:tc>
          <w:tcPr>
            <w:tcW w:w="456" w:type="dxa"/>
            <w:vAlign w:val="center"/>
          </w:tcPr>
          <w:p>
            <w:pPr>
              <w:spacing w:line="240" w:lineRule="exact"/>
              <w:jc w:val="center"/>
              <w:textAlignment w:val="center"/>
              <w:rPr>
                <w:rFonts w:hint="eastAsia" w:eastAsia="仿宋_GB2312"/>
                <w:sz w:val="20"/>
                <w:szCs w:val="20"/>
                <w:lang w:eastAsia="zh-CN"/>
              </w:rPr>
            </w:pPr>
            <w:r>
              <w:rPr>
                <w:rFonts w:hint="eastAsia"/>
                <w:sz w:val="20"/>
                <w:szCs w:val="20"/>
                <w:lang w:val="en-US" w:eastAsia="zh-CN"/>
              </w:rPr>
              <w:t>8</w:t>
            </w:r>
          </w:p>
        </w:tc>
        <w:tc>
          <w:tcPr>
            <w:tcW w:w="1428" w:type="dxa"/>
            <w:gridSpan w:val="2"/>
            <w:vAlign w:val="center"/>
          </w:tcPr>
          <w:p>
            <w:pPr>
              <w:widowControl/>
              <w:tabs>
                <w:tab w:val="left" w:pos="492"/>
              </w:tabs>
              <w:spacing w:line="240" w:lineRule="exact"/>
              <w:rPr>
                <w:sz w:val="20"/>
                <w:szCs w:val="20"/>
              </w:rPr>
            </w:pPr>
            <w:r>
              <w:rPr>
                <w:rFonts w:hint="eastAsia"/>
                <w:sz w:val="20"/>
                <w:szCs w:val="20"/>
              </w:rPr>
              <w:t>行政许可</w:t>
            </w:r>
          </w:p>
        </w:tc>
        <w:tc>
          <w:tcPr>
            <w:tcW w:w="1825" w:type="dxa"/>
            <w:gridSpan w:val="6"/>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民用爆炸物品购买许可</w:t>
            </w:r>
          </w:p>
        </w:tc>
        <w:tc>
          <w:tcPr>
            <w:tcW w:w="1163" w:type="dxa"/>
            <w:gridSpan w:val="2"/>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唐山公安局开平分局治安大队</w:t>
            </w:r>
          </w:p>
        </w:tc>
        <w:tc>
          <w:tcPr>
            <w:tcW w:w="3392" w:type="dxa"/>
            <w:gridSpan w:val="3"/>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《民用爆炸物品安全管理条例》（2006年5月10日国务院令第466号，2014年7月29日予以修改）第三条：国家对民用爆炸物品的生产、销售、购买、运输和爆破作业实行许可证制度。&lt;/br&gt;    第二十一条：民用爆炸物品使用单位申请购买民用爆炸物品的，应当向所在地县级人民政府公安机关提出购买申请。</w:t>
            </w:r>
          </w:p>
        </w:tc>
        <w:tc>
          <w:tcPr>
            <w:tcW w:w="988" w:type="dxa"/>
            <w:gridSpan w:val="2"/>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1、受理责任： 依法应当提交的材料；一次性告知补正材料；依法受理或不予受理（不予受理的告知理由）。</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2、审查责任：对纸质申报材料进行审核，提出初审意见。</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3、决定责任：作出行政许可或者不予行政许可的决定（不予许可的告知理由）；按时办结；法定告知。</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4、送达责任：制发爆破作业人员许可证；信息公开。</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5、事后监管责任：对实施阶段定时检查。发现问题及时整改或作暂停处理。必要时收缴许可。</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6、其他法律法规规章文件规定应履行的责任。</w:t>
            </w:r>
          </w:p>
        </w:tc>
        <w:tc>
          <w:tcPr>
            <w:tcW w:w="2249" w:type="dxa"/>
            <w:gridSpan w:val="4"/>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因不履行或不正确履行行政职责，有下列情形的，公安机关及相关工作人员应承担相应责任：</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1、对符合爆破作业单位许可证条件的申请不予受理的；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2、未依法说明不受理行政许可申请或者不予行政许可理由的；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3、依法应当公开行政许可事项和申请所需材料而不公开的；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4、无法定依据实施行政许可或者超越法定权限作出行政许可决定的；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 xml:space="preserve">5、行政许可后续监管不到位，造成严重后果的；                 </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6、其他违反法律法规规章文件规定的行为。</w:t>
            </w:r>
          </w:p>
        </w:tc>
        <w:tc>
          <w:tcPr>
            <w:tcW w:w="1525" w:type="dxa"/>
            <w:gridSpan w:val="3"/>
          </w:tcPr>
          <w:p>
            <w:pPr>
              <w:widowControl/>
              <w:tabs>
                <w:tab w:val="left" w:pos="492"/>
              </w:tabs>
              <w:spacing w:line="240" w:lineRule="exact"/>
              <w:rPr>
                <w:rFonts w:hint="eastAsia" w:ascii="仿宋_GB2312" w:hAnsi="Arial" w:cs="Arial"/>
                <w:color w:val="000000" w:themeColor="text1"/>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8509" w:hRule="exact"/>
        </w:trPr>
        <w:tc>
          <w:tcPr>
            <w:tcW w:w="456" w:type="dxa"/>
            <w:vAlign w:val="center"/>
          </w:tcPr>
          <w:p>
            <w:pPr>
              <w:spacing w:line="240" w:lineRule="exact"/>
              <w:jc w:val="center"/>
              <w:textAlignment w:val="center"/>
              <w:rPr>
                <w:rFonts w:hint="eastAsia" w:eastAsia="仿宋_GB2312"/>
                <w:sz w:val="20"/>
                <w:szCs w:val="20"/>
                <w:lang w:eastAsia="zh-CN"/>
              </w:rPr>
            </w:pPr>
            <w:r>
              <w:rPr>
                <w:rFonts w:hint="eastAsia"/>
                <w:sz w:val="20"/>
                <w:szCs w:val="20"/>
                <w:lang w:val="en-US" w:eastAsia="zh-CN"/>
              </w:rPr>
              <w:t>9</w:t>
            </w:r>
          </w:p>
        </w:tc>
        <w:tc>
          <w:tcPr>
            <w:tcW w:w="1428" w:type="dxa"/>
            <w:gridSpan w:val="2"/>
            <w:vAlign w:val="center"/>
          </w:tcPr>
          <w:p>
            <w:pPr>
              <w:widowControl/>
              <w:tabs>
                <w:tab w:val="left" w:pos="492"/>
              </w:tabs>
              <w:spacing w:line="240" w:lineRule="exact"/>
              <w:rPr>
                <w:sz w:val="20"/>
                <w:szCs w:val="20"/>
              </w:rPr>
            </w:pPr>
            <w:r>
              <w:rPr>
                <w:rFonts w:hint="eastAsia"/>
                <w:sz w:val="20"/>
                <w:szCs w:val="20"/>
              </w:rPr>
              <w:t>行政许可</w:t>
            </w:r>
          </w:p>
        </w:tc>
        <w:tc>
          <w:tcPr>
            <w:tcW w:w="1825" w:type="dxa"/>
            <w:gridSpan w:val="6"/>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民用爆炸物品运输许可</w:t>
            </w:r>
          </w:p>
        </w:tc>
        <w:tc>
          <w:tcPr>
            <w:tcW w:w="1163" w:type="dxa"/>
            <w:gridSpan w:val="2"/>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唐山公安局开平分局治安大队</w:t>
            </w:r>
          </w:p>
        </w:tc>
        <w:tc>
          <w:tcPr>
            <w:tcW w:w="3392" w:type="dxa"/>
            <w:gridSpan w:val="3"/>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《民用爆炸物品安全管理条例》（2006年5月10日国务院令第466号，2014年7月29日予以修改）第三条：国家对民用爆炸物品的生产、销售、购买、运输和爆破作业实行许可证制度。&lt;/br&gt;    第二十六条：运输民用爆炸物品，收货单位应当向运达地县级人民政府公安机关提出申请。</w:t>
            </w:r>
          </w:p>
        </w:tc>
        <w:tc>
          <w:tcPr>
            <w:tcW w:w="988" w:type="dxa"/>
            <w:gridSpan w:val="2"/>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1、受理责任： 依法应当提交的材料；一次性告知补正材料；依法受理或不予受理（不予受理的告知理由）。</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2、审查责任：对纸质申报材料进行审核，提出初审意见。</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3、决定责任：作出行政许可或者不予行政许可的决定（不予许可的告知理由）；按时办结；法定告知。</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4、送达责任：制发爆破作业人员许可证；信息公开。</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5、事后监管责任：对实施阶段定时检查。发现问题及时整改或作暂停处理。必要时收缴许可。</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6、其他法律法规规章文件规定应履行的责任。</w:t>
            </w:r>
          </w:p>
        </w:tc>
        <w:tc>
          <w:tcPr>
            <w:tcW w:w="2249" w:type="dxa"/>
            <w:gridSpan w:val="4"/>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因不履行或不正确履行行政职责，有下列情形的，公安机关及相关工作人员应承担相应责任：</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1、对符合爆破作业单位许可证条件的申请不予受理的；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2、未依法说明不受理行政许可申请或者不予行政许可理由的；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3、依法应当公开行政许可事项和申请所需材料而不公开的；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4、无法定依据实施行政许可或者超越法定权限作出行政许可决定的；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 xml:space="preserve">5、行政许可后续监管不到位，造成严重后果的；                 </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6、其他违反法律法规规章文件规定的行为。</w:t>
            </w:r>
          </w:p>
        </w:tc>
        <w:tc>
          <w:tcPr>
            <w:tcW w:w="1525" w:type="dxa"/>
            <w:gridSpan w:val="3"/>
          </w:tcPr>
          <w:p>
            <w:pPr>
              <w:widowControl/>
              <w:tabs>
                <w:tab w:val="left" w:pos="492"/>
              </w:tabs>
              <w:spacing w:line="240" w:lineRule="exact"/>
              <w:rPr>
                <w:rFonts w:hint="eastAsia" w:ascii="仿宋_GB2312" w:hAnsi="Arial" w:cs="Arial"/>
                <w:color w:val="000000" w:themeColor="text1"/>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8225" w:hRule="exact"/>
        </w:trPr>
        <w:tc>
          <w:tcPr>
            <w:tcW w:w="456" w:type="dxa"/>
            <w:vAlign w:val="center"/>
          </w:tcPr>
          <w:p>
            <w:pPr>
              <w:spacing w:line="240" w:lineRule="exact"/>
              <w:jc w:val="center"/>
              <w:textAlignment w:val="center"/>
              <w:rPr>
                <w:rFonts w:hint="default" w:eastAsia="仿宋_GB2312"/>
                <w:sz w:val="20"/>
                <w:szCs w:val="20"/>
                <w:lang w:val="en-US" w:eastAsia="zh-CN"/>
              </w:rPr>
            </w:pPr>
            <w:r>
              <w:rPr>
                <w:rFonts w:hint="eastAsia"/>
                <w:sz w:val="20"/>
                <w:szCs w:val="20"/>
                <w:lang w:val="en-US" w:eastAsia="zh-CN"/>
              </w:rPr>
              <w:t>10</w:t>
            </w:r>
          </w:p>
        </w:tc>
        <w:tc>
          <w:tcPr>
            <w:tcW w:w="1428" w:type="dxa"/>
            <w:gridSpan w:val="2"/>
            <w:vAlign w:val="center"/>
          </w:tcPr>
          <w:p>
            <w:pPr>
              <w:widowControl/>
              <w:tabs>
                <w:tab w:val="left" w:pos="492"/>
              </w:tabs>
              <w:spacing w:line="240" w:lineRule="exact"/>
              <w:rPr>
                <w:sz w:val="20"/>
                <w:szCs w:val="20"/>
              </w:rPr>
            </w:pPr>
            <w:r>
              <w:rPr>
                <w:rFonts w:hint="eastAsia"/>
                <w:sz w:val="20"/>
                <w:szCs w:val="20"/>
              </w:rPr>
              <w:t>行政许可</w:t>
            </w:r>
          </w:p>
        </w:tc>
        <w:tc>
          <w:tcPr>
            <w:tcW w:w="1825" w:type="dxa"/>
            <w:gridSpan w:val="6"/>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大型群众性活动安全许可</w:t>
            </w:r>
          </w:p>
        </w:tc>
        <w:tc>
          <w:tcPr>
            <w:tcW w:w="1163" w:type="dxa"/>
            <w:gridSpan w:val="2"/>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唐山市公安局开平分局治安大队</w:t>
            </w:r>
          </w:p>
        </w:tc>
        <w:tc>
          <w:tcPr>
            <w:tcW w:w="3392" w:type="dxa"/>
            <w:gridSpan w:val="3"/>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《大型群众性活动安全管理条例》（2007年9月14日国务院令第505号）、《河北省大型群众性活动安全管理办法》（河北省人民政府令第2号 ）</w:t>
            </w:r>
          </w:p>
        </w:tc>
        <w:tc>
          <w:tcPr>
            <w:tcW w:w="988" w:type="dxa"/>
            <w:gridSpan w:val="2"/>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1、受理责任： 依法应当提交的材料；一次性告知补正材料；依法受理或不予受理（不予受理的告知理由）。</w:t>
            </w:r>
          </w:p>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2、审查责任：对纸质申报材料进行审核，提出初审意见。</w:t>
            </w:r>
          </w:p>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3、决定责任：作出行政许可或者不予行政许可的决定（不予许可的告知理由）；按时办结；法定告知。</w:t>
            </w:r>
          </w:p>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4、送达责任：在受理日期的第四日内将许可或不许可决定书面通知；信息公开。</w:t>
            </w:r>
          </w:p>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5、事后监管责任：对实施阶段定时检查。发现问题及时整改或作暂停处理。必要时收缴许可。</w:t>
            </w:r>
          </w:p>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6、其他法律法规规章文件规定应履行的责任。</w:t>
            </w:r>
          </w:p>
        </w:tc>
        <w:tc>
          <w:tcPr>
            <w:tcW w:w="2249" w:type="dxa"/>
            <w:gridSpan w:val="4"/>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因不履行或不正确履行行政职责，有下列情形的，公安机关及相关工作人员应承担相应责任：</w:t>
            </w:r>
          </w:p>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1、对符合5000人以上大型群众性活动安全许可条件的申请不予受理的；</w:t>
            </w:r>
          </w:p>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2、未依法说明不受理行政许可申请或者不予行政许可理由的；</w:t>
            </w:r>
          </w:p>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3、依法应当公开行政许可事项和申请所需材料而不公开的；</w:t>
            </w:r>
          </w:p>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4、无法定依据实施行政许可或者超越法定权限作出行政许可决定的；</w:t>
            </w:r>
          </w:p>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5、超过法定期限或者违反法定程序实施行政许可的；</w:t>
            </w:r>
          </w:p>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 xml:space="preserve">6、行政许可后续监管不到位，造成严重后果的；           </w:t>
            </w:r>
          </w:p>
        </w:tc>
        <w:tc>
          <w:tcPr>
            <w:tcW w:w="1525" w:type="dxa"/>
            <w:gridSpan w:val="3"/>
          </w:tcPr>
          <w:p>
            <w:pPr>
              <w:widowControl/>
              <w:tabs>
                <w:tab w:val="left" w:pos="492"/>
              </w:tabs>
              <w:spacing w:line="240" w:lineRule="exact"/>
              <w:rPr>
                <w:rFonts w:hint="eastAsia" w:ascii="仿宋_GB2312" w:hAnsi="Arial" w:cs="Arial"/>
                <w:color w:val="000000" w:themeColor="text1"/>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8509" w:hRule="exact"/>
        </w:trPr>
        <w:tc>
          <w:tcPr>
            <w:tcW w:w="456" w:type="dxa"/>
            <w:vAlign w:val="center"/>
          </w:tcPr>
          <w:p>
            <w:pPr>
              <w:spacing w:line="240" w:lineRule="exact"/>
              <w:jc w:val="center"/>
              <w:textAlignment w:val="center"/>
              <w:rPr>
                <w:rFonts w:hint="default" w:eastAsia="仿宋_GB2312"/>
                <w:sz w:val="20"/>
                <w:szCs w:val="20"/>
                <w:lang w:val="en-US" w:eastAsia="zh-CN"/>
              </w:rPr>
            </w:pPr>
            <w:r>
              <w:rPr>
                <w:rFonts w:hint="eastAsia"/>
                <w:sz w:val="20"/>
                <w:szCs w:val="20"/>
                <w:lang w:val="en-US" w:eastAsia="zh-CN"/>
              </w:rPr>
              <w:t>11</w:t>
            </w:r>
          </w:p>
        </w:tc>
        <w:tc>
          <w:tcPr>
            <w:tcW w:w="1428" w:type="dxa"/>
            <w:gridSpan w:val="2"/>
            <w:vAlign w:val="center"/>
          </w:tcPr>
          <w:p>
            <w:pPr>
              <w:widowControl/>
              <w:tabs>
                <w:tab w:val="left" w:pos="492"/>
              </w:tabs>
              <w:spacing w:line="240" w:lineRule="exact"/>
              <w:rPr>
                <w:sz w:val="20"/>
                <w:szCs w:val="20"/>
              </w:rPr>
            </w:pPr>
            <w:r>
              <w:rPr>
                <w:rFonts w:hint="eastAsia"/>
                <w:sz w:val="20"/>
                <w:szCs w:val="20"/>
              </w:rPr>
              <w:t>行政许可</w:t>
            </w:r>
          </w:p>
        </w:tc>
        <w:tc>
          <w:tcPr>
            <w:tcW w:w="1825" w:type="dxa"/>
            <w:gridSpan w:val="6"/>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剧毒化学品购买许可</w:t>
            </w:r>
          </w:p>
        </w:tc>
        <w:tc>
          <w:tcPr>
            <w:tcW w:w="1163" w:type="dxa"/>
            <w:gridSpan w:val="2"/>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唐山公安局开平分局治安大队</w:t>
            </w:r>
          </w:p>
        </w:tc>
        <w:tc>
          <w:tcPr>
            <w:tcW w:w="3392" w:type="dxa"/>
            <w:gridSpan w:val="3"/>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危险化学品安全管理条例》（2002年1月26日国务院令第344号，2013年12月7日予以修改）第三十九条：申请取得剧毒化学品购买许可证，申请人应当向所在地县级人民政府公安机关提交下列材料：（一）营业执照或者法人证书（登记证书）的复印件；（二）拟购买的剧毒化学品品种、数量的说明；（三）购买剧毒化学品用途的说明；（四）经办人的身份证明。县级人民政府公安机关应当自收到前款规定的材料之日起3日内，作出批准或者不予批准的决定。予以批准的，颁发剧毒化学品购买许可证；不予批准的，书面通知申请人并说明理由。</w:t>
            </w:r>
          </w:p>
        </w:tc>
        <w:tc>
          <w:tcPr>
            <w:tcW w:w="988" w:type="dxa"/>
            <w:gridSpan w:val="2"/>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1、受理责任： 依法应当提交的材料；一次性告知补正材料；依法受理或不予受理（不予受理的告知理由）。</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2、审查责任：对纸质申报材料进行审核，提出初审意见。</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3、决定责任：作出行政许可或者不予行政许可的决定（不予许可的告知理由）；按时办结；法定告知。</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4、送达责任：制发剧毒作业人员许可证；信息公开。</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5、事后监管责任：对实施阶段定时检查。发现问题及时整改或作暂停处理。必要时收缴许可。</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6、其他法律法规规章文件规定应履行的责任。</w:t>
            </w:r>
          </w:p>
        </w:tc>
        <w:tc>
          <w:tcPr>
            <w:tcW w:w="2249" w:type="dxa"/>
            <w:gridSpan w:val="4"/>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因不履行或不正确履行行政职责，有下列情形的，公安机关及相关工作人员应承担相应责任：</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1、对符合剧毒作业单位许可证条件的申请不予受理的；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2、未依法说明不受理行政许可申请或者不予行政许可理由的；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3、依法应当公开行政许可事项和申请所需材料而不公开的；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4、无法定依据实施行政许可或者超越法定权限作出行政许可决定的；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 xml:space="preserve">5、行政许可后续监管不到位，造成严重后果的；                 </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6、其他违反法律法规规章文件规定的行为。</w:t>
            </w:r>
          </w:p>
        </w:tc>
        <w:tc>
          <w:tcPr>
            <w:tcW w:w="1525" w:type="dxa"/>
            <w:gridSpan w:val="3"/>
          </w:tcPr>
          <w:p>
            <w:pPr>
              <w:widowControl/>
              <w:tabs>
                <w:tab w:val="left" w:pos="492"/>
              </w:tabs>
              <w:spacing w:line="240" w:lineRule="exact"/>
              <w:rPr>
                <w:rFonts w:hint="eastAsia" w:ascii="仿宋_GB2312" w:hAnsi="Arial" w:cs="Arial"/>
                <w:color w:val="000000" w:themeColor="text1"/>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8509" w:hRule="exact"/>
        </w:trPr>
        <w:tc>
          <w:tcPr>
            <w:tcW w:w="456" w:type="dxa"/>
            <w:vAlign w:val="center"/>
          </w:tcPr>
          <w:p>
            <w:pPr>
              <w:spacing w:line="240" w:lineRule="exact"/>
              <w:jc w:val="center"/>
              <w:textAlignment w:val="center"/>
              <w:rPr>
                <w:rFonts w:hint="eastAsia" w:eastAsia="仿宋_GB2312"/>
                <w:sz w:val="20"/>
                <w:szCs w:val="20"/>
                <w:lang w:eastAsia="zh-CN"/>
              </w:rPr>
            </w:pPr>
            <w:r>
              <w:rPr>
                <w:sz w:val="20"/>
                <w:szCs w:val="20"/>
              </w:rPr>
              <w:t>1</w:t>
            </w:r>
            <w:r>
              <w:rPr>
                <w:rFonts w:hint="eastAsia"/>
                <w:sz w:val="20"/>
                <w:szCs w:val="20"/>
                <w:lang w:val="en-US" w:eastAsia="zh-CN"/>
              </w:rPr>
              <w:t>2</w:t>
            </w:r>
          </w:p>
        </w:tc>
        <w:tc>
          <w:tcPr>
            <w:tcW w:w="1428" w:type="dxa"/>
            <w:gridSpan w:val="2"/>
            <w:vAlign w:val="center"/>
          </w:tcPr>
          <w:p>
            <w:pPr>
              <w:widowControl/>
              <w:tabs>
                <w:tab w:val="left" w:pos="492"/>
              </w:tabs>
              <w:spacing w:line="240" w:lineRule="exact"/>
              <w:rPr>
                <w:sz w:val="20"/>
                <w:szCs w:val="20"/>
              </w:rPr>
            </w:pPr>
            <w:r>
              <w:rPr>
                <w:rFonts w:hint="eastAsia"/>
                <w:sz w:val="20"/>
                <w:szCs w:val="20"/>
              </w:rPr>
              <w:t>行政许可</w:t>
            </w:r>
          </w:p>
        </w:tc>
        <w:tc>
          <w:tcPr>
            <w:tcW w:w="1825" w:type="dxa"/>
            <w:gridSpan w:val="6"/>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烟花爆竹道路运输许可</w:t>
            </w:r>
          </w:p>
        </w:tc>
        <w:tc>
          <w:tcPr>
            <w:tcW w:w="1163" w:type="dxa"/>
            <w:gridSpan w:val="2"/>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唐山公安局开平分局治安大队</w:t>
            </w:r>
          </w:p>
        </w:tc>
        <w:tc>
          <w:tcPr>
            <w:tcW w:w="3392" w:type="dxa"/>
            <w:gridSpan w:val="3"/>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《烟花爆竹安全管理条例》（2006年1月21日国务院令第455号，2016年2月6日予以修改）第三条：国家对烟花爆竹的生产、经营、运输和举办焰火晚会以及其他大型焰火燃放活动，实行许可证制度。&lt;/br&gt;    第二十二条：经由道路运输烟花爆竹的，应当经公安部门许可。&lt;/br&gt;    第二十三条：经由道路运输烟花爆竹的，托运人应当向运达地县级人民政府公安部门提出申请。</w:t>
            </w:r>
          </w:p>
        </w:tc>
        <w:tc>
          <w:tcPr>
            <w:tcW w:w="988" w:type="dxa"/>
            <w:gridSpan w:val="2"/>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1、受理责任： 依法应当提交的材料；一次性告知补正材料；依法受理或不予受理（不予受理的告知理由）。</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2、审查责任：对纸质申报材料进行审核，提出初审意见。</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3、决定责任：作出行政许可或者不予行政许可的决定（不予许可的告知理由）；按时办结；法定告知。</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4、送达责任：制发烟花爆竹作业人员许可证；信息公开。</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5、事后监管责任：对实施阶段定时检查。发现问题及时整改或作暂停处理。必要时收缴许可。</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6、其他法律法规规章文件规定应履行的责任。</w:t>
            </w:r>
          </w:p>
        </w:tc>
        <w:tc>
          <w:tcPr>
            <w:tcW w:w="2249" w:type="dxa"/>
            <w:gridSpan w:val="4"/>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因不履行或不正确履行行政职责，有下列情形的，公安机关及相关工作人员应承担相应责任：</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1、对符合烟花爆竹运输许可证条件的申请不予受理的；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2、未依法说明不受理行政许可申请或者不予行政许可理由的；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3、依法应当公开行政许可事项和申请所需材料而不公开的；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4、无法定依据实施行政许可或者超越法定权限作出行政许可决定的；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 xml:space="preserve">5、行政许可后续监管不到位，造成严重后果的；                 </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6、其他违反法律法规规章文件规定的行为。</w:t>
            </w:r>
          </w:p>
        </w:tc>
        <w:tc>
          <w:tcPr>
            <w:tcW w:w="1525" w:type="dxa"/>
            <w:gridSpan w:val="3"/>
          </w:tcPr>
          <w:p>
            <w:pPr>
              <w:widowControl/>
              <w:tabs>
                <w:tab w:val="left" w:pos="492"/>
              </w:tabs>
              <w:spacing w:line="240" w:lineRule="exact"/>
              <w:rPr>
                <w:rFonts w:hint="eastAsia" w:ascii="仿宋_GB2312" w:hAnsi="Arial" w:cs="Arial"/>
                <w:color w:val="000000" w:themeColor="text1"/>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8509" w:hRule="exact"/>
        </w:trPr>
        <w:tc>
          <w:tcPr>
            <w:tcW w:w="456" w:type="dxa"/>
            <w:vAlign w:val="center"/>
          </w:tcPr>
          <w:p>
            <w:pPr>
              <w:spacing w:line="240" w:lineRule="exact"/>
              <w:jc w:val="center"/>
              <w:textAlignment w:val="center"/>
              <w:rPr>
                <w:rFonts w:hint="eastAsia" w:eastAsia="仿宋_GB2312"/>
                <w:sz w:val="20"/>
                <w:szCs w:val="20"/>
                <w:lang w:eastAsia="zh-CN"/>
              </w:rPr>
            </w:pPr>
            <w:r>
              <w:rPr>
                <w:sz w:val="20"/>
                <w:szCs w:val="20"/>
              </w:rPr>
              <w:t>1</w:t>
            </w:r>
            <w:r>
              <w:rPr>
                <w:rFonts w:hint="eastAsia"/>
                <w:sz w:val="20"/>
                <w:szCs w:val="20"/>
                <w:lang w:val="en-US" w:eastAsia="zh-CN"/>
              </w:rPr>
              <w:t>3</w:t>
            </w:r>
          </w:p>
        </w:tc>
        <w:tc>
          <w:tcPr>
            <w:tcW w:w="1428" w:type="dxa"/>
            <w:gridSpan w:val="2"/>
            <w:vAlign w:val="center"/>
          </w:tcPr>
          <w:p>
            <w:pPr>
              <w:widowControl/>
              <w:tabs>
                <w:tab w:val="left" w:pos="492"/>
              </w:tabs>
              <w:spacing w:line="240" w:lineRule="exact"/>
              <w:rPr>
                <w:sz w:val="20"/>
                <w:szCs w:val="20"/>
              </w:rPr>
            </w:pPr>
            <w:r>
              <w:rPr>
                <w:rFonts w:hint="eastAsia"/>
                <w:sz w:val="20"/>
                <w:szCs w:val="20"/>
              </w:rPr>
              <w:t>行政许可</w:t>
            </w:r>
          </w:p>
        </w:tc>
        <w:tc>
          <w:tcPr>
            <w:tcW w:w="1825" w:type="dxa"/>
            <w:gridSpan w:val="6"/>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城市养犬许可</w:t>
            </w:r>
          </w:p>
        </w:tc>
        <w:tc>
          <w:tcPr>
            <w:tcW w:w="1163" w:type="dxa"/>
            <w:gridSpan w:val="2"/>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唐山公安局开平分局治安大队</w:t>
            </w:r>
          </w:p>
        </w:tc>
        <w:tc>
          <w:tcPr>
            <w:tcW w:w="3392" w:type="dxa"/>
            <w:gridSpan w:val="3"/>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《中华人民共和国传染病防治法实施办法》第29条</w:t>
            </w:r>
          </w:p>
        </w:tc>
        <w:tc>
          <w:tcPr>
            <w:tcW w:w="988" w:type="dxa"/>
            <w:gridSpan w:val="2"/>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1、受理责任： 依法应当提交的材料；一次性告知补正材料；依法受理或不予受理（不予受理的告知理由）。</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2、审查责任：对纸质申报材料进行审核，提出初审意见。</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3、决定责任：作出行政许可或者不予行政许可的决定（不予许可的告知理由）；按时办结；法定告知。</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4、送达责任：制发犬证；信息公开。</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5、事后监管责任：对实施阶段定时检查。发现问题及时整改或作暂停处理。必要时收缴许可。</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6、其他法律法规规章文件规定应履行的责任。</w:t>
            </w:r>
          </w:p>
        </w:tc>
        <w:tc>
          <w:tcPr>
            <w:tcW w:w="2249" w:type="dxa"/>
            <w:gridSpan w:val="4"/>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因不履行或不正确履行行政职责，有下列情形的，公安机关及相关工作人员应承担相应责任：</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1、对符合城市养犬许可证条件的申请不予受理的；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2、未依法说明不受理行政许可申请或者不予行政许可理由的；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3、依法应当公开行政许可事项和申请所需材料而不公开的；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4、无法定依据实施行政许可或者超越法定权限作出行政许可决定的；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 xml:space="preserve">5、行政许可后续监管不到位，造成严重后果的；                 </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6、其他违反法律法规规章文件规定的行为。</w:t>
            </w:r>
          </w:p>
        </w:tc>
        <w:tc>
          <w:tcPr>
            <w:tcW w:w="1525" w:type="dxa"/>
            <w:gridSpan w:val="3"/>
          </w:tcPr>
          <w:p>
            <w:pPr>
              <w:widowControl/>
              <w:tabs>
                <w:tab w:val="left" w:pos="492"/>
              </w:tabs>
              <w:spacing w:line="240" w:lineRule="exact"/>
              <w:rPr>
                <w:rFonts w:hint="eastAsia" w:ascii="仿宋_GB2312" w:hAnsi="Arial" w:cs="Arial"/>
                <w:color w:val="000000" w:themeColor="text1"/>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8969" w:hRule="exact"/>
        </w:trPr>
        <w:tc>
          <w:tcPr>
            <w:tcW w:w="456" w:type="dxa"/>
            <w:vAlign w:val="center"/>
          </w:tcPr>
          <w:p>
            <w:pPr>
              <w:spacing w:line="240" w:lineRule="exact"/>
              <w:jc w:val="center"/>
              <w:textAlignment w:val="center"/>
              <w:rPr>
                <w:rFonts w:hint="eastAsia" w:eastAsia="仿宋_GB2312"/>
                <w:sz w:val="20"/>
                <w:szCs w:val="20"/>
                <w:lang w:eastAsia="zh-CN"/>
              </w:rPr>
            </w:pPr>
            <w:r>
              <w:rPr>
                <w:rFonts w:hint="eastAsia"/>
                <w:sz w:val="20"/>
                <w:szCs w:val="20"/>
              </w:rPr>
              <w:t>1</w:t>
            </w:r>
            <w:r>
              <w:rPr>
                <w:rFonts w:hint="eastAsia"/>
                <w:sz w:val="20"/>
                <w:szCs w:val="20"/>
                <w:lang w:val="en-US" w:eastAsia="zh-CN"/>
              </w:rPr>
              <w:t>4</w:t>
            </w:r>
          </w:p>
        </w:tc>
        <w:tc>
          <w:tcPr>
            <w:tcW w:w="1428" w:type="dxa"/>
            <w:gridSpan w:val="2"/>
            <w:vAlign w:val="center"/>
          </w:tcPr>
          <w:p>
            <w:pPr>
              <w:widowControl/>
              <w:tabs>
                <w:tab w:val="left" w:pos="492"/>
              </w:tabs>
              <w:spacing w:line="240" w:lineRule="exact"/>
              <w:rPr>
                <w:sz w:val="20"/>
                <w:szCs w:val="20"/>
              </w:rPr>
            </w:pPr>
            <w:r>
              <w:rPr>
                <w:rFonts w:hint="eastAsia"/>
                <w:sz w:val="20"/>
                <w:szCs w:val="20"/>
              </w:rPr>
              <w:t>行政许可</w:t>
            </w:r>
          </w:p>
        </w:tc>
        <w:tc>
          <w:tcPr>
            <w:tcW w:w="1825" w:type="dxa"/>
            <w:gridSpan w:val="6"/>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举行集会游行示威许可</w:t>
            </w:r>
          </w:p>
        </w:tc>
        <w:tc>
          <w:tcPr>
            <w:tcW w:w="1163" w:type="dxa"/>
            <w:gridSpan w:val="2"/>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唐山公安局开平分局治安大队</w:t>
            </w:r>
          </w:p>
        </w:tc>
        <w:tc>
          <w:tcPr>
            <w:tcW w:w="3392" w:type="dxa"/>
            <w:gridSpan w:val="3"/>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中华人民共和国集会游行示威法》（1989年10月31日主席令第20号）第六条：集会、游行、示威的主管机关，是集会、游行、示威举行地的市、县公安局、城市公安分局；游行、示威路线经过两个以上区、县的，主管机关为所经过区、县的公安机关的共同上一级公安机关。&lt;/br&gt;     第七条第一款：举行集会、游行、示威，必须依照本法规定向主管机关提出申请并获得许可。&lt;/br&gt;    《中华人民共和国集会游行示威法实施条例》（1992年5月12日国务院批准，1992年6月16日公安部令第8号，2011年1月8日予以修改）第七条：“集会、游行、示威由举行地的市、县公安局、城市公安分局主管。游行示威路线在同一直辖市、省辖市、自治区辖市或省、自治区人民政府派出机关所在地区经过两个区、县的，由该市公安局或省、自治区人民政府派出机关的公安处主管；在同一省、自治区行政区域内经过两个以上省辖市、自治区辖市或省、自治区人民政府派出机关所在地区的，由所在省、自治区公安厅主管；经过两个以上省、自治区、直辖市的，由公安部主管，或由公安部授权的省、自治区、直辖市公安机关主管。”</w:t>
            </w:r>
          </w:p>
        </w:tc>
        <w:tc>
          <w:tcPr>
            <w:tcW w:w="988" w:type="dxa"/>
            <w:gridSpan w:val="2"/>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1、受理责任： 依法应当提交的材料；一次性告知补正材料；依法受理或不予受理（不予受理的告知理由）。</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2、审查责任：对纸质申报材料进行审核，提出初审意见。</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3、决定责任：作出行政许可或者不予行政许可的决定（不予许可的告知理由）；按时办结；法定告知。</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4、送达责任：制发作业人员许可证；信息公开。</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5、事后监管责任：对实施阶段定时检查。发现问题及时整改或作暂停处理。必要时收缴许可。</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6、其他法律法规规章文件规定应履行的责任。</w:t>
            </w:r>
          </w:p>
        </w:tc>
        <w:tc>
          <w:tcPr>
            <w:tcW w:w="2249" w:type="dxa"/>
            <w:gridSpan w:val="4"/>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因不履行或不正确履行行政职责，有下列情形的，公安机关及相关工作人员应承担相应责任：</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1、对符合集会游行示威许可证条件的申请不予受理的；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2、未依法说明不受理行政许可申请或者不予行政许可理由的；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3、依法应当公开行政许可事项和申请所需材料而不公开的；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4、无法定依据实施行政许可或者超越法定权限作出行政许可决定的；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 xml:space="preserve">5、行政许可后续监管不到位，造成严重后果的；                 </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6、其他违反法律法规规章文件规定的行为。</w:t>
            </w:r>
          </w:p>
        </w:tc>
        <w:tc>
          <w:tcPr>
            <w:tcW w:w="1525" w:type="dxa"/>
            <w:gridSpan w:val="3"/>
          </w:tcPr>
          <w:p>
            <w:pPr>
              <w:widowControl/>
              <w:tabs>
                <w:tab w:val="left" w:pos="492"/>
              </w:tabs>
              <w:spacing w:line="240" w:lineRule="exact"/>
              <w:rPr>
                <w:rFonts w:hint="eastAsia" w:ascii="仿宋_GB2312" w:hAnsi="Arial" w:cs="Arial"/>
                <w:color w:val="000000" w:themeColor="text1"/>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8509" w:hRule="exact"/>
        </w:trPr>
        <w:tc>
          <w:tcPr>
            <w:tcW w:w="456" w:type="dxa"/>
            <w:vAlign w:val="center"/>
          </w:tcPr>
          <w:p>
            <w:pPr>
              <w:spacing w:line="240" w:lineRule="exact"/>
              <w:jc w:val="center"/>
              <w:textAlignment w:val="center"/>
              <w:rPr>
                <w:rFonts w:hint="eastAsia" w:eastAsia="仿宋_GB2312"/>
                <w:sz w:val="20"/>
                <w:szCs w:val="20"/>
                <w:lang w:eastAsia="zh-CN"/>
              </w:rPr>
            </w:pPr>
            <w:r>
              <w:rPr>
                <w:sz w:val="20"/>
                <w:szCs w:val="20"/>
              </w:rPr>
              <w:t>1</w:t>
            </w:r>
            <w:r>
              <w:rPr>
                <w:rFonts w:hint="eastAsia"/>
                <w:sz w:val="20"/>
                <w:szCs w:val="20"/>
                <w:lang w:val="en-US" w:eastAsia="zh-CN"/>
              </w:rPr>
              <w:t>5</w:t>
            </w:r>
          </w:p>
        </w:tc>
        <w:tc>
          <w:tcPr>
            <w:tcW w:w="1428" w:type="dxa"/>
            <w:gridSpan w:val="2"/>
            <w:vAlign w:val="center"/>
          </w:tcPr>
          <w:p>
            <w:pPr>
              <w:widowControl/>
              <w:tabs>
                <w:tab w:val="left" w:pos="492"/>
              </w:tabs>
              <w:spacing w:line="240" w:lineRule="exact"/>
              <w:rPr>
                <w:sz w:val="20"/>
                <w:szCs w:val="20"/>
              </w:rPr>
            </w:pPr>
            <w:r>
              <w:rPr>
                <w:rFonts w:hint="eastAsia"/>
                <w:sz w:val="20"/>
                <w:szCs w:val="20"/>
              </w:rPr>
              <w:t>行政许可</w:t>
            </w:r>
          </w:p>
        </w:tc>
        <w:tc>
          <w:tcPr>
            <w:tcW w:w="1825" w:type="dxa"/>
            <w:gridSpan w:val="6"/>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公章刻制业特种行业许可证核发</w:t>
            </w:r>
          </w:p>
        </w:tc>
        <w:tc>
          <w:tcPr>
            <w:tcW w:w="1163" w:type="dxa"/>
            <w:gridSpan w:val="2"/>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唐山公安局开平分局治安大队</w:t>
            </w:r>
          </w:p>
        </w:tc>
        <w:tc>
          <w:tcPr>
            <w:tcW w:w="3392" w:type="dxa"/>
            <w:gridSpan w:val="3"/>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《国务院对确需保留的行政审批项目设定行政许可的决定》（2004年6月29日国务院令第412号,2009年1月29日予以修改）附件第37项：公章刻制业特种行业许可证核发。实施机关：县级以上地方人民政府公安机关。</w:t>
            </w:r>
          </w:p>
        </w:tc>
        <w:tc>
          <w:tcPr>
            <w:tcW w:w="988" w:type="dxa"/>
            <w:gridSpan w:val="2"/>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1、受理责任： 依法应当提交的材料；一次性告知补正材料；依法受理或不予受理（不予受理的告知理由）。</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2、审查责任：对纸质申报材料进行审核，提出初审意见。</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3、决定责任：作出行政许可或者不予行政许可的决定（不予许可的告知理由）；按时办结；法定告知。</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4、送达责任：制发公章刻制业人员许可证；信息公开。</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5、事后监管责任：对实施阶段定时检查。发现问题及时整改或作暂停处理。必要时收缴许可。</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6、其他法律法规规章文件规定应履行的责任。</w:t>
            </w:r>
          </w:p>
        </w:tc>
        <w:tc>
          <w:tcPr>
            <w:tcW w:w="2249" w:type="dxa"/>
            <w:gridSpan w:val="4"/>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因不履行或不正确履行行政职责，有下列情形的，公安机关及相关工作人员应承担相应责任：</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1、对符合公章刻制业许可证条件的申请不予受理的；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2、未依法说明不受理行政许可申请或者不予行政许可理由的；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3、依法应当公开行政许可事项和申请所需材料而不公开的；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4、无法定依据实施行政许可或者超越法定权限作出行政许可决定的；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 xml:space="preserve">5、行政许可后续监管不到位，造成严重后果的；                 </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6、其他违反法律法规规章文件规定的行为。</w:t>
            </w:r>
          </w:p>
        </w:tc>
        <w:tc>
          <w:tcPr>
            <w:tcW w:w="1525" w:type="dxa"/>
            <w:gridSpan w:val="3"/>
          </w:tcPr>
          <w:p>
            <w:pPr>
              <w:widowControl/>
              <w:tabs>
                <w:tab w:val="left" w:pos="492"/>
              </w:tabs>
              <w:spacing w:line="240" w:lineRule="exact"/>
              <w:rPr>
                <w:rFonts w:hint="eastAsia" w:ascii="仿宋_GB2312" w:hAnsi="Arial" w:cs="Arial"/>
                <w:color w:val="000000" w:themeColor="text1"/>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8509" w:hRule="exact"/>
        </w:trPr>
        <w:tc>
          <w:tcPr>
            <w:tcW w:w="456" w:type="dxa"/>
            <w:vAlign w:val="center"/>
          </w:tcPr>
          <w:p>
            <w:pPr>
              <w:spacing w:line="240" w:lineRule="exact"/>
              <w:jc w:val="center"/>
              <w:textAlignment w:val="center"/>
              <w:rPr>
                <w:rFonts w:hint="eastAsia" w:eastAsia="仿宋_GB2312"/>
                <w:sz w:val="20"/>
                <w:szCs w:val="20"/>
                <w:lang w:eastAsia="zh-CN"/>
              </w:rPr>
            </w:pPr>
            <w:r>
              <w:rPr>
                <w:rFonts w:hint="eastAsia"/>
                <w:sz w:val="20"/>
                <w:szCs w:val="20"/>
              </w:rPr>
              <w:t>1</w:t>
            </w:r>
            <w:r>
              <w:rPr>
                <w:rFonts w:hint="eastAsia"/>
                <w:sz w:val="20"/>
                <w:szCs w:val="20"/>
                <w:lang w:val="en-US" w:eastAsia="zh-CN"/>
              </w:rPr>
              <w:t>6</w:t>
            </w:r>
          </w:p>
        </w:tc>
        <w:tc>
          <w:tcPr>
            <w:tcW w:w="1428" w:type="dxa"/>
            <w:gridSpan w:val="2"/>
            <w:vAlign w:val="center"/>
          </w:tcPr>
          <w:p>
            <w:pPr>
              <w:widowControl/>
              <w:tabs>
                <w:tab w:val="left" w:pos="492"/>
              </w:tabs>
              <w:spacing w:line="240" w:lineRule="exact"/>
              <w:jc w:val="center"/>
              <w:rPr>
                <w:sz w:val="20"/>
                <w:szCs w:val="20"/>
              </w:rPr>
            </w:pPr>
            <w:r>
              <w:rPr>
                <w:rFonts w:hint="eastAsia"/>
                <w:sz w:val="20"/>
                <w:szCs w:val="20"/>
              </w:rPr>
              <w:t>行政许可</w:t>
            </w:r>
          </w:p>
        </w:tc>
        <w:tc>
          <w:tcPr>
            <w:tcW w:w="1825" w:type="dxa"/>
            <w:gridSpan w:val="6"/>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旅馆业特种行业许可</w:t>
            </w:r>
          </w:p>
        </w:tc>
        <w:tc>
          <w:tcPr>
            <w:tcW w:w="1163" w:type="dxa"/>
            <w:gridSpan w:val="2"/>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唐山公安局开平分局治安大队</w:t>
            </w:r>
          </w:p>
        </w:tc>
        <w:tc>
          <w:tcPr>
            <w:tcW w:w="3392" w:type="dxa"/>
            <w:gridSpan w:val="3"/>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《国务院对确需保留的行政审批项目设定行政许可的决定》（2004年6月29日国务院令第412号,2009年1月29日予以修改）附件第36项：旅馆业特种行业许可证核发。实施机关：县级以上地方人民政府公安机关。</w:t>
            </w:r>
          </w:p>
        </w:tc>
        <w:tc>
          <w:tcPr>
            <w:tcW w:w="988" w:type="dxa"/>
            <w:gridSpan w:val="2"/>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1、受理责任： 依法应当提交的材料；一次性告知补正材料；依法受理或不予受理（不予受理的告知理由）。</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2、审查责任：对纸质申报材料进行审核，提出初审意见。</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3、决定责任：作出行政许可或者不予行政许可的决定（不予许可的告知理由）；按时办结；法定告知。</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4、送达责任：制发旅馆业人员许可证；信息公开。</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5、事后监管责任：对实施阶段定时检查。发现问题及时整改或作暂停处理。必要时收缴许可。</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6、其他法律法规规章文件规定应履行的责任。</w:t>
            </w:r>
          </w:p>
        </w:tc>
        <w:tc>
          <w:tcPr>
            <w:tcW w:w="2249" w:type="dxa"/>
            <w:gridSpan w:val="4"/>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因不履行或不正确履行行政职责，有下列情形的，公安机关及相关工作人员应承担相应责任：</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1、对符合旅馆业特种行业许可证条件的申请不予受理的；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2、未依法说明不受理行政许可申请或者不予行政许可理由的；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3、依法应当公开行政许可事项和申请所需材料而不公开的；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4、无法定依据实施行政许可或者超越法定权限作出行政许可决定的；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 xml:space="preserve">5、行政许可后续监管不到位，造成严重后果的；                 </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6、其他违反法律法规规章文件规定的行为。</w:t>
            </w:r>
          </w:p>
        </w:tc>
        <w:tc>
          <w:tcPr>
            <w:tcW w:w="1525" w:type="dxa"/>
            <w:gridSpan w:val="3"/>
          </w:tcPr>
          <w:p>
            <w:pPr>
              <w:widowControl/>
              <w:tabs>
                <w:tab w:val="left" w:pos="492"/>
              </w:tabs>
              <w:spacing w:line="240" w:lineRule="exact"/>
              <w:rPr>
                <w:rFonts w:hint="eastAsia" w:ascii="仿宋_GB2312" w:hAnsi="Arial" w:cs="Arial"/>
                <w:color w:val="000000" w:themeColor="text1"/>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8509" w:hRule="exact"/>
        </w:trPr>
        <w:tc>
          <w:tcPr>
            <w:tcW w:w="456" w:type="dxa"/>
            <w:vAlign w:val="center"/>
          </w:tcPr>
          <w:p>
            <w:pPr>
              <w:spacing w:line="240" w:lineRule="exact"/>
              <w:jc w:val="center"/>
              <w:textAlignment w:val="center"/>
              <w:rPr>
                <w:rFonts w:hint="eastAsia" w:eastAsia="仿宋_GB2312"/>
                <w:sz w:val="20"/>
                <w:szCs w:val="20"/>
                <w:lang w:eastAsia="zh-CN"/>
              </w:rPr>
            </w:pPr>
            <w:r>
              <w:rPr>
                <w:rFonts w:hint="eastAsia"/>
                <w:sz w:val="20"/>
                <w:szCs w:val="20"/>
              </w:rPr>
              <w:t>1</w:t>
            </w:r>
            <w:r>
              <w:rPr>
                <w:rFonts w:hint="eastAsia"/>
                <w:sz w:val="20"/>
                <w:szCs w:val="20"/>
                <w:lang w:val="en-US" w:eastAsia="zh-CN"/>
              </w:rPr>
              <w:t>7</w:t>
            </w:r>
          </w:p>
        </w:tc>
        <w:tc>
          <w:tcPr>
            <w:tcW w:w="1428" w:type="dxa"/>
            <w:gridSpan w:val="2"/>
            <w:vAlign w:val="center"/>
          </w:tcPr>
          <w:p>
            <w:pPr>
              <w:widowControl/>
              <w:tabs>
                <w:tab w:val="left" w:pos="492"/>
              </w:tabs>
              <w:spacing w:line="240" w:lineRule="exact"/>
              <w:jc w:val="center"/>
              <w:rPr>
                <w:sz w:val="20"/>
                <w:szCs w:val="20"/>
              </w:rPr>
            </w:pPr>
            <w:r>
              <w:rPr>
                <w:rFonts w:hint="eastAsia"/>
                <w:sz w:val="20"/>
                <w:szCs w:val="20"/>
              </w:rPr>
              <w:t>行政许可</w:t>
            </w:r>
          </w:p>
        </w:tc>
        <w:tc>
          <w:tcPr>
            <w:tcW w:w="1825" w:type="dxa"/>
            <w:gridSpan w:val="6"/>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举办焰火晚会及其他大型焰火燃放活动许可</w:t>
            </w:r>
          </w:p>
        </w:tc>
        <w:tc>
          <w:tcPr>
            <w:tcW w:w="1163" w:type="dxa"/>
            <w:gridSpan w:val="2"/>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唐山市公安局开平分局治安大队</w:t>
            </w:r>
          </w:p>
        </w:tc>
        <w:tc>
          <w:tcPr>
            <w:tcW w:w="3392" w:type="dxa"/>
            <w:gridSpan w:val="3"/>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《烟花爆竹安全管理条例》（2006年1月21日国务院令第455号，2016年2月6日予以修改）第三条：国家对烟花爆竹的生产、经营、运输和举办焰火晚会以及其他大型焰火燃放活动，实行许可证制度。    第三十三条：申请举办焰火晚会以及其他大型焰火燃放活动，主办单位应当按照分级管理的规定，向有关人民政府公安机关部门提出申请。</w:t>
            </w:r>
          </w:p>
        </w:tc>
        <w:tc>
          <w:tcPr>
            <w:tcW w:w="988" w:type="dxa"/>
            <w:gridSpan w:val="2"/>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1、受理责任： 依法应当提交的材料；一次性告知补正材料；依法受理或不予受理（不予受理的告知理由）。</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2、审查责任：对纸质申报材料进行审核，提出初审意见。</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3、决定责任：作出行政许可或者不予行政许可的决定（不予许可的告知理由）；按时办结；法定告知。</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4、送达责任：核发举办焰火晚会及其他大型焰火燃放活动许可证；信息公开。</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5、事后监管责任：对实施阶段定时检查。发现问题及时整改或作暂停处理。必要时收缴许可。</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6、其他法律法规规章文件规定应履行的责任。</w:t>
            </w:r>
          </w:p>
        </w:tc>
        <w:tc>
          <w:tcPr>
            <w:tcW w:w="2249" w:type="dxa"/>
            <w:gridSpan w:val="4"/>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因不履行或不正确履行行政职责，有下列情形的，公安机关及相关工作人员应承担相应责任：</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1、对符合举办焰火晚会及其他大型焰火燃放活动许可条件的申请不予受理的；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2、未依法说明不受理行政许可申请或者不予行政许可理由的；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3、依法应当公开行政许可事项和申请所需材料而不公开的；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4、无法定依据实施行政许可或者超越法定权限作出行政许可决定的；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 xml:space="preserve">5、行政许可后续监管不到位，造成严重后果的；                  </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6、其他违反法律法规规章文件规定的行为。</w:t>
            </w:r>
          </w:p>
        </w:tc>
        <w:tc>
          <w:tcPr>
            <w:tcW w:w="1525" w:type="dxa"/>
            <w:gridSpan w:val="3"/>
          </w:tcPr>
          <w:p>
            <w:pPr>
              <w:widowControl/>
              <w:tabs>
                <w:tab w:val="left" w:pos="492"/>
              </w:tabs>
              <w:spacing w:line="240" w:lineRule="exact"/>
              <w:rPr>
                <w:rFonts w:hint="eastAsia" w:ascii="仿宋_GB2312" w:hAnsi="Arial" w:cs="Arial"/>
                <w:color w:val="000000" w:themeColor="text1"/>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6301" w:hRule="exact"/>
        </w:trPr>
        <w:tc>
          <w:tcPr>
            <w:tcW w:w="456"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仿宋_GB2312" w:hAnsi="仿宋_GB2312" w:eastAsia="仿宋_GB2312"/>
                <w:color w:val="000000"/>
                <w:sz w:val="20"/>
                <w:szCs w:val="20"/>
                <w:lang w:val="en-US" w:eastAsia="zh-CN"/>
              </w:rPr>
            </w:pPr>
            <w:r>
              <w:rPr>
                <w:rFonts w:hint="eastAsia" w:ascii="仿宋_GB2312" w:hAnsi="仿宋_GB2312"/>
                <w:color w:val="000000"/>
                <w:sz w:val="20"/>
                <w:szCs w:val="20"/>
                <w:lang w:val="en-US" w:eastAsia="zh-CN"/>
              </w:rPr>
              <w:t>18</w:t>
            </w:r>
          </w:p>
        </w:tc>
        <w:tc>
          <w:tcPr>
            <w:tcW w:w="589" w:type="dxa"/>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sz w:val="20"/>
                <w:szCs w:val="20"/>
              </w:rPr>
            </w:pPr>
            <w:r>
              <w:rPr>
                <w:rFonts w:hint="eastAsia"/>
                <w:sz w:val="20"/>
                <w:szCs w:val="20"/>
              </w:rPr>
              <w:t>行政许可</w:t>
            </w:r>
          </w:p>
        </w:tc>
        <w:tc>
          <w:tcPr>
            <w:tcW w:w="118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爆破作业人员资格认定</w:t>
            </w:r>
          </w:p>
        </w:tc>
        <w:tc>
          <w:tcPr>
            <w:tcW w:w="96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w:t>
            </w:r>
            <w:r>
              <w:rPr>
                <w:rFonts w:hint="eastAsia" w:ascii="仿宋_GB2312" w:hAnsi="Arial" w:cs="Arial"/>
                <w:color w:val="000000" w:themeColor="text1"/>
                <w:kern w:val="0"/>
                <w:sz w:val="13"/>
                <w:szCs w:val="13"/>
                <w:lang w:eastAsia="zh-CN"/>
              </w:rPr>
              <w:t>治安管理大队</w:t>
            </w:r>
          </w:p>
        </w:tc>
        <w:tc>
          <w:tcPr>
            <w:tcW w:w="5065"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jc w:val="left"/>
              <w:textAlignment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一、《</w:t>
            </w:r>
            <w:r>
              <w:rPr>
                <w:rFonts w:hint="eastAsia" w:ascii="仿宋_GB2312" w:hAnsi="Arial" w:cs="Arial"/>
                <w:color w:val="000000" w:themeColor="text1"/>
                <w:kern w:val="0"/>
                <w:sz w:val="13"/>
                <w:szCs w:val="13"/>
                <w:lang w:eastAsia="zh-CN"/>
              </w:rPr>
              <w:t>民用爆炸物品安全管理条例</w:t>
            </w:r>
            <w:r>
              <w:rPr>
                <w:rFonts w:hint="eastAsia" w:ascii="仿宋_GB2312" w:hAnsi="Arial" w:cs="Arial"/>
                <w:color w:val="000000" w:themeColor="text1"/>
                <w:kern w:val="0"/>
                <w:sz w:val="13"/>
                <w:szCs w:val="13"/>
              </w:rPr>
              <w:t>》第三十三条　爆破作业单位应当对本单位的爆破作业人员、安全管理人员、仓库管理人员进行专业技术培训。爆破作业人员应当经设区的市级人民政府公安机关考核合格，取得《爆破作业人员许可证》后，方可从事爆破作业。                                              二、2018年3月28日《2018年第一批自行取消调整下放市政府部门行政许可事项》</w:t>
            </w:r>
          </w:p>
        </w:tc>
        <w:tc>
          <w:tcPr>
            <w:tcW w:w="129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1、受理责任： 公示依法应当提交的材料；一次性告知补正材料；依法受理或不予受理（不予受理的告知理由）。</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2.审查责任：审核申请人是否具备办理内地居民前往港澳通行证、往来港澳通行证和签注签发的法定资格条件，并提出审查意见。</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3.决定责任：作出许可或不予许可的决定（不予许可的书面告知理由）；按时办结；法定告知。</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4.其他法律法规规章文件规定应履行的责任。</w:t>
            </w:r>
          </w:p>
          <w:p>
            <w:pPr>
              <w:spacing w:line="240" w:lineRule="exact"/>
              <w:jc w:val="left"/>
              <w:rPr>
                <w:rFonts w:ascii="仿宋_GB2312" w:hAnsi="Arial" w:cs="Arial"/>
                <w:color w:val="000000" w:themeColor="text1"/>
                <w:kern w:val="0"/>
                <w:sz w:val="13"/>
                <w:szCs w:val="13"/>
              </w:rPr>
            </w:pPr>
          </w:p>
        </w:tc>
        <w:tc>
          <w:tcPr>
            <w:tcW w:w="237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因不履行或不正确履行行政职责，有下列情形的，公安机关及相关工作人员应承担相应责任：</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1、对符合爆破作业人员资格的申请不予受理的；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2、未依法说明不受理行政许可申请或者不予行政许可理由的；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3、依法应当公开行政许可事项和申请所需材料而不公开的；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4、无法定依据实施行政许可或者超越法定权限作出行政许可决定的；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5、超过法定期限或者违反法定程序实施行政许可的；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6、在办理行政许可过程中索取或者收受他人财物或者谋取其他利益的；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7、其他违反法律法规规章文件规定的行为。</w:t>
            </w:r>
          </w:p>
        </w:tc>
        <w:tc>
          <w:tcPr>
            <w:tcW w:w="1098" w:type="dxa"/>
            <w:gridSpan w:val="2"/>
            <w:tcBorders>
              <w:top w:val="single" w:color="auto" w:sz="4" w:space="0"/>
              <w:left w:val="single" w:color="auto" w:sz="4" w:space="0"/>
              <w:bottom w:val="single" w:color="auto" w:sz="4" w:space="0"/>
              <w:right w:val="single" w:color="auto" w:sz="4" w:space="0"/>
            </w:tcBorders>
          </w:tcPr>
          <w:p>
            <w:pPr>
              <w:spacing w:line="240" w:lineRule="exact"/>
              <w:textAlignment w:val="center"/>
              <w:rPr>
                <w:rFonts w:hint="eastAsia" w:ascii="仿宋_GB2312" w:hAnsi="Arial" w:cs="Arial"/>
                <w:color w:val="000000" w:themeColor="text1"/>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6301" w:hRule="exact"/>
        </w:trPr>
        <w:tc>
          <w:tcPr>
            <w:tcW w:w="456"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仿宋_GB2312" w:hAnsi="仿宋_GB2312" w:eastAsia="仿宋_GB2312"/>
                <w:color w:val="000000"/>
                <w:sz w:val="20"/>
                <w:szCs w:val="20"/>
                <w:lang w:val="en-US" w:eastAsia="zh-CN"/>
              </w:rPr>
            </w:pPr>
            <w:r>
              <w:rPr>
                <w:rFonts w:hint="eastAsia" w:ascii="仿宋_GB2312" w:hAnsi="仿宋_GB2312"/>
                <w:color w:val="000000"/>
                <w:sz w:val="20"/>
                <w:szCs w:val="20"/>
                <w:lang w:val="en-US" w:eastAsia="zh-CN"/>
              </w:rPr>
              <w:t>19</w:t>
            </w:r>
          </w:p>
        </w:tc>
        <w:tc>
          <w:tcPr>
            <w:tcW w:w="589" w:type="dxa"/>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sz w:val="20"/>
                <w:szCs w:val="20"/>
              </w:rPr>
            </w:pPr>
            <w:r>
              <w:rPr>
                <w:rFonts w:hint="eastAsia"/>
                <w:sz w:val="20"/>
                <w:szCs w:val="20"/>
              </w:rPr>
              <w:t>行政许可</w:t>
            </w:r>
          </w:p>
        </w:tc>
        <w:tc>
          <w:tcPr>
            <w:tcW w:w="118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城市、风景名胜区和重要工程设施附近实施爆破作业审批</w:t>
            </w:r>
          </w:p>
        </w:tc>
        <w:tc>
          <w:tcPr>
            <w:tcW w:w="96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w:t>
            </w:r>
            <w:r>
              <w:rPr>
                <w:rFonts w:hint="eastAsia" w:ascii="仿宋_GB2312" w:hAnsi="Arial" w:cs="Arial"/>
                <w:color w:val="000000" w:themeColor="text1"/>
                <w:kern w:val="0"/>
                <w:sz w:val="13"/>
                <w:szCs w:val="13"/>
                <w:lang w:eastAsia="zh-CN"/>
              </w:rPr>
              <w:t>治安管理大队</w:t>
            </w:r>
          </w:p>
        </w:tc>
        <w:tc>
          <w:tcPr>
            <w:tcW w:w="5065"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hint="eastAsia" w:ascii="仿宋_GB2312" w:hAnsi="Arial" w:cs="Arial"/>
                <w:color w:val="000000" w:themeColor="text1"/>
                <w:kern w:val="0"/>
                <w:sz w:val="13"/>
                <w:szCs w:val="13"/>
              </w:rPr>
            </w:pPr>
            <w:r>
              <w:rPr>
                <w:rFonts w:hint="eastAsia" w:ascii="仿宋_GB2312" w:hAnsi="Arial" w:cs="Arial"/>
                <w:color w:val="000000" w:themeColor="text1"/>
                <w:kern w:val="0"/>
                <w:sz w:val="13"/>
                <w:szCs w:val="13"/>
              </w:rPr>
              <w:t>一、《民用爆炸物品安全管理条例》第三十五条　在城市、风景名胜区和重要工程设施附近实施爆破作业的，应当向爆破作业所在地设区的市级人民政府公安机关提出申请，提交《爆破作业单位许可证》和具有相应资质的安全评估企业出具的爆破设计、施工方案评估报告。受理申请的公安机关应当自受理申请之日起20日内对提交的有关材料进行审查，对符合条件的，作出批准的决定；对不符合条件的，作出不予批准的决定，并书面向申请人说明理由。</w:t>
            </w:r>
          </w:p>
          <w:p>
            <w:pPr>
              <w:spacing w:line="240" w:lineRule="exact"/>
              <w:textAlignment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　　实施前款规定的爆破作业，应当由具有相应资质的安全监理企业进行监理，由爆破作业所在地县级人民政府公安机关负责组织实施安全警戒。                                                                    二、2018年3月28日《2018年第一批自行取消调整下放市政府部门行政许可事项》</w:t>
            </w:r>
          </w:p>
        </w:tc>
        <w:tc>
          <w:tcPr>
            <w:tcW w:w="129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1、受理责任： 公示依法应当提交的材料；一次性告知补正材料；依法受理或不予受理（不予受理的告知理由）。</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2.审查责任：审核申请人是否具备办理内地居民前往港澳通行证、往来港澳通行证和签注签发的法定资格条件，并提出审查意见。</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3.决定责任：作出许可或不予许可的决定（不予许可的书面告知理由）；按时办结；法定告知。</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4.其他法律法规规章文件规定应履行的责任。</w:t>
            </w:r>
          </w:p>
          <w:p>
            <w:pPr>
              <w:spacing w:line="240" w:lineRule="exact"/>
              <w:jc w:val="left"/>
              <w:rPr>
                <w:rFonts w:ascii="仿宋_GB2312" w:hAnsi="Arial" w:cs="Arial"/>
                <w:color w:val="000000" w:themeColor="text1"/>
                <w:kern w:val="0"/>
                <w:sz w:val="13"/>
                <w:szCs w:val="13"/>
              </w:rPr>
            </w:pPr>
          </w:p>
        </w:tc>
        <w:tc>
          <w:tcPr>
            <w:tcW w:w="237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因不履行或不正确履行行政职责，有下列情形的，公安机关及相关工作人员应承担相应责任：</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1、对符合城市、风景名胜区和重要工程设施附近实施爆破作业</w:t>
            </w:r>
            <w:r>
              <w:rPr>
                <w:rFonts w:hint="eastAsia" w:ascii="仿宋_GB2312" w:hAnsi="Arial" w:cs="Arial"/>
                <w:color w:val="000000" w:themeColor="text1"/>
                <w:kern w:val="0"/>
                <w:sz w:val="13"/>
                <w:szCs w:val="13"/>
                <w:lang w:eastAsia="zh-CN"/>
              </w:rPr>
              <w:t>条件</w:t>
            </w:r>
            <w:r>
              <w:rPr>
                <w:rFonts w:hint="eastAsia" w:ascii="仿宋_GB2312" w:hAnsi="Arial" w:cs="Arial"/>
                <w:color w:val="000000" w:themeColor="text1"/>
                <w:kern w:val="0"/>
                <w:sz w:val="13"/>
                <w:szCs w:val="13"/>
              </w:rPr>
              <w:t>不予受理的；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2、未依法说明不受理行政许可申请或者不予行政许可理由的；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3、依法应当公开行政许可事项和申请所需材料而不公开的；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4、无法定依据实施行政许可或者超越法定权限作出行政许可决定的；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5、超过法定期限或者违反法定程序实施行政许可的；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6、在办理行政许可过程中索取或者收受他人财物或者谋取其他利益的；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7、其他违反法律法规规章文件规定的行为。</w:t>
            </w:r>
          </w:p>
          <w:p>
            <w:pPr>
              <w:spacing w:line="240" w:lineRule="exact"/>
              <w:textAlignment w:val="center"/>
              <w:rPr>
                <w:rFonts w:ascii="仿宋_GB2312" w:hAnsi="Arial" w:cs="Arial"/>
                <w:color w:val="000000" w:themeColor="text1"/>
                <w:kern w:val="0"/>
                <w:sz w:val="13"/>
                <w:szCs w:val="13"/>
              </w:rPr>
            </w:pPr>
          </w:p>
        </w:tc>
        <w:tc>
          <w:tcPr>
            <w:tcW w:w="1098" w:type="dxa"/>
            <w:gridSpan w:val="2"/>
            <w:tcBorders>
              <w:top w:val="single" w:color="auto" w:sz="4" w:space="0"/>
              <w:left w:val="single" w:color="auto" w:sz="4" w:space="0"/>
              <w:bottom w:val="single" w:color="auto" w:sz="4" w:space="0"/>
              <w:right w:val="single" w:color="auto" w:sz="4" w:space="0"/>
            </w:tcBorders>
          </w:tcPr>
          <w:p>
            <w:pPr>
              <w:spacing w:line="240" w:lineRule="exact"/>
              <w:textAlignment w:val="center"/>
              <w:rPr>
                <w:rFonts w:hint="eastAsia" w:ascii="仿宋_GB2312" w:hAnsi="Arial" w:cs="Arial"/>
                <w:color w:val="000000" w:themeColor="text1"/>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8225" w:hRule="exact"/>
        </w:trPr>
        <w:tc>
          <w:tcPr>
            <w:tcW w:w="4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hint="default" w:eastAsia="仿宋_GB2312"/>
                <w:sz w:val="20"/>
                <w:szCs w:val="20"/>
                <w:lang w:val="en-US" w:eastAsia="zh-CN"/>
              </w:rPr>
            </w:pPr>
            <w:r>
              <w:rPr>
                <w:rFonts w:hint="eastAsia"/>
                <w:sz w:val="20"/>
                <w:szCs w:val="20"/>
                <w:lang w:val="en-US" w:eastAsia="zh-CN"/>
              </w:rPr>
              <w:t>20</w:t>
            </w:r>
          </w:p>
        </w:tc>
        <w:tc>
          <w:tcPr>
            <w:tcW w:w="58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sz w:val="20"/>
                <w:szCs w:val="20"/>
              </w:rPr>
            </w:pPr>
            <w:r>
              <w:rPr>
                <w:rFonts w:hint="eastAsia"/>
                <w:sz w:val="20"/>
                <w:szCs w:val="20"/>
              </w:rPr>
              <w:t>行政许可</w:t>
            </w:r>
          </w:p>
        </w:tc>
        <w:tc>
          <w:tcPr>
            <w:tcW w:w="118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金融机构营业场所和金库安全防范设施建设工程验收</w:t>
            </w:r>
          </w:p>
        </w:tc>
        <w:tc>
          <w:tcPr>
            <w:tcW w:w="96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w:t>
            </w:r>
            <w:r>
              <w:rPr>
                <w:rFonts w:hint="eastAsia" w:ascii="仿宋_GB2312" w:hAnsi="Arial" w:cs="Arial"/>
                <w:color w:val="000000" w:themeColor="text1"/>
                <w:kern w:val="0"/>
                <w:sz w:val="13"/>
                <w:szCs w:val="13"/>
                <w:lang w:eastAsia="zh-CN"/>
              </w:rPr>
              <w:t>治安管理大队</w:t>
            </w:r>
          </w:p>
        </w:tc>
        <w:tc>
          <w:tcPr>
            <w:tcW w:w="5065"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《一、《金融机构营业场所和金库安全防范设施建设许可实施办法》（中华人民共和国公安部令第86号)第二条　在中华人民共和国境内新建、改建金融机构营业场所、金库的，实行安全防范设施建设许可制度。本办法所称金融机构营业场所，是指银行和其他金融机构办理现金出纳、有价证券、会计结算等业务的物理区域，包括自助服务银行营业场所和自动柜员机。本办法所称金库，是指银行和其他金融机构存放现金、有价证券、重要凭证、金银等贵重物品的库房，包括保安押运公司自建金库。第四条 金融机构营业场所、金库安全防范设施建设方案审批和工程验收实行“属地管理、分级审批”的原则，由县级以上人民政府公安机关负责实施。 各省、自治区、直辖市人民政府公安厅、局可以根据金融机构营业场所、金库的风险等级和防护级别等情况，结合本地区实际，确定本行政区域具体负责实施的公安机关，报公安部备案，并向社会公布。                                                                                      二、《关于&lt;贯彻执行金融机构营业场所和金库安全防范设施建设许可实施办法&gt;的通知》；依据文号：冀公治〔2006〕76号；条款号：全文。                                                                                     三、《国务院对确需保留的行政审批项目设定行政许可的决定》;依据文号：2016年8月25日中华人民共和国国务院令第671号；条款号:附件第41项：金融机构营业场所、金库安全防范设施建设方案审批及工程验收。实施机关：县级以上地方人民政府公安机关。</w:t>
            </w:r>
          </w:p>
        </w:tc>
        <w:tc>
          <w:tcPr>
            <w:tcW w:w="129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1、受理责任： 公示依法应当提交的材料；一次性告知补正材料；依法受理或不予受理（不予受理的告知理由）。</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2.审查责任：审核申请人是否具备办理港澳居民往来内地通行证换发、补发的法定资格条件，并提出审查意见。</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3.决定责任：作出许可或不予许可的决定（不予许可的书面告知理由）；按时办结；法定告知。</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4.其他法律法规规章文件规定应履行的责任。</w:t>
            </w:r>
          </w:p>
        </w:tc>
        <w:tc>
          <w:tcPr>
            <w:tcW w:w="237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因不履行或不正确履行行政职责，有下列情形的，公安机关及相关工作人员应承担相应责任：</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1、对符合金融机构营业场所和金库安全防范设施建设工程验收条件的申请不予受理的；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2、未依法说明不受理行政许可申请或者不予行政许可理由的；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3、依法应当公开行政许可事项和申请所需材料而不公开的；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4、无法定依据实施行政许可或者超越法定权限作出行政许可决定的；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5、超过法定期限或者违反法定程序实施行政许可的；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6、在办理行政许可过程中索取或者收受他人财物或者谋取其他利益的；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7、其他违反法律法规规章文件规定的行为。</w:t>
            </w:r>
          </w:p>
        </w:tc>
        <w:tc>
          <w:tcPr>
            <w:tcW w:w="1098" w:type="dxa"/>
            <w:gridSpan w:val="2"/>
            <w:tcBorders>
              <w:top w:val="single" w:color="auto" w:sz="4" w:space="0"/>
              <w:left w:val="single" w:color="auto" w:sz="4" w:space="0"/>
              <w:bottom w:val="single" w:color="auto" w:sz="4" w:space="0"/>
              <w:right w:val="single" w:color="auto" w:sz="4" w:space="0"/>
            </w:tcBorders>
          </w:tcPr>
          <w:p>
            <w:pPr>
              <w:spacing w:line="240" w:lineRule="exact"/>
              <w:textAlignment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8225" w:hRule="exact"/>
        </w:trPr>
        <w:tc>
          <w:tcPr>
            <w:tcW w:w="456" w:type="dxa"/>
            <w:vAlign w:val="center"/>
          </w:tcPr>
          <w:p>
            <w:pPr>
              <w:spacing w:line="240" w:lineRule="exact"/>
              <w:jc w:val="center"/>
              <w:textAlignment w:val="center"/>
              <w:rPr>
                <w:rFonts w:hint="default" w:eastAsia="仿宋_GB2312"/>
                <w:sz w:val="20"/>
                <w:szCs w:val="20"/>
                <w:lang w:val="en-US" w:eastAsia="zh-CN"/>
              </w:rPr>
            </w:pPr>
            <w:r>
              <w:rPr>
                <w:rFonts w:hint="eastAsia"/>
                <w:sz w:val="20"/>
                <w:szCs w:val="20"/>
                <w:lang w:val="en-US" w:eastAsia="zh-CN"/>
              </w:rPr>
              <w:t>21</w:t>
            </w:r>
          </w:p>
        </w:tc>
        <w:tc>
          <w:tcPr>
            <w:tcW w:w="589" w:type="dxa"/>
            <w:vAlign w:val="center"/>
          </w:tcPr>
          <w:p>
            <w:pPr>
              <w:widowControl/>
              <w:tabs>
                <w:tab w:val="left" w:pos="492"/>
              </w:tabs>
              <w:spacing w:line="240" w:lineRule="exact"/>
              <w:rPr>
                <w:sz w:val="20"/>
                <w:szCs w:val="20"/>
              </w:rPr>
            </w:pPr>
            <w:r>
              <w:rPr>
                <w:rFonts w:hint="eastAsia"/>
                <w:sz w:val="20"/>
                <w:szCs w:val="20"/>
              </w:rPr>
              <w:t>行政许可</w:t>
            </w:r>
          </w:p>
        </w:tc>
        <w:tc>
          <w:tcPr>
            <w:tcW w:w="1189" w:type="dxa"/>
            <w:gridSpan w:val="2"/>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金融机构营业场所和金库安全防范设施建设方案审批</w:t>
            </w:r>
          </w:p>
        </w:tc>
        <w:tc>
          <w:tcPr>
            <w:tcW w:w="965" w:type="dxa"/>
            <w:gridSpan w:val="2"/>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w:t>
            </w:r>
            <w:r>
              <w:rPr>
                <w:rFonts w:hint="eastAsia" w:ascii="仿宋_GB2312" w:hAnsi="Arial" w:cs="Arial"/>
                <w:color w:val="000000" w:themeColor="text1"/>
                <w:kern w:val="0"/>
                <w:sz w:val="13"/>
                <w:szCs w:val="13"/>
                <w:lang w:eastAsia="zh-CN"/>
              </w:rPr>
              <w:t>治安管理大队</w:t>
            </w:r>
          </w:p>
        </w:tc>
        <w:tc>
          <w:tcPr>
            <w:tcW w:w="5065" w:type="dxa"/>
            <w:gridSpan w:val="8"/>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一、《金融机构营业场所和金库安全防范设施建设许可实施办法》（中华人民共和国公安部令第86号)第二条　在中华人民共和国境内新建、改建金融机构营业场所、金库的，实行安全防范设施建设许可制度。本办法所称金融机构营业场所，是指银行和其他金融机构办理现金出纳、有价证券、会计结算等业务的物理区域，包括自助服务银行营业场所和自动柜员机。本办法所称金库，是指银行和其他金融机构存放现金、有价证券、重要凭证、金银等贵重物品的库房，包括保安押运公司自建金库。第四条 金融机构营业场所、金库安全防范设施建设方案审批和工程验收实行“属地管理、分级审批”的原则，由县级以上人民政府公安机关负责实施。 各省、自治区、直辖市人民政府公安厅、局可以根据金融机构营业场所、金库的风险等级和防护级别等情况，结合本地区实际，确定本行政区域具体负责实施的公安机关，报公安部备案，并向社会公布。                                                                                               二、《关于&lt;贯彻执行金融机构营业场所和金库安全防范设施建设许可实施办法&gt;的通知》；依据文号：冀公治〔2006〕76号；条款号：全文。                                                                                 三、《国务院对确需保留的行政审批项目设定行政许可的决定》;依据文号：2016年8月25日中华人民共和国国务院令第671号；条款号:附件第41项：金融机构营业场所、金库安全防范设施建设方案审批及工程验收。实施机关：县级以上地方人民政府公安机关。</w:t>
            </w:r>
          </w:p>
        </w:tc>
        <w:tc>
          <w:tcPr>
            <w:tcW w:w="1294" w:type="dxa"/>
            <w:gridSpan w:val="3"/>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1、受理责任： 依法应当提交的材料；一次性告知补正材料；依法受理或不予受理（不予受理的告知理由）。</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2、审查责任：对纸质申报材料进行审核，提出初审意见。</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3、决定责任：作出行政许可或者不予行政许可的决定（不予许可的告知理由）；按时办结；法定告知。</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4、送达责任：制发爆破作业单位许可证；信息公开。</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5、事后监管责任：对实施阶段定时检查。发现问题及时整改或作暂停处理。必要时收缴许可。</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6、其他法律法规规章文件规定应履行的责任。</w:t>
            </w:r>
          </w:p>
        </w:tc>
        <w:tc>
          <w:tcPr>
            <w:tcW w:w="2370" w:type="dxa"/>
            <w:gridSpan w:val="4"/>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因不履行或不正确履行行政职责，有下列情形的，公安机关及相关工作人员应承担相应责任：</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1、对金融机构营业场所和金库安全防范设施建设方案审批条件的申请不予受理的；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2、未依法说明不受理行政许可申请或者不予行政许可理由的；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3、依法应当公开行政许可事项和申请所需材料而不公开的；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4、无法定依据实施行政许可或者超越法定权限作出行政许可决定的；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 xml:space="preserve">5、行政许可后续监管不到位，造成严重后果的；                 </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6、其他违反法律法规规章文件规定的行为。</w:t>
            </w:r>
          </w:p>
        </w:tc>
        <w:tc>
          <w:tcPr>
            <w:tcW w:w="1098" w:type="dxa"/>
            <w:gridSpan w:val="2"/>
          </w:tcPr>
          <w:p>
            <w:pPr>
              <w:widowControl/>
              <w:tabs>
                <w:tab w:val="left" w:pos="492"/>
              </w:tabs>
              <w:spacing w:line="240" w:lineRule="exact"/>
              <w:rPr>
                <w:rFonts w:hint="eastAsia" w:ascii="仿宋_GB2312" w:hAnsi="Arial" w:cs="Arial"/>
                <w:color w:val="000000" w:themeColor="text1"/>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8509" w:hRule="exact"/>
        </w:trPr>
        <w:tc>
          <w:tcPr>
            <w:tcW w:w="456" w:type="dxa"/>
            <w:vAlign w:val="center"/>
          </w:tcPr>
          <w:p>
            <w:pPr>
              <w:spacing w:line="240" w:lineRule="exact"/>
              <w:jc w:val="center"/>
              <w:textAlignment w:val="center"/>
              <w:rPr>
                <w:rFonts w:hint="default" w:eastAsia="仿宋_GB2312"/>
                <w:sz w:val="20"/>
                <w:szCs w:val="20"/>
                <w:lang w:val="en-US" w:eastAsia="zh-CN"/>
              </w:rPr>
            </w:pPr>
            <w:r>
              <w:rPr>
                <w:rFonts w:hint="eastAsia"/>
                <w:sz w:val="20"/>
                <w:szCs w:val="20"/>
                <w:lang w:val="en-US" w:eastAsia="zh-CN"/>
              </w:rPr>
              <w:t>22</w:t>
            </w:r>
          </w:p>
        </w:tc>
        <w:tc>
          <w:tcPr>
            <w:tcW w:w="589" w:type="dxa"/>
            <w:vAlign w:val="center"/>
          </w:tcPr>
          <w:p>
            <w:pPr>
              <w:widowControl/>
              <w:tabs>
                <w:tab w:val="left" w:pos="492"/>
              </w:tabs>
              <w:spacing w:line="240" w:lineRule="exact"/>
              <w:rPr>
                <w:sz w:val="20"/>
                <w:szCs w:val="20"/>
              </w:rPr>
            </w:pPr>
            <w:r>
              <w:rPr>
                <w:rFonts w:hint="eastAsia"/>
                <w:sz w:val="20"/>
                <w:szCs w:val="20"/>
              </w:rPr>
              <w:t>行政许可</w:t>
            </w:r>
          </w:p>
        </w:tc>
        <w:tc>
          <w:tcPr>
            <w:tcW w:w="1189" w:type="dxa"/>
            <w:gridSpan w:val="2"/>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剧毒化学品道路运输通行许可</w:t>
            </w:r>
          </w:p>
        </w:tc>
        <w:tc>
          <w:tcPr>
            <w:tcW w:w="965" w:type="dxa"/>
            <w:gridSpan w:val="2"/>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w:t>
            </w:r>
            <w:r>
              <w:rPr>
                <w:rFonts w:hint="eastAsia" w:ascii="仿宋_GB2312" w:hAnsi="Arial" w:cs="Arial"/>
                <w:color w:val="000000" w:themeColor="text1"/>
                <w:kern w:val="0"/>
                <w:sz w:val="13"/>
                <w:szCs w:val="13"/>
                <w:lang w:eastAsia="zh-CN"/>
              </w:rPr>
              <w:t>治安管理大队</w:t>
            </w:r>
          </w:p>
        </w:tc>
        <w:tc>
          <w:tcPr>
            <w:tcW w:w="5065" w:type="dxa"/>
            <w:gridSpan w:val="8"/>
            <w:vAlign w:val="center"/>
          </w:tcPr>
          <w:p>
            <w:pPr>
              <w:widowControl/>
              <w:tabs>
                <w:tab w:val="left" w:pos="492"/>
              </w:tabs>
              <w:spacing w:line="240" w:lineRule="exact"/>
              <w:rPr>
                <w:rFonts w:hint="eastAsia" w:ascii="仿宋_GB2312" w:hAnsi="Arial" w:cs="Arial"/>
                <w:color w:val="000000" w:themeColor="text1"/>
                <w:kern w:val="0"/>
                <w:sz w:val="13"/>
                <w:szCs w:val="13"/>
              </w:rPr>
            </w:pPr>
            <w:r>
              <w:rPr>
                <w:rFonts w:hint="eastAsia" w:ascii="仿宋_GB2312" w:hAnsi="Arial" w:cs="Arial"/>
                <w:color w:val="000000" w:themeColor="text1"/>
                <w:kern w:val="0"/>
                <w:sz w:val="13"/>
                <w:szCs w:val="13"/>
              </w:rPr>
              <w:t>一、《中华人民共和国道路交通安全法》（主席令第47号）第四十八条第三款：机动车载运爆炸物品、易燃易爆化学物品以及剧毒、放射性等危险物品，应当经公安机关批准后，按指定的时间、路线、速度行驶，悬挂警示标志并采取必要的安全措施。</w:t>
            </w:r>
          </w:p>
          <w:p>
            <w:pPr>
              <w:widowControl/>
              <w:tabs>
                <w:tab w:val="left" w:pos="492"/>
              </w:tabs>
              <w:spacing w:line="240" w:lineRule="exact"/>
              <w:rPr>
                <w:rFonts w:hint="eastAsia" w:ascii="仿宋_GB2312" w:hAnsi="Arial" w:cs="Arial"/>
                <w:color w:val="000000" w:themeColor="text1"/>
                <w:kern w:val="0"/>
                <w:sz w:val="13"/>
                <w:szCs w:val="13"/>
              </w:rPr>
            </w:pPr>
            <w:r>
              <w:rPr>
                <w:rFonts w:hint="eastAsia" w:ascii="仿宋_GB2312" w:hAnsi="Arial" w:cs="Arial"/>
                <w:color w:val="000000" w:themeColor="text1"/>
                <w:kern w:val="0"/>
                <w:sz w:val="13"/>
                <w:szCs w:val="13"/>
              </w:rPr>
              <w:t>二、《危险化学品安全管理条例》（2002年3月15日起施行）第五十条第一款：通过道路运输剧毒化学品的，托运人应当向运输始发地或者目的地县级人民政府公安机关申请剧毒化学品道路运输通行证。</w:t>
            </w:r>
          </w:p>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三、公安部第77号令《剧毒化学品购买和公路运输许可证件管理办法》第八条 需要通过公路运输剧毒化学品的，应当向运输目的地县级人民政府公安机关交通管理部门申领《剧毒化学品公路运输通行证》。申领时，托运人应当如实填写《剧毒化学品公路运输通行证申请表》，同时提交下列证明文件和资料，并接受公安机关交通管理部门对运输车辆和驾驶人、押运人员的查验、审核</w:t>
            </w:r>
          </w:p>
        </w:tc>
        <w:tc>
          <w:tcPr>
            <w:tcW w:w="1294" w:type="dxa"/>
            <w:gridSpan w:val="3"/>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1、受理责任： 依法应当提交的材料；一次性告知补正材料；依法受理或不予受理（不予受理的告知理由）。</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2、审查责任：对纸质申报材料进行审核，提出初审意见。</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3、决定责任：作出行政许可或者不予行政许可的决定（不予许可的告知理由）；按时办结；法定告知。</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4、送达责任：制发爆破作业人员许可证；信息公开。</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5、事后监管责任：对实施阶段定时检查。发现问题及时整改或作暂停处理。必要时收缴许可。</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6、其他法律法规规章文件规定应履行的责任。</w:t>
            </w:r>
          </w:p>
        </w:tc>
        <w:tc>
          <w:tcPr>
            <w:tcW w:w="2370" w:type="dxa"/>
            <w:gridSpan w:val="4"/>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因不履行或不正确履行行政职责，有下列情形的，公安机关及相关工作人员应承担相应责任：</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1、对剧毒化学品道路运输通行许可证条件的申请不予受理的；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2、未依法说明不受理行政许可申请或者不予行政许可理由的；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3、依法应当公开行政许可事项和申请所需材料而不公开的；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4、无法定依据实施行政许可或者超越法定权限作出行政许可决定的；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 xml:space="preserve">5、行政许可后续监管不到位，造成严重后果的；                 </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6、其他违反法律法规规章文件规定的行为。</w:t>
            </w:r>
          </w:p>
        </w:tc>
        <w:tc>
          <w:tcPr>
            <w:tcW w:w="1098" w:type="dxa"/>
            <w:gridSpan w:val="2"/>
          </w:tcPr>
          <w:p>
            <w:pPr>
              <w:widowControl/>
              <w:tabs>
                <w:tab w:val="left" w:pos="492"/>
              </w:tabs>
              <w:spacing w:line="240" w:lineRule="exact"/>
              <w:rPr>
                <w:rFonts w:hint="eastAsia" w:ascii="仿宋_GB2312" w:hAnsi="Arial" w:cs="Arial"/>
                <w:color w:val="000000" w:themeColor="text1"/>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8509" w:hRule="exact"/>
        </w:trPr>
        <w:tc>
          <w:tcPr>
            <w:tcW w:w="456" w:type="dxa"/>
            <w:vAlign w:val="center"/>
          </w:tcPr>
          <w:p>
            <w:pPr>
              <w:spacing w:line="240" w:lineRule="exact"/>
              <w:jc w:val="center"/>
              <w:textAlignment w:val="center"/>
              <w:rPr>
                <w:rFonts w:hint="default" w:eastAsia="仿宋_GB2312"/>
                <w:sz w:val="20"/>
                <w:szCs w:val="20"/>
                <w:lang w:val="en-US" w:eastAsia="zh-CN"/>
              </w:rPr>
            </w:pPr>
            <w:r>
              <w:rPr>
                <w:rFonts w:hint="eastAsia"/>
                <w:sz w:val="20"/>
                <w:szCs w:val="20"/>
                <w:lang w:val="en-US" w:eastAsia="zh-CN"/>
              </w:rPr>
              <w:t>23</w:t>
            </w:r>
          </w:p>
        </w:tc>
        <w:tc>
          <w:tcPr>
            <w:tcW w:w="589" w:type="dxa"/>
            <w:vAlign w:val="center"/>
          </w:tcPr>
          <w:p>
            <w:pPr>
              <w:widowControl/>
              <w:tabs>
                <w:tab w:val="left" w:pos="492"/>
              </w:tabs>
              <w:spacing w:line="240" w:lineRule="exact"/>
              <w:rPr>
                <w:sz w:val="20"/>
                <w:szCs w:val="20"/>
              </w:rPr>
            </w:pPr>
            <w:r>
              <w:rPr>
                <w:rFonts w:hint="eastAsia"/>
                <w:sz w:val="20"/>
                <w:szCs w:val="20"/>
              </w:rPr>
              <w:t>行政许可</w:t>
            </w:r>
          </w:p>
        </w:tc>
        <w:tc>
          <w:tcPr>
            <w:tcW w:w="1189" w:type="dxa"/>
            <w:gridSpan w:val="2"/>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 xml:space="preserve"> 运输危险化学品的车辆进入危险化学品运输车辆限制通行区域审批</w:t>
            </w:r>
          </w:p>
        </w:tc>
        <w:tc>
          <w:tcPr>
            <w:tcW w:w="965" w:type="dxa"/>
            <w:gridSpan w:val="2"/>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w:t>
            </w:r>
            <w:r>
              <w:rPr>
                <w:rFonts w:hint="eastAsia" w:ascii="仿宋_GB2312" w:hAnsi="Arial" w:cs="Arial"/>
                <w:color w:val="000000" w:themeColor="text1"/>
                <w:kern w:val="0"/>
                <w:sz w:val="13"/>
                <w:szCs w:val="13"/>
                <w:lang w:eastAsia="zh-CN"/>
              </w:rPr>
              <w:t>治安管理大队</w:t>
            </w:r>
          </w:p>
        </w:tc>
        <w:tc>
          <w:tcPr>
            <w:tcW w:w="5065" w:type="dxa"/>
            <w:gridSpan w:val="8"/>
            <w:vAlign w:val="center"/>
          </w:tcPr>
          <w:p>
            <w:pPr>
              <w:widowControl/>
              <w:tabs>
                <w:tab w:val="left" w:pos="492"/>
              </w:tabs>
              <w:spacing w:line="240" w:lineRule="exact"/>
              <w:rPr>
                <w:rFonts w:hint="eastAsia" w:ascii="仿宋_GB2312" w:hAnsi="Arial" w:cs="Arial"/>
                <w:color w:val="000000" w:themeColor="text1"/>
                <w:kern w:val="0"/>
                <w:sz w:val="13"/>
                <w:szCs w:val="13"/>
              </w:rPr>
            </w:pPr>
            <w:r>
              <w:rPr>
                <w:rFonts w:hint="eastAsia" w:ascii="仿宋_GB2312" w:hAnsi="Arial" w:cs="Arial"/>
                <w:color w:val="000000" w:themeColor="text1"/>
                <w:kern w:val="0"/>
                <w:sz w:val="13"/>
                <w:szCs w:val="13"/>
              </w:rPr>
              <w:t>一、《中华人民共和国道路交通安全法》（主席令第47号  2011年5月1日修订）第三十九条：公安机关交通管理部门根据道路和交通流量的具体情况，可以对机动车、非机动车、行人采取疏导、限制通行、禁止通行等措施。遇有大型群众性活动、大范围施工等情况，需要采取限制交通的措施，或者作出与公众的道路交通活动直接有关的决定，应当提前向社会公告。</w:t>
            </w:r>
          </w:p>
          <w:p>
            <w:pPr>
              <w:widowControl/>
              <w:tabs>
                <w:tab w:val="left" w:pos="492"/>
              </w:tabs>
              <w:spacing w:line="240" w:lineRule="exact"/>
              <w:rPr>
                <w:rFonts w:hint="eastAsia" w:ascii="仿宋_GB2312" w:hAnsi="Arial" w:cs="Arial"/>
                <w:color w:val="000000" w:themeColor="text1"/>
                <w:kern w:val="0"/>
                <w:sz w:val="13"/>
                <w:szCs w:val="13"/>
              </w:rPr>
            </w:pPr>
            <w:r>
              <w:rPr>
                <w:rFonts w:hint="eastAsia" w:ascii="仿宋_GB2312" w:hAnsi="Arial" w:cs="Arial"/>
                <w:color w:val="000000" w:themeColor="text1"/>
                <w:kern w:val="0"/>
                <w:sz w:val="13"/>
                <w:szCs w:val="13"/>
              </w:rPr>
              <w:t>《危险化学品安全管理条例》（国务院令第591号  2011年12月1日施行）第四十九条：未经公安机关批准，运输危险化学品的车辆不得进入危险化学品运输车辆限制通行的区域。危险化学品运输车辆限制通行的区域由县级人民政府公安机关划定，并设置明显的标志。</w:t>
            </w:r>
          </w:p>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二、《河北省实施&lt;中华人民共和国道路交通安全法&gt;办法》（2007年3月1日施行）第二十二条：在限制通行的区域或者路段确需通行的机动车，应当随车携带公安机关交通管理部门核发的通行证件，并按规定的时间、区域、路线通行。</w:t>
            </w:r>
          </w:p>
        </w:tc>
        <w:tc>
          <w:tcPr>
            <w:tcW w:w="1294" w:type="dxa"/>
            <w:gridSpan w:val="3"/>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1、受理责任： 依法应当提交的材料；一次性告知补正材料；依法受理或不予受理（不予受理的告知理由）。</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2、审查责任：对纸质申报材料进行审核，提出初审意见。</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3、决定责任：作出行政许可或者不予行政许可的决定（不予许可的告知理由）；按时办结；法定告知。</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4、送达责任：制发爆破作业人员许可证；信息公开。</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5、事后监管责任：对实施阶段定时检查。发现问题及时整改或作暂停处理。必要时收缴许可。</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6、其他法律法规规章文件规定应履行的责任。</w:t>
            </w:r>
          </w:p>
        </w:tc>
        <w:tc>
          <w:tcPr>
            <w:tcW w:w="2370" w:type="dxa"/>
            <w:gridSpan w:val="4"/>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因不履行或不正确履行行政职责，有下列情形的，公安机关及相关工作人员应承担相应责任：</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1、对符合运输危险化学品的车辆进入危险化学品运输车辆限制通行区域审批许可证条件的申请不予受理的；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2、未依法说明不受理行政许可申请或者不予行政许可理由的；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3、依法应当公开行政许可事项和申请所需材料而不公开的；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4、无法定依据实施行政许可或者超越法定权限作出行政许可决定的；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 xml:space="preserve">5、行政许可后续监管不到位，造成严重后果的；                 </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6、其他违反法律法规规章文件规定的行为。</w:t>
            </w:r>
          </w:p>
        </w:tc>
        <w:tc>
          <w:tcPr>
            <w:tcW w:w="1098" w:type="dxa"/>
            <w:gridSpan w:val="2"/>
          </w:tcPr>
          <w:p>
            <w:pPr>
              <w:widowControl/>
              <w:tabs>
                <w:tab w:val="left" w:pos="492"/>
              </w:tabs>
              <w:spacing w:line="240" w:lineRule="exact"/>
              <w:rPr>
                <w:rFonts w:hint="eastAsia" w:ascii="仿宋_GB2312" w:hAnsi="Arial" w:cs="Arial"/>
                <w:color w:val="000000" w:themeColor="text1"/>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6301" w:hRule="exact"/>
        </w:trPr>
        <w:tc>
          <w:tcPr>
            <w:tcW w:w="456" w:type="dxa"/>
            <w:tcBorders>
              <w:top w:val="single" w:color="auto" w:sz="4" w:space="0"/>
              <w:left w:val="single" w:color="auto" w:sz="4" w:space="0"/>
              <w:bottom w:val="single" w:color="auto" w:sz="4" w:space="0"/>
              <w:right w:val="single" w:color="auto" w:sz="4" w:space="0"/>
            </w:tcBorders>
            <w:vAlign w:val="center"/>
          </w:tcPr>
          <w:p>
            <w:pPr>
              <w:tabs>
                <w:tab w:val="left" w:pos="7937"/>
              </w:tabs>
              <w:spacing w:line="240" w:lineRule="exact"/>
              <w:jc w:val="center"/>
              <w:rPr>
                <w:rFonts w:hint="default" w:ascii="宋体" w:hAnsi="宋体" w:eastAsia="宋体"/>
                <w:sz w:val="18"/>
                <w:lang w:val="en-US" w:eastAsia="zh-CN"/>
              </w:rPr>
            </w:pPr>
            <w:r>
              <w:rPr>
                <w:rFonts w:hint="eastAsia" w:ascii="宋体" w:hAnsi="宋体" w:eastAsia="宋体"/>
                <w:sz w:val="18"/>
                <w:lang w:val="en-US" w:eastAsia="zh-CN"/>
              </w:rPr>
              <w:t>24</w:t>
            </w:r>
          </w:p>
        </w:tc>
        <w:tc>
          <w:tcPr>
            <w:tcW w:w="589" w:type="dxa"/>
            <w:tcBorders>
              <w:top w:val="single" w:color="auto" w:sz="4" w:space="0"/>
              <w:left w:val="single" w:color="auto" w:sz="4" w:space="0"/>
              <w:bottom w:val="single" w:color="auto" w:sz="4" w:space="0"/>
              <w:right w:val="single" w:color="auto" w:sz="4" w:space="0"/>
            </w:tcBorders>
            <w:vAlign w:val="center"/>
          </w:tcPr>
          <w:p>
            <w:pPr>
              <w:tabs>
                <w:tab w:val="left" w:pos="7937"/>
              </w:tabs>
              <w:spacing w:line="240" w:lineRule="exact"/>
              <w:jc w:val="center"/>
              <w:rPr>
                <w:rFonts w:ascii="宋体" w:hAnsi="宋体" w:eastAsia="宋体"/>
                <w:sz w:val="18"/>
              </w:rPr>
            </w:pPr>
            <w:r>
              <w:rPr>
                <w:rFonts w:hint="eastAsia" w:ascii="宋体" w:hAnsi="宋体" w:eastAsia="宋体"/>
                <w:sz w:val="18"/>
              </w:rPr>
              <w:t>行政许可</w:t>
            </w:r>
          </w:p>
        </w:tc>
        <w:tc>
          <w:tcPr>
            <w:tcW w:w="1189" w:type="dxa"/>
            <w:gridSpan w:val="2"/>
            <w:tcBorders>
              <w:top w:val="single" w:color="auto" w:sz="4" w:space="0"/>
              <w:left w:val="single" w:color="auto" w:sz="4" w:space="0"/>
              <w:bottom w:val="single" w:color="auto" w:sz="4" w:space="0"/>
              <w:right w:val="single" w:color="auto" w:sz="4" w:space="0"/>
            </w:tcBorders>
            <w:vAlign w:val="center"/>
          </w:tcPr>
          <w:p>
            <w:pPr>
              <w:tabs>
                <w:tab w:val="left" w:pos="7937"/>
              </w:tabs>
              <w:spacing w:line="240" w:lineRule="exact"/>
              <w:jc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第二类易制毒化学品运输许可</w:t>
            </w:r>
          </w:p>
        </w:tc>
        <w:tc>
          <w:tcPr>
            <w:tcW w:w="965" w:type="dxa"/>
            <w:gridSpan w:val="2"/>
            <w:tcBorders>
              <w:top w:val="single" w:color="auto" w:sz="4" w:space="0"/>
              <w:left w:val="single" w:color="auto" w:sz="4" w:space="0"/>
              <w:bottom w:val="single" w:color="auto" w:sz="4" w:space="0"/>
              <w:right w:val="single" w:color="auto" w:sz="4" w:space="0"/>
            </w:tcBorders>
            <w:vAlign w:val="center"/>
          </w:tcPr>
          <w:p>
            <w:pPr>
              <w:tabs>
                <w:tab w:val="left" w:pos="7937"/>
              </w:tabs>
              <w:spacing w:line="240" w:lineRule="exact"/>
              <w:jc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唐山市公安局开平分局刑警大队</w:t>
            </w:r>
          </w:p>
        </w:tc>
        <w:tc>
          <w:tcPr>
            <w:tcW w:w="5065" w:type="dxa"/>
            <w:gridSpan w:val="8"/>
            <w:tcBorders>
              <w:top w:val="single" w:color="auto" w:sz="4" w:space="0"/>
              <w:left w:val="single" w:color="auto" w:sz="4" w:space="0"/>
              <w:bottom w:val="single" w:color="auto" w:sz="4" w:space="0"/>
              <w:right w:val="single" w:color="auto" w:sz="4" w:space="0"/>
            </w:tcBorders>
            <w:vAlign w:val="center"/>
          </w:tcPr>
          <w:p>
            <w:pPr>
              <w:tabs>
                <w:tab w:val="left" w:pos="7937"/>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易制毒化学品管理条例（</w:t>
            </w:r>
            <w:r>
              <w:rPr>
                <w:rFonts w:ascii="仿宋_GB2312" w:hAnsi="Arial" w:cs="Arial"/>
                <w:color w:val="000000" w:themeColor="text1"/>
                <w:kern w:val="0"/>
                <w:sz w:val="13"/>
                <w:szCs w:val="13"/>
              </w:rPr>
              <w:t>2018</w:t>
            </w:r>
            <w:r>
              <w:rPr>
                <w:rFonts w:hint="eastAsia" w:ascii="仿宋_GB2312" w:hAnsi="Arial" w:cs="Arial"/>
                <w:color w:val="000000" w:themeColor="text1"/>
                <w:kern w:val="0"/>
                <w:sz w:val="13"/>
                <w:szCs w:val="13"/>
              </w:rPr>
              <w:t>年</w:t>
            </w:r>
            <w:r>
              <w:rPr>
                <w:rFonts w:ascii="仿宋_GB2312" w:hAnsi="Arial" w:cs="Arial"/>
                <w:color w:val="000000" w:themeColor="text1"/>
                <w:kern w:val="0"/>
                <w:sz w:val="13"/>
                <w:szCs w:val="13"/>
              </w:rPr>
              <w:t>9</w:t>
            </w:r>
            <w:r>
              <w:rPr>
                <w:rFonts w:hint="eastAsia" w:ascii="仿宋_GB2312" w:hAnsi="Arial" w:cs="Arial"/>
                <w:color w:val="000000" w:themeColor="text1"/>
                <w:kern w:val="0"/>
                <w:sz w:val="13"/>
                <w:szCs w:val="13"/>
              </w:rPr>
              <w:t>月</w:t>
            </w:r>
            <w:r>
              <w:rPr>
                <w:rFonts w:ascii="仿宋_GB2312" w:hAnsi="Arial" w:cs="Arial"/>
                <w:color w:val="000000" w:themeColor="text1"/>
                <w:kern w:val="0"/>
                <w:sz w:val="13"/>
                <w:szCs w:val="13"/>
              </w:rPr>
              <w:t>18</w:t>
            </w:r>
            <w:r>
              <w:rPr>
                <w:rFonts w:hint="eastAsia" w:ascii="仿宋_GB2312" w:hAnsi="Arial" w:cs="Arial"/>
                <w:color w:val="000000" w:themeColor="text1"/>
                <w:kern w:val="0"/>
                <w:sz w:val="13"/>
                <w:szCs w:val="13"/>
              </w:rPr>
              <w:t>日修正版）第二十条：跨设区的市级行政区域或者在国务院公安部门确定的禁毒形势严峻的重点地区跨县级行政区域运输第一类易制毒化学品的</w:t>
            </w:r>
            <w:r>
              <w:rPr>
                <w:rFonts w:ascii="仿宋_GB2312" w:hAnsi="Arial" w:cs="Arial"/>
                <w:color w:val="000000" w:themeColor="text1"/>
                <w:kern w:val="0"/>
                <w:sz w:val="13"/>
                <w:szCs w:val="13"/>
              </w:rPr>
              <w:t>,</w:t>
            </w:r>
            <w:r>
              <w:rPr>
                <w:rFonts w:hint="eastAsia" w:ascii="仿宋_GB2312" w:hAnsi="Arial" w:cs="Arial"/>
                <w:color w:val="000000" w:themeColor="text1"/>
                <w:kern w:val="0"/>
                <w:sz w:val="13"/>
                <w:szCs w:val="13"/>
              </w:rPr>
              <w:t>由运出地的设区的市级人民政府公安机关审批</w:t>
            </w:r>
            <w:r>
              <w:rPr>
                <w:rFonts w:ascii="仿宋_GB2312" w:hAnsi="Arial" w:cs="Arial"/>
                <w:color w:val="000000" w:themeColor="text1"/>
                <w:kern w:val="0"/>
                <w:sz w:val="13"/>
                <w:szCs w:val="13"/>
              </w:rPr>
              <w:t>;</w:t>
            </w:r>
            <w:r>
              <w:rPr>
                <w:rFonts w:hint="eastAsia" w:ascii="仿宋_GB2312" w:hAnsi="Arial" w:cs="Arial"/>
                <w:color w:val="000000" w:themeColor="text1"/>
                <w:kern w:val="0"/>
                <w:sz w:val="13"/>
                <w:szCs w:val="13"/>
              </w:rPr>
              <w:t>运输第二类易制毒化学品的</w:t>
            </w:r>
            <w:r>
              <w:rPr>
                <w:rFonts w:ascii="仿宋_GB2312" w:hAnsi="Arial" w:cs="Arial"/>
                <w:color w:val="000000" w:themeColor="text1"/>
                <w:kern w:val="0"/>
                <w:sz w:val="13"/>
                <w:szCs w:val="13"/>
              </w:rPr>
              <w:t>,</w:t>
            </w:r>
            <w:r>
              <w:rPr>
                <w:rFonts w:hint="eastAsia" w:ascii="仿宋_GB2312" w:hAnsi="Arial" w:cs="Arial"/>
                <w:color w:val="000000" w:themeColor="text1"/>
                <w:kern w:val="0"/>
                <w:sz w:val="13"/>
                <w:szCs w:val="13"/>
              </w:rPr>
              <w:t>由运出地的县级人民政府公安机关审批。经审批取得易制毒化学品运输许可证后</w:t>
            </w:r>
            <w:r>
              <w:rPr>
                <w:rFonts w:ascii="仿宋_GB2312" w:hAnsi="Arial" w:cs="Arial"/>
                <w:color w:val="000000" w:themeColor="text1"/>
                <w:kern w:val="0"/>
                <w:sz w:val="13"/>
                <w:szCs w:val="13"/>
              </w:rPr>
              <w:t>,</w:t>
            </w:r>
            <w:r>
              <w:rPr>
                <w:rFonts w:hint="eastAsia" w:ascii="仿宋_GB2312" w:hAnsi="Arial" w:cs="Arial"/>
                <w:color w:val="000000" w:themeColor="text1"/>
                <w:kern w:val="0"/>
                <w:sz w:val="13"/>
                <w:szCs w:val="13"/>
              </w:rPr>
              <w:t>方可运输。</w:t>
            </w:r>
          </w:p>
        </w:tc>
        <w:tc>
          <w:tcPr>
            <w:tcW w:w="1294" w:type="dxa"/>
            <w:gridSpan w:val="3"/>
            <w:tcBorders>
              <w:top w:val="single" w:color="auto" w:sz="4" w:space="0"/>
              <w:left w:val="single" w:color="auto" w:sz="4" w:space="0"/>
              <w:bottom w:val="single" w:color="auto" w:sz="4" w:space="0"/>
              <w:right w:val="single" w:color="auto" w:sz="4" w:space="0"/>
            </w:tcBorders>
            <w:vAlign w:val="center"/>
          </w:tcPr>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1、受理责任：公示应当提交的材料，一次性告知补正材料，依法受理或不予受理（不予受理应当告知理由）。</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2、决定责任；作出行政许可或者不予行政许可决定。</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3、事后监管责任：建立实施监督检查的运行机制和管理制度，开展定期和不定期检查，依法采取相关处置措施。</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4、其他法律法规规章文件规定应履行的责任。</w:t>
            </w:r>
          </w:p>
        </w:tc>
        <w:tc>
          <w:tcPr>
            <w:tcW w:w="2370" w:type="dxa"/>
            <w:gridSpan w:val="4"/>
            <w:tcBorders>
              <w:top w:val="single" w:color="auto" w:sz="4" w:space="0"/>
              <w:left w:val="single" w:color="auto" w:sz="4" w:space="0"/>
              <w:bottom w:val="single" w:color="auto" w:sz="4" w:space="0"/>
              <w:right w:val="single" w:color="auto" w:sz="4" w:space="0"/>
            </w:tcBorders>
            <w:vAlign w:val="center"/>
          </w:tcPr>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易制毒化学品行政主管部门工作人员在管理工作中有应当许可而不许可、不应当许可而滥许可，不依法受理备案，以及其他滥用职权、玩忽职守、徇私舞弊行为的，依法给予行政处分</w:t>
            </w:r>
            <w:r>
              <w:rPr>
                <w:rFonts w:ascii="仿宋_GB2312" w:hAnsi="Arial" w:cs="Arial"/>
                <w:color w:val="000000" w:themeColor="text1"/>
                <w:kern w:val="0"/>
                <w:sz w:val="13"/>
                <w:szCs w:val="13"/>
              </w:rPr>
              <w:t>;</w:t>
            </w:r>
            <w:r>
              <w:rPr>
                <w:rFonts w:hint="eastAsia" w:ascii="仿宋_GB2312" w:hAnsi="Arial" w:cs="Arial"/>
                <w:color w:val="000000" w:themeColor="text1"/>
                <w:kern w:val="0"/>
                <w:sz w:val="13"/>
                <w:szCs w:val="13"/>
              </w:rPr>
              <w:t>构成犯罪的，依法追究刑事责任。</w:t>
            </w:r>
          </w:p>
        </w:tc>
        <w:tc>
          <w:tcPr>
            <w:tcW w:w="1098" w:type="dxa"/>
            <w:gridSpan w:val="2"/>
            <w:tcBorders>
              <w:top w:val="single" w:color="auto" w:sz="4" w:space="0"/>
              <w:left w:val="single" w:color="auto" w:sz="4" w:space="0"/>
              <w:bottom w:val="single" w:color="auto" w:sz="4" w:space="0"/>
              <w:right w:val="single" w:color="auto" w:sz="4" w:space="0"/>
            </w:tcBorders>
          </w:tcPr>
          <w:p>
            <w:pPr>
              <w:tabs>
                <w:tab w:val="left" w:pos="7937"/>
              </w:tabs>
              <w:spacing w:line="280" w:lineRule="exact"/>
              <w:rPr>
                <w:rFonts w:hint="eastAsia" w:ascii="仿宋_GB2312" w:hAnsi="Arial" w:cs="Arial"/>
                <w:color w:val="000000" w:themeColor="text1"/>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6301" w:hRule="exact"/>
        </w:trPr>
        <w:tc>
          <w:tcPr>
            <w:tcW w:w="456"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仿宋_GB2312" w:hAnsi="仿宋_GB2312" w:eastAsia="仿宋_GB2312"/>
                <w:color w:val="auto"/>
                <w:sz w:val="24"/>
                <w:szCs w:val="24"/>
                <w:lang w:val="en-US" w:eastAsia="zh-CN"/>
              </w:rPr>
            </w:pPr>
            <w:r>
              <w:rPr>
                <w:rFonts w:hint="eastAsia" w:ascii="仿宋_GB2312" w:hAnsi="仿宋_GB2312"/>
                <w:color w:val="auto"/>
                <w:sz w:val="24"/>
                <w:szCs w:val="24"/>
                <w:lang w:val="en-US" w:eastAsia="zh-CN"/>
              </w:rPr>
              <w:t>25</w:t>
            </w:r>
          </w:p>
        </w:tc>
        <w:tc>
          <w:tcPr>
            <w:tcW w:w="589" w:type="dxa"/>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行政许可</w:t>
            </w:r>
          </w:p>
        </w:tc>
        <w:tc>
          <w:tcPr>
            <w:tcW w:w="118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户口迁移审批</w:t>
            </w:r>
          </w:p>
        </w:tc>
        <w:tc>
          <w:tcPr>
            <w:tcW w:w="96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唐山市公安局开平分局</w:t>
            </w:r>
            <w:r>
              <w:rPr>
                <w:rFonts w:hint="eastAsia" w:ascii="仿宋_GB2312" w:hAnsi="仿宋_GB2312" w:eastAsia="仿宋_GB2312" w:cs="仿宋_GB2312"/>
                <w:color w:val="auto"/>
                <w:kern w:val="0"/>
                <w:sz w:val="21"/>
                <w:szCs w:val="21"/>
                <w:lang w:eastAsia="zh-CN"/>
              </w:rPr>
              <w:t>户政科</w:t>
            </w:r>
          </w:p>
        </w:tc>
        <w:tc>
          <w:tcPr>
            <w:tcW w:w="5065"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《中华人民共和国户口登记条例》</w:t>
            </w:r>
          </w:p>
          <w:p>
            <w:pPr>
              <w:spacing w:line="240" w:lineRule="exac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《国务院关于进一步推进户籍制度改革的意见》（国发〔2014〕25 号）</w:t>
            </w:r>
          </w:p>
          <w:p>
            <w:pPr>
              <w:spacing w:line="240" w:lineRule="exact"/>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《户口居民身份证管理工作规范（试行）》（公通字〔2021〕12</w:t>
            </w:r>
          </w:p>
        </w:tc>
        <w:tc>
          <w:tcPr>
            <w:tcW w:w="243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仿宋_GB2312" w:hAnsi="仿宋_GB2312" w:eastAsia="仿宋_GB2312" w:cs="仿宋_GB2312"/>
                <w:color w:val="auto"/>
                <w:kern w:val="0"/>
                <w:sz w:val="13"/>
                <w:szCs w:val="13"/>
                <w:lang w:val="en-US" w:eastAsia="zh-CN"/>
              </w:rPr>
            </w:pPr>
            <w:r>
              <w:rPr>
                <w:rFonts w:hint="eastAsia" w:ascii="仿宋_GB2312" w:hAnsi="仿宋_GB2312" w:eastAsia="仿宋_GB2312" w:cs="仿宋_GB2312"/>
                <w:color w:val="auto"/>
                <w:kern w:val="0"/>
                <w:sz w:val="13"/>
                <w:szCs w:val="13"/>
                <w:lang w:val="en-US" w:eastAsia="zh-CN"/>
              </w:rPr>
              <w:t>）《中华人民共和国行政许可法》第四十二条 除可以当场作出行</w:t>
            </w:r>
          </w:p>
          <w:p>
            <w:pPr>
              <w:spacing w:line="240" w:lineRule="exact"/>
              <w:jc w:val="left"/>
              <w:rPr>
                <w:rFonts w:hint="eastAsia" w:ascii="仿宋_GB2312" w:hAnsi="仿宋_GB2312" w:eastAsia="仿宋_GB2312" w:cs="仿宋_GB2312"/>
                <w:color w:val="auto"/>
                <w:kern w:val="0"/>
                <w:sz w:val="13"/>
                <w:szCs w:val="13"/>
                <w:lang w:val="en-US" w:eastAsia="zh-CN"/>
              </w:rPr>
            </w:pPr>
            <w:r>
              <w:rPr>
                <w:rFonts w:hint="eastAsia" w:ascii="仿宋_GB2312" w:hAnsi="仿宋_GB2312" w:eastAsia="仿宋_GB2312" w:cs="仿宋_GB2312"/>
                <w:color w:val="auto"/>
                <w:kern w:val="0"/>
                <w:sz w:val="13"/>
                <w:szCs w:val="13"/>
                <w:lang w:val="en-US" w:eastAsia="zh-CN"/>
              </w:rPr>
              <w:t>政许可决定的外，行政机关应当自受理行政许可申请之日起二十日内</w:t>
            </w:r>
          </w:p>
          <w:p>
            <w:pPr>
              <w:spacing w:line="240" w:lineRule="exact"/>
              <w:jc w:val="left"/>
              <w:rPr>
                <w:rFonts w:hint="eastAsia" w:ascii="仿宋_GB2312" w:hAnsi="仿宋_GB2312" w:eastAsia="仿宋_GB2312" w:cs="仿宋_GB2312"/>
                <w:color w:val="auto"/>
                <w:kern w:val="0"/>
                <w:sz w:val="13"/>
                <w:szCs w:val="13"/>
                <w:lang w:val="en-US" w:eastAsia="zh-CN"/>
              </w:rPr>
            </w:pPr>
            <w:r>
              <w:rPr>
                <w:rFonts w:hint="eastAsia" w:ascii="仿宋_GB2312" w:hAnsi="仿宋_GB2312" w:eastAsia="仿宋_GB2312" w:cs="仿宋_GB2312"/>
                <w:color w:val="auto"/>
                <w:kern w:val="0"/>
                <w:sz w:val="13"/>
                <w:szCs w:val="13"/>
                <w:lang w:val="en-US" w:eastAsia="zh-CN"/>
              </w:rPr>
              <w:t>作出行政许可决定。二十日内不能作出决定的，经本行政机关负责人</w:t>
            </w:r>
          </w:p>
          <w:p>
            <w:pPr>
              <w:spacing w:line="240" w:lineRule="exact"/>
              <w:jc w:val="left"/>
              <w:rPr>
                <w:rFonts w:hint="eastAsia" w:ascii="仿宋_GB2312" w:hAnsi="仿宋_GB2312" w:eastAsia="仿宋_GB2312" w:cs="仿宋_GB2312"/>
                <w:color w:val="auto"/>
                <w:kern w:val="0"/>
                <w:sz w:val="13"/>
                <w:szCs w:val="13"/>
                <w:lang w:val="en-US" w:eastAsia="zh-CN"/>
              </w:rPr>
            </w:pPr>
            <w:r>
              <w:rPr>
                <w:rFonts w:hint="eastAsia" w:ascii="仿宋_GB2312" w:hAnsi="仿宋_GB2312" w:eastAsia="仿宋_GB2312" w:cs="仿宋_GB2312"/>
                <w:color w:val="auto"/>
                <w:kern w:val="0"/>
                <w:sz w:val="13"/>
                <w:szCs w:val="13"/>
                <w:lang w:val="en-US" w:eastAsia="zh-CN"/>
              </w:rPr>
              <w:t>批准，可以延长十日，并应当将延长期限的理由告知申请人。但是，</w:t>
            </w:r>
          </w:p>
          <w:p>
            <w:pPr>
              <w:spacing w:line="240" w:lineRule="exact"/>
              <w:jc w:val="left"/>
              <w:rPr>
                <w:rFonts w:hint="eastAsia" w:ascii="仿宋_GB2312" w:hAnsi="仿宋_GB2312" w:eastAsia="仿宋_GB2312" w:cs="仿宋_GB2312"/>
                <w:color w:val="auto"/>
                <w:kern w:val="0"/>
                <w:sz w:val="13"/>
                <w:szCs w:val="13"/>
                <w:lang w:val="en-US" w:eastAsia="zh-CN"/>
              </w:rPr>
            </w:pPr>
            <w:r>
              <w:rPr>
                <w:rFonts w:hint="eastAsia" w:ascii="仿宋_GB2312" w:hAnsi="仿宋_GB2312" w:eastAsia="仿宋_GB2312" w:cs="仿宋_GB2312"/>
                <w:color w:val="auto"/>
                <w:kern w:val="0"/>
                <w:sz w:val="13"/>
                <w:szCs w:val="13"/>
                <w:lang w:val="en-US" w:eastAsia="zh-CN"/>
              </w:rPr>
              <w:t>法律、法规另有规定的，依照其规定。</w:t>
            </w:r>
          </w:p>
          <w:p>
            <w:pPr>
              <w:spacing w:line="240" w:lineRule="exact"/>
              <w:jc w:val="left"/>
              <w:rPr>
                <w:rFonts w:hint="eastAsia" w:ascii="仿宋_GB2312" w:hAnsi="仿宋_GB2312" w:eastAsia="仿宋_GB2312" w:cs="仿宋_GB2312"/>
                <w:color w:val="auto"/>
                <w:kern w:val="0"/>
                <w:sz w:val="13"/>
                <w:szCs w:val="13"/>
                <w:lang w:val="en-US" w:eastAsia="zh-CN"/>
              </w:rPr>
            </w:pPr>
            <w:r>
              <w:rPr>
                <w:rFonts w:hint="eastAsia" w:ascii="仿宋_GB2312" w:hAnsi="仿宋_GB2312" w:eastAsia="仿宋_GB2312" w:cs="仿宋_GB2312"/>
                <w:color w:val="auto"/>
                <w:kern w:val="0"/>
                <w:sz w:val="13"/>
                <w:szCs w:val="13"/>
                <w:lang w:val="en-US" w:eastAsia="zh-CN"/>
              </w:rPr>
              <w:t>《公安部关于启用新的户口迁移证、户口准迁证的通知》</w:t>
            </w:r>
          </w:p>
          <w:p>
            <w:pPr>
              <w:spacing w:line="240" w:lineRule="exact"/>
              <w:jc w:val="left"/>
              <w:rPr>
                <w:rFonts w:hint="eastAsia" w:ascii="仿宋_GB2312" w:hAnsi="仿宋_GB2312" w:eastAsia="仿宋_GB2312" w:cs="仿宋_GB2312"/>
                <w:color w:val="auto"/>
                <w:kern w:val="0"/>
                <w:sz w:val="13"/>
                <w:szCs w:val="13"/>
                <w:lang w:val="en-US" w:eastAsia="zh-CN"/>
              </w:rPr>
            </w:pPr>
            <w:r>
              <w:rPr>
                <w:rFonts w:hint="eastAsia" w:ascii="仿宋_GB2312" w:hAnsi="仿宋_GB2312" w:eastAsia="仿宋_GB2312" w:cs="仿宋_GB2312"/>
                <w:color w:val="auto"/>
                <w:kern w:val="0"/>
                <w:sz w:val="13"/>
                <w:szCs w:val="13"/>
                <w:lang w:val="en-US" w:eastAsia="zh-CN"/>
              </w:rPr>
              <w:t>（公通字〔1994〕62 号） 户口准迁证由县公安局或者不设区的市公</w:t>
            </w:r>
          </w:p>
          <w:p>
            <w:pPr>
              <w:spacing w:line="240" w:lineRule="exact"/>
              <w:jc w:val="left"/>
              <w:rPr>
                <w:rFonts w:hint="eastAsia" w:ascii="仿宋_GB2312" w:hAnsi="仿宋_GB2312" w:eastAsia="仿宋_GB2312" w:cs="仿宋_GB2312"/>
                <w:color w:val="auto"/>
                <w:kern w:val="0"/>
                <w:sz w:val="13"/>
                <w:szCs w:val="13"/>
                <w:lang w:val="en-US" w:eastAsia="zh-CN"/>
              </w:rPr>
            </w:pPr>
            <w:r>
              <w:rPr>
                <w:rFonts w:hint="eastAsia" w:ascii="仿宋_GB2312" w:hAnsi="仿宋_GB2312" w:eastAsia="仿宋_GB2312" w:cs="仿宋_GB2312"/>
                <w:color w:val="auto"/>
                <w:kern w:val="0"/>
                <w:sz w:val="13"/>
                <w:szCs w:val="13"/>
                <w:lang w:val="en-US" w:eastAsia="zh-CN"/>
              </w:rPr>
              <w:t>安局或者市辖区公安分局签发并加盖签发机关户口专用章，证件有效</w:t>
            </w:r>
          </w:p>
          <w:p>
            <w:pPr>
              <w:spacing w:line="240" w:lineRule="exact"/>
              <w:jc w:val="left"/>
              <w:rPr>
                <w:rFonts w:hint="eastAsia" w:ascii="仿宋_GB2312" w:hAnsi="仿宋_GB2312" w:eastAsia="仿宋_GB2312" w:cs="仿宋_GB2312"/>
                <w:color w:val="auto"/>
                <w:kern w:val="0"/>
                <w:sz w:val="13"/>
                <w:szCs w:val="13"/>
                <w:lang w:val="en-US" w:eastAsia="zh-CN"/>
              </w:rPr>
            </w:pPr>
            <w:r>
              <w:rPr>
                <w:rFonts w:hint="eastAsia" w:ascii="仿宋_GB2312" w:hAnsi="仿宋_GB2312" w:eastAsia="仿宋_GB2312" w:cs="仿宋_GB2312"/>
                <w:color w:val="auto"/>
                <w:kern w:val="0"/>
                <w:sz w:val="13"/>
                <w:szCs w:val="13"/>
                <w:lang w:val="en-US" w:eastAsia="zh-CN"/>
              </w:rPr>
              <w:t>期限自签发之日起为 40 天。</w:t>
            </w:r>
          </w:p>
          <w:p>
            <w:pPr>
              <w:spacing w:line="240" w:lineRule="exact"/>
              <w:jc w:val="left"/>
              <w:rPr>
                <w:rFonts w:hint="eastAsia" w:ascii="仿宋_GB2312" w:hAnsi="仿宋_GB2312" w:eastAsia="仿宋_GB2312" w:cs="仿宋_GB2312"/>
                <w:color w:val="auto"/>
                <w:kern w:val="0"/>
                <w:sz w:val="13"/>
                <w:szCs w:val="13"/>
                <w:lang w:val="en-US" w:eastAsia="zh-CN"/>
              </w:rPr>
            </w:pPr>
            <w:r>
              <w:rPr>
                <w:rFonts w:hint="eastAsia" w:ascii="仿宋_GB2312" w:hAnsi="仿宋_GB2312" w:eastAsia="仿宋_GB2312" w:cs="仿宋_GB2312"/>
                <w:color w:val="auto"/>
                <w:kern w:val="0"/>
                <w:sz w:val="13"/>
                <w:szCs w:val="13"/>
                <w:lang w:val="en-US" w:eastAsia="zh-CN"/>
              </w:rPr>
              <w:t>（2）《公安部关于启用新的户口迁移证、户口准迁证的通知》</w:t>
            </w:r>
          </w:p>
          <w:p>
            <w:pPr>
              <w:spacing w:line="240" w:lineRule="exact"/>
              <w:jc w:val="left"/>
              <w:rPr>
                <w:rFonts w:hint="eastAsia" w:ascii="仿宋_GB2312" w:hAnsi="仿宋_GB2312" w:eastAsia="仿宋_GB2312" w:cs="仿宋_GB2312"/>
                <w:color w:val="auto"/>
                <w:kern w:val="0"/>
                <w:sz w:val="13"/>
                <w:szCs w:val="13"/>
                <w:lang w:val="en-US" w:eastAsia="zh-CN"/>
              </w:rPr>
            </w:pPr>
            <w:r>
              <w:rPr>
                <w:rFonts w:hint="eastAsia" w:ascii="仿宋_GB2312" w:hAnsi="仿宋_GB2312" w:eastAsia="仿宋_GB2312" w:cs="仿宋_GB2312"/>
                <w:color w:val="auto"/>
                <w:kern w:val="0"/>
                <w:sz w:val="13"/>
                <w:szCs w:val="13"/>
                <w:lang w:val="en-US" w:eastAsia="zh-CN"/>
              </w:rPr>
              <w:t>（公通字〔1994〕62 号） 户口迁移证由户口登记机关签发并加盖户</w:t>
            </w:r>
          </w:p>
          <w:p>
            <w:pPr>
              <w:spacing w:line="240" w:lineRule="exact"/>
              <w:jc w:val="left"/>
              <w:rPr>
                <w:rFonts w:hint="eastAsia" w:ascii="仿宋_GB2312" w:hAnsi="仿宋_GB2312" w:eastAsia="仿宋_GB2312" w:cs="仿宋_GB2312"/>
                <w:color w:val="auto"/>
                <w:kern w:val="0"/>
                <w:sz w:val="15"/>
                <w:szCs w:val="15"/>
                <w:lang w:val="en-US" w:eastAsia="zh-CN"/>
              </w:rPr>
            </w:pPr>
            <w:r>
              <w:rPr>
                <w:rFonts w:hint="eastAsia" w:ascii="仿宋_GB2312" w:hAnsi="仿宋_GB2312" w:eastAsia="仿宋_GB2312" w:cs="仿宋_GB2312"/>
                <w:color w:val="auto"/>
                <w:kern w:val="0"/>
                <w:sz w:val="13"/>
                <w:szCs w:val="13"/>
                <w:lang w:val="en-US" w:eastAsia="zh-CN"/>
              </w:rPr>
              <w:t>口专用章，证件有效期限自签发之日起不超过 30 天</w:t>
            </w:r>
          </w:p>
        </w:tc>
        <w:tc>
          <w:tcPr>
            <w:tcW w:w="123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hint="eastAsia" w:ascii="仿宋_GB2312" w:hAnsi="仿宋_GB2312" w:eastAsia="仿宋_GB2312" w:cs="仿宋_GB2312"/>
                <w:color w:val="auto"/>
                <w:kern w:val="0"/>
                <w:sz w:val="13"/>
                <w:szCs w:val="13"/>
                <w:lang w:eastAsia="zh-CN"/>
              </w:rPr>
            </w:pPr>
            <w:r>
              <w:rPr>
                <w:rFonts w:hint="eastAsia" w:ascii="仿宋_GB2312" w:hAnsi="仿宋_GB2312" w:eastAsia="仿宋_GB2312" w:cs="仿宋_GB2312"/>
                <w:color w:val="auto"/>
                <w:kern w:val="0"/>
                <w:sz w:val="13"/>
                <w:szCs w:val="13"/>
                <w:lang w:eastAsia="zh-CN"/>
              </w:rPr>
              <w:t>因不履行或不正确履行行政职责，有下列情形的行政机关及相关工作人员应承担相应的的责任；</w:t>
            </w:r>
            <w:r>
              <w:rPr>
                <w:rFonts w:hint="eastAsia" w:ascii="仿宋_GB2312" w:hAnsi="仿宋_GB2312" w:eastAsia="仿宋_GB2312" w:cs="仿宋_GB2312"/>
                <w:color w:val="auto"/>
                <w:kern w:val="0"/>
                <w:sz w:val="13"/>
                <w:szCs w:val="13"/>
                <w:lang w:val="en-US" w:eastAsia="zh-CN"/>
              </w:rPr>
              <w:t>1、对符合条件的项目不予受理、核准的；2、对不合符法定条件的项目予以受理、核准的；3、擅自增设、变更项目核准程序或核准条件的；、4、未在规定时间内作出核准决定的；5、在监管中滥用职权、玩忽职守；6、索取或者收受他人财物或谋取其他利益的；7、其他违法法律规定的行为。</w:t>
            </w:r>
          </w:p>
        </w:tc>
        <w:tc>
          <w:tcPr>
            <w:tcW w:w="1098" w:type="dxa"/>
            <w:gridSpan w:val="2"/>
            <w:tcBorders>
              <w:top w:val="single" w:color="auto" w:sz="4" w:space="0"/>
              <w:left w:val="single" w:color="auto" w:sz="4" w:space="0"/>
              <w:bottom w:val="single" w:color="auto" w:sz="4" w:space="0"/>
              <w:right w:val="single" w:color="auto" w:sz="4" w:space="0"/>
            </w:tcBorders>
            <w:vAlign w:val="top"/>
          </w:tcPr>
          <w:p>
            <w:pPr>
              <w:spacing w:line="240" w:lineRule="exact"/>
              <w:textAlignment w:val="center"/>
              <w:rPr>
                <w:rFonts w:hint="eastAsia" w:ascii="仿宋_GB2312" w:hAnsi="仿宋_GB2312" w:eastAsia="仿宋_GB2312" w:cs="仿宋_GB2312"/>
                <w:color w:val="auto"/>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7211" w:hRule="exact"/>
        </w:trPr>
        <w:tc>
          <w:tcPr>
            <w:tcW w:w="456" w:type="dxa"/>
            <w:vAlign w:val="center"/>
          </w:tcPr>
          <w:p>
            <w:pPr>
              <w:autoSpaceDN w:val="0"/>
              <w:spacing w:line="300" w:lineRule="exact"/>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26</w:t>
            </w:r>
          </w:p>
        </w:tc>
        <w:tc>
          <w:tcPr>
            <w:tcW w:w="589" w:type="dxa"/>
            <w:vAlign w:val="center"/>
          </w:tcPr>
          <w:p>
            <w:pPr>
              <w:spacing w:line="24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1189" w:type="dxa"/>
            <w:gridSpan w:val="2"/>
            <w:vAlign w:val="center"/>
          </w:tcPr>
          <w:p>
            <w:pPr>
              <w:spacing w:line="240" w:lineRule="exac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z w:val="21"/>
                <w:szCs w:val="21"/>
              </w:rPr>
              <w:t>边境管理区通行证（深圳、珠海经济特区除外）核发</w:t>
            </w:r>
          </w:p>
        </w:tc>
        <w:tc>
          <w:tcPr>
            <w:tcW w:w="965" w:type="dxa"/>
            <w:gridSpan w:val="2"/>
            <w:vAlign w:val="center"/>
          </w:tcPr>
          <w:p>
            <w:pPr>
              <w:spacing w:line="240" w:lineRule="exac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唐山市公安局开平分局</w:t>
            </w:r>
            <w:r>
              <w:rPr>
                <w:rFonts w:hint="eastAsia" w:ascii="仿宋_GB2312" w:hAnsi="仿宋_GB2312" w:eastAsia="仿宋_GB2312" w:cs="仿宋_GB2312"/>
                <w:color w:val="000000"/>
                <w:kern w:val="0"/>
                <w:sz w:val="21"/>
                <w:szCs w:val="21"/>
                <w:lang w:eastAsia="zh-CN"/>
              </w:rPr>
              <w:t>户政科</w:t>
            </w:r>
          </w:p>
        </w:tc>
        <w:tc>
          <w:tcPr>
            <w:tcW w:w="5065" w:type="dxa"/>
            <w:gridSpan w:val="8"/>
            <w:vAlign w:val="center"/>
          </w:tcPr>
          <w:p>
            <w:pPr>
              <w:autoSpaceDN w:val="0"/>
              <w:spacing w:line="30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2"/>
                <w:szCs w:val="22"/>
              </w:rPr>
              <w:t xml:space="preserve">一、《国务院对确需保留的行政审批项目设定行政许可的决定》（2016年8月25日中华人民共和国国务院令第671号）附件第42项 “边境管理区通行证核发”实施部门“地（市）、县级人民政府公安机关。                                                                                                                                                                                  二、《中华人民共和国边境管理区通行证管理办法》（1999年9月4日公安部令第42号发布，2014年6月29日修订）第六条　凡居住在非边境管理区年满十六周岁的中国公民，前往边境管理区，须持《边境通行证》。第十五条 《边境通行证》由县级以上公安机关签发。边远地区和人员进出边境管理区较多的地区，经省、自治区、直辖市公安厅、局批准，由指定的公安派出所签发。 </w:t>
            </w:r>
          </w:p>
        </w:tc>
        <w:tc>
          <w:tcPr>
            <w:tcW w:w="1294" w:type="dxa"/>
            <w:gridSpan w:val="3"/>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center"/>
              <w:rPr>
                <w:rFonts w:hint="eastAsia" w:ascii="仿宋_GB2312" w:hAnsi="仿宋_GB2312" w:eastAsia="仿宋_GB2312" w:cs="仿宋_GB2312"/>
                <w:color w:val="000000"/>
                <w:kern w:val="0"/>
                <w:sz w:val="11"/>
                <w:szCs w:val="11"/>
              </w:rPr>
            </w:pPr>
            <w:r>
              <w:rPr>
                <w:rFonts w:hint="eastAsia" w:ascii="仿宋_GB2312" w:hAnsi="仿宋_GB2312" w:eastAsia="仿宋_GB2312" w:cs="仿宋_GB2312"/>
                <w:color w:val="000000"/>
                <w:sz w:val="11"/>
                <w:szCs w:val="11"/>
              </w:rPr>
              <w:t>中华人民共和国边境管理区通行证管理办法》第九条　凡年满十六周岁的中国公民前往边境管理区，依照本办法第二章之规定，具有下列情形之一的，应当申领《边境通行证》：(一)参加科技、文化、体育交流或者业务培训、会议，从事考察、采访、创作等活动的；(二)从事勘探、承包工程、劳务、生产技术合作或者贸易洽谈等活动的；(三)应聘、调动、分配工作或者就医、就学的；(四)探亲、访友、经商、旅游的；(五)有其他正当事由必须前往的。第十条　申领《边境通行证》应当向常住户口所在地县级以上公安机关或者指定的公安派出所提出申请。有下列情形之一的，凭单位证明，可以向非常住户口所在地的县级以上公安机关或者指定的公安派出所提出申请：(一)常住户口所在地与工作单位所在地在同一城市，但不在同一辖区的人员；(二)中央各部委和省级人民政府的驻外办事处人员；(三)已在非常住户口所在地暂住一年以上的人员；(四)因工作调动，尚未办妥常住或者暂住户口的人员；(五)因紧急公务，确需前往边境管理区的国家工作人员。第十一条　海外华侨、港澳台同胞凭有效证件向有关省、自治区、直辖市公安厅、局，或者县、市公安局申领《边境通行证》。第十二条　经省级公安、旅游部门批准，旅游公司组织赴边境管理区旅游的人员，应当在出发地的公安机关办理《边境通行证》。</w:t>
            </w:r>
          </w:p>
        </w:tc>
        <w:tc>
          <w:tcPr>
            <w:tcW w:w="2370" w:type="dxa"/>
            <w:gridSpan w:val="4"/>
            <w:vAlign w:val="center"/>
          </w:tcPr>
          <w:p>
            <w:pPr>
              <w:keepNext w:val="0"/>
              <w:keepLines w:val="0"/>
              <w:pageBreakBefore w:val="0"/>
              <w:widowControl w:val="0"/>
              <w:tabs>
                <w:tab w:val="left" w:pos="492"/>
                <w:tab w:val="left" w:pos="7937"/>
              </w:tabs>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13"/>
                <w:szCs w:val="13"/>
              </w:rPr>
            </w:pPr>
            <w:r>
              <w:rPr>
                <w:rFonts w:hint="eastAsia" w:ascii="仿宋_GB2312" w:hAnsi="仿宋_GB2312" w:eastAsia="仿宋_GB2312" w:cs="仿宋_GB2312"/>
                <w:color w:val="000000"/>
                <w:sz w:val="13"/>
                <w:szCs w:val="13"/>
              </w:rPr>
              <w:t>因不履行或不正确履行行政职责，有下列情形的，公安机关及相关工作人员应承担相应责任：</w:t>
            </w:r>
            <w:r>
              <w:rPr>
                <w:rFonts w:hint="eastAsia" w:ascii="仿宋_GB2312" w:hAnsi="仿宋_GB2312" w:eastAsia="仿宋_GB2312" w:cs="仿宋_GB2312"/>
                <w:color w:val="000000"/>
                <w:sz w:val="13"/>
                <w:szCs w:val="13"/>
              </w:rPr>
              <w:br w:type="textWrapping"/>
            </w:r>
            <w:r>
              <w:rPr>
                <w:rFonts w:hint="eastAsia" w:ascii="仿宋_GB2312" w:hAnsi="仿宋_GB2312" w:eastAsia="仿宋_GB2312" w:cs="仿宋_GB2312"/>
                <w:color w:val="000000"/>
                <w:sz w:val="13"/>
                <w:szCs w:val="13"/>
              </w:rPr>
              <w:t>1、对符合边境管理区通行条件的申请不予受理的；</w:t>
            </w:r>
            <w:r>
              <w:rPr>
                <w:rFonts w:hint="eastAsia" w:ascii="仿宋_GB2312" w:hAnsi="仿宋_GB2312" w:eastAsia="仿宋_GB2312" w:cs="仿宋_GB2312"/>
                <w:color w:val="000000"/>
                <w:sz w:val="13"/>
                <w:szCs w:val="13"/>
              </w:rPr>
              <w:br w:type="textWrapping"/>
            </w:r>
            <w:r>
              <w:rPr>
                <w:rFonts w:hint="eastAsia" w:ascii="仿宋_GB2312" w:hAnsi="仿宋_GB2312" w:eastAsia="仿宋_GB2312" w:cs="仿宋_GB2312"/>
                <w:color w:val="000000"/>
                <w:sz w:val="13"/>
                <w:szCs w:val="13"/>
              </w:rPr>
              <w:t>2、未依法说明不受理行政许可申请或者不予行政许可理由的；</w:t>
            </w:r>
            <w:r>
              <w:rPr>
                <w:rFonts w:hint="eastAsia" w:ascii="仿宋_GB2312" w:hAnsi="仿宋_GB2312" w:eastAsia="仿宋_GB2312" w:cs="仿宋_GB2312"/>
                <w:color w:val="000000"/>
                <w:sz w:val="13"/>
                <w:szCs w:val="13"/>
              </w:rPr>
              <w:br w:type="textWrapping"/>
            </w:r>
            <w:r>
              <w:rPr>
                <w:rFonts w:hint="eastAsia" w:ascii="仿宋_GB2312" w:hAnsi="仿宋_GB2312" w:eastAsia="仿宋_GB2312" w:cs="仿宋_GB2312"/>
                <w:color w:val="000000"/>
                <w:sz w:val="13"/>
                <w:szCs w:val="13"/>
              </w:rPr>
              <w:t>3、依法应当公开行政许可事项和申请所需材料而不公开的；</w:t>
            </w:r>
            <w:r>
              <w:rPr>
                <w:rFonts w:hint="eastAsia" w:ascii="仿宋_GB2312" w:hAnsi="仿宋_GB2312" w:eastAsia="仿宋_GB2312" w:cs="仿宋_GB2312"/>
                <w:color w:val="000000"/>
                <w:sz w:val="13"/>
                <w:szCs w:val="13"/>
              </w:rPr>
              <w:br w:type="textWrapping"/>
            </w:r>
            <w:r>
              <w:rPr>
                <w:rFonts w:hint="eastAsia" w:ascii="仿宋_GB2312" w:hAnsi="仿宋_GB2312" w:eastAsia="仿宋_GB2312" w:cs="仿宋_GB2312"/>
                <w:color w:val="000000"/>
                <w:sz w:val="13"/>
                <w:szCs w:val="13"/>
              </w:rPr>
              <w:t>4、无法定依据实施行政许可或者超越法定权限作出行政许可决定的；</w:t>
            </w:r>
            <w:r>
              <w:rPr>
                <w:rFonts w:hint="eastAsia" w:ascii="仿宋_GB2312" w:hAnsi="仿宋_GB2312" w:eastAsia="仿宋_GB2312" w:cs="仿宋_GB2312"/>
                <w:color w:val="000000"/>
                <w:sz w:val="13"/>
                <w:szCs w:val="13"/>
              </w:rPr>
              <w:br w:type="textWrapping"/>
            </w:r>
            <w:r>
              <w:rPr>
                <w:rFonts w:hint="eastAsia" w:ascii="仿宋_GB2312" w:hAnsi="仿宋_GB2312" w:eastAsia="仿宋_GB2312" w:cs="仿宋_GB2312"/>
                <w:color w:val="000000"/>
                <w:sz w:val="13"/>
                <w:szCs w:val="13"/>
              </w:rPr>
              <w:t>5、超过法定期限或者违反法定程序实施行政许可的；</w:t>
            </w:r>
            <w:r>
              <w:rPr>
                <w:rFonts w:hint="eastAsia" w:ascii="仿宋_GB2312" w:hAnsi="仿宋_GB2312" w:eastAsia="仿宋_GB2312" w:cs="仿宋_GB2312"/>
                <w:color w:val="000000"/>
                <w:sz w:val="13"/>
                <w:szCs w:val="13"/>
              </w:rPr>
              <w:br w:type="textWrapping"/>
            </w:r>
            <w:r>
              <w:rPr>
                <w:rFonts w:hint="eastAsia" w:ascii="仿宋_GB2312" w:hAnsi="仿宋_GB2312" w:eastAsia="仿宋_GB2312" w:cs="仿宋_GB2312"/>
                <w:color w:val="000000"/>
                <w:sz w:val="13"/>
                <w:szCs w:val="13"/>
              </w:rPr>
              <w:t>6、行政许可后续监管不到位，造成严重后果的；                  7、一年内受到二次以上投诉，且投诉属实，情节严重、影响恶劣的；</w:t>
            </w:r>
            <w:r>
              <w:rPr>
                <w:rFonts w:hint="eastAsia" w:ascii="仿宋_GB2312" w:hAnsi="仿宋_GB2312" w:eastAsia="仿宋_GB2312" w:cs="仿宋_GB2312"/>
                <w:color w:val="000000"/>
                <w:sz w:val="13"/>
                <w:szCs w:val="13"/>
              </w:rPr>
              <w:br w:type="textWrapping"/>
            </w:r>
            <w:r>
              <w:rPr>
                <w:rFonts w:hint="eastAsia" w:ascii="仿宋_GB2312" w:hAnsi="仿宋_GB2312" w:eastAsia="仿宋_GB2312" w:cs="仿宋_GB2312"/>
                <w:color w:val="000000"/>
                <w:sz w:val="13"/>
                <w:szCs w:val="13"/>
              </w:rPr>
              <w:t>8、在办理行政许可、实施监督检查中索取或者收受他人财物或者谋取其他利益的；</w:t>
            </w:r>
            <w:r>
              <w:rPr>
                <w:rFonts w:hint="eastAsia" w:ascii="仿宋_GB2312" w:hAnsi="仿宋_GB2312" w:eastAsia="仿宋_GB2312" w:cs="仿宋_GB2312"/>
                <w:color w:val="000000"/>
                <w:sz w:val="13"/>
                <w:szCs w:val="13"/>
              </w:rPr>
              <w:br w:type="textWrapping"/>
            </w:r>
            <w:r>
              <w:rPr>
                <w:rFonts w:hint="eastAsia" w:ascii="仿宋_GB2312" w:hAnsi="仿宋_GB2312" w:eastAsia="仿宋_GB2312" w:cs="仿宋_GB2312"/>
                <w:color w:val="000000"/>
                <w:sz w:val="13"/>
                <w:szCs w:val="13"/>
              </w:rPr>
              <w:t>9、其他违反法律法规规章文件规定的行为。</w:t>
            </w:r>
          </w:p>
        </w:tc>
        <w:tc>
          <w:tcPr>
            <w:tcW w:w="1098" w:type="dxa"/>
            <w:gridSpan w:val="2"/>
            <w:vAlign w:val="top"/>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8657" w:hRule="exact"/>
        </w:trPr>
        <w:tc>
          <w:tcPr>
            <w:tcW w:w="456" w:type="dxa"/>
            <w:vAlign w:val="center"/>
          </w:tcPr>
          <w:p>
            <w:pPr>
              <w:spacing w:line="240" w:lineRule="exact"/>
              <w:jc w:val="center"/>
              <w:textAlignment w:val="center"/>
              <w:rPr>
                <w:rFonts w:hint="default" w:eastAsia="仿宋_GB2312"/>
                <w:color w:val="000000" w:themeColor="text1"/>
                <w:sz w:val="20"/>
                <w:szCs w:val="20"/>
                <w:lang w:val="en-US" w:eastAsia="zh-CN"/>
              </w:rPr>
            </w:pPr>
            <w:r>
              <w:rPr>
                <w:rFonts w:hint="eastAsia"/>
                <w:color w:val="000000" w:themeColor="text1"/>
                <w:sz w:val="20"/>
                <w:szCs w:val="20"/>
                <w:lang w:val="en-US" w:eastAsia="zh-CN"/>
              </w:rPr>
              <w:t>27</w:t>
            </w:r>
          </w:p>
        </w:tc>
        <w:tc>
          <w:tcPr>
            <w:tcW w:w="589" w:type="dxa"/>
            <w:vAlign w:val="center"/>
          </w:tcPr>
          <w:p>
            <w:pPr>
              <w:widowControl/>
              <w:tabs>
                <w:tab w:val="left" w:pos="492"/>
              </w:tabs>
              <w:spacing w:line="240" w:lineRule="exact"/>
              <w:rPr>
                <w:color w:val="000000" w:themeColor="text1"/>
                <w:sz w:val="20"/>
                <w:szCs w:val="20"/>
              </w:rPr>
            </w:pPr>
            <w:r>
              <w:rPr>
                <w:rFonts w:hint="eastAsia"/>
                <w:color w:val="000000" w:themeColor="text1"/>
                <w:sz w:val="20"/>
                <w:szCs w:val="20"/>
              </w:rPr>
              <w:t>行政处罚</w:t>
            </w:r>
          </w:p>
        </w:tc>
        <w:tc>
          <w:tcPr>
            <w:tcW w:w="1189" w:type="dxa"/>
            <w:gridSpan w:val="2"/>
            <w:vAlign w:val="center"/>
          </w:tcPr>
          <w:p>
            <w:pPr>
              <w:widowControl/>
              <w:tabs>
                <w:tab w:val="left" w:pos="492"/>
              </w:tabs>
              <w:spacing w:line="240" w:lineRule="exact"/>
              <w:rPr>
                <w:rFonts w:ascii="仿宋_GB2312"/>
                <w:color w:val="000000" w:themeColor="text1"/>
                <w:sz w:val="13"/>
                <w:szCs w:val="13"/>
              </w:rPr>
            </w:pPr>
            <w:r>
              <w:rPr>
                <w:rFonts w:hint="eastAsia" w:ascii="仿宋_GB2312"/>
                <w:color w:val="000000" w:themeColor="text1"/>
                <w:sz w:val="13"/>
                <w:szCs w:val="13"/>
              </w:rPr>
              <w:t>对违反互联网上网服务营业场所安全管理行为的处罚</w:t>
            </w:r>
          </w:p>
        </w:tc>
        <w:tc>
          <w:tcPr>
            <w:tcW w:w="965" w:type="dxa"/>
            <w:gridSpan w:val="2"/>
            <w:vAlign w:val="center"/>
          </w:tcPr>
          <w:p>
            <w:pPr>
              <w:widowControl/>
              <w:tabs>
                <w:tab w:val="left" w:pos="492"/>
              </w:tabs>
              <w:spacing w:line="240" w:lineRule="exact"/>
              <w:rPr>
                <w:rFonts w:ascii="仿宋_GB2312"/>
                <w:color w:val="000000" w:themeColor="text1"/>
                <w:sz w:val="13"/>
                <w:szCs w:val="13"/>
              </w:rPr>
            </w:pPr>
            <w:r>
              <w:rPr>
                <w:rFonts w:hint="eastAsia" w:ascii="仿宋_GB2312" w:hAnsi="Arial" w:cs="Arial"/>
                <w:color w:val="000000" w:themeColor="text1"/>
                <w:kern w:val="0"/>
                <w:sz w:val="13"/>
                <w:szCs w:val="13"/>
              </w:rPr>
              <w:t>唐山市公安局开平分局网安大队</w:t>
            </w:r>
          </w:p>
        </w:tc>
        <w:tc>
          <w:tcPr>
            <w:tcW w:w="5065" w:type="dxa"/>
            <w:gridSpan w:val="8"/>
            <w:vAlign w:val="center"/>
          </w:tcPr>
          <w:p>
            <w:pPr>
              <w:widowControl/>
              <w:tabs>
                <w:tab w:val="left" w:pos="492"/>
              </w:tabs>
              <w:spacing w:line="240" w:lineRule="exact"/>
              <w:rPr>
                <w:rFonts w:ascii="仿宋_GB2312"/>
                <w:color w:val="000000" w:themeColor="text1"/>
                <w:sz w:val="13"/>
                <w:szCs w:val="13"/>
              </w:rPr>
            </w:pPr>
            <w:r>
              <w:rPr>
                <w:rFonts w:hint="eastAsia" w:ascii="仿宋_GB2312"/>
                <w:color w:val="000000" w:themeColor="text1"/>
                <w:sz w:val="13"/>
                <w:szCs w:val="13"/>
              </w:rPr>
              <w:t>《互联网上网服务营业场所管理条例》第三十、三十二、三十三条。</w:t>
            </w:r>
          </w:p>
          <w:p>
            <w:pPr>
              <w:widowControl/>
              <w:shd w:val="clear" w:color="auto" w:fill="FFFFFF"/>
              <w:spacing w:after="180" w:line="200" w:lineRule="exact"/>
              <w:ind w:firstLine="482"/>
              <w:jc w:val="left"/>
              <w:rPr>
                <w:rFonts w:ascii="仿宋_GB2312" w:hAnsi="Arial" w:cs="Arial"/>
                <w:color w:val="000000" w:themeColor="text1"/>
                <w:kern w:val="0"/>
                <w:sz w:val="13"/>
                <w:szCs w:val="13"/>
              </w:rPr>
            </w:pPr>
            <w:r>
              <w:rPr>
                <w:rFonts w:hint="eastAsia" w:ascii="仿宋_GB2312" w:hAnsi="Arial" w:cs="Arial"/>
                <w:b/>
                <w:bCs/>
                <w:color w:val="000000" w:themeColor="text1"/>
                <w:kern w:val="0"/>
                <w:sz w:val="13"/>
                <w:szCs w:val="13"/>
              </w:rPr>
              <w:t>第三十条</w:t>
            </w:r>
            <w:r>
              <w:rPr>
                <w:rFonts w:hint="eastAsia" w:ascii="Arial" w:hAnsi="Arial" w:cs="Arial"/>
                <w:color w:val="000000" w:themeColor="text1"/>
                <w:kern w:val="0"/>
                <w:sz w:val="13"/>
                <w:szCs w:val="13"/>
              </w:rPr>
              <w:t> </w:t>
            </w:r>
            <w:r>
              <w:rPr>
                <w:rFonts w:hint="eastAsia" w:ascii="仿宋_GB2312" w:hAnsi="Arial" w:cs="Arial"/>
                <w:color w:val="000000" w:themeColor="text1"/>
                <w:kern w:val="0"/>
                <w:sz w:val="13"/>
                <w:szCs w:val="13"/>
              </w:rPr>
              <w:t>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1万元以上的，并处违法经营额2倍以上5倍以下的罚款;违法经营额不足1万元的，并处1万元以上2万元以下的罚款;情节严重的，责令停业整顿，直至由文化行政部门吊销《网络文化经营许可证》。上网消费者有前款违法行为，触犯刑律的，依法追究刑事责任;尚不够刑事处罚的，由公安机关依照治安管理处罚法的规定给予处罚。</w:t>
            </w:r>
          </w:p>
          <w:p>
            <w:pPr>
              <w:widowControl/>
              <w:shd w:val="clear" w:color="auto" w:fill="FFFFFF"/>
              <w:spacing w:after="180" w:line="200" w:lineRule="exact"/>
              <w:ind w:firstLine="482"/>
              <w:jc w:val="left"/>
              <w:rPr>
                <w:rFonts w:ascii="仿宋_GB2312" w:hAnsi="Arial" w:cs="Arial"/>
                <w:color w:val="000000" w:themeColor="text1"/>
                <w:kern w:val="0"/>
                <w:sz w:val="13"/>
                <w:szCs w:val="13"/>
              </w:rPr>
            </w:pPr>
            <w:r>
              <w:rPr>
                <w:rFonts w:hint="eastAsia" w:ascii="仿宋_GB2312" w:hAnsi="Arial" w:cs="Arial"/>
                <w:b/>
                <w:bCs/>
                <w:color w:val="000000" w:themeColor="text1"/>
                <w:kern w:val="0"/>
                <w:sz w:val="13"/>
                <w:szCs w:val="13"/>
              </w:rPr>
              <w:t>第三十二条</w:t>
            </w:r>
            <w:r>
              <w:rPr>
                <w:rFonts w:hint="eastAsia" w:ascii="Arial" w:hAnsi="Arial" w:cs="Arial"/>
                <w:color w:val="000000" w:themeColor="text1"/>
                <w:kern w:val="0"/>
                <w:sz w:val="13"/>
                <w:szCs w:val="13"/>
              </w:rPr>
              <w:t> </w:t>
            </w:r>
            <w:r>
              <w:rPr>
                <w:rFonts w:hint="eastAsia" w:ascii="仿宋_GB2312" w:hAnsi="Arial" w:cs="Arial"/>
                <w:color w:val="000000" w:themeColor="text1"/>
                <w:kern w:val="0"/>
                <w:sz w:val="13"/>
                <w:szCs w:val="13"/>
              </w:rPr>
              <w:t>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一)向上网消费者提供的计算机未通过局域网的方式接入互联网的;(二)未建立场内巡查制度，或者发现上网消费者的违法行为未予制止并向文化行政部门、公安机关举报的;(三)未按规定核对、登记上网消费者的有效身份证件或者记录有关上网信息的;(四)未按规定时间保存登记内容、记录备份，或者在保存期内修改、删除登记内容、记录备份的;(五)变更名称、住所、法定代表人或者主要负责人、注册资本、网络地址或者终止经营活动，未向文化行政部门、公安机关办理有关手续或者备案的。</w:t>
            </w:r>
          </w:p>
          <w:p>
            <w:pPr>
              <w:widowControl/>
              <w:shd w:val="clear" w:color="auto" w:fill="FFFFFF"/>
              <w:spacing w:after="180" w:line="200" w:lineRule="exact"/>
              <w:ind w:firstLine="482"/>
              <w:jc w:val="left"/>
              <w:rPr>
                <w:rFonts w:ascii="仿宋_GB2312" w:hAnsi="Arial" w:cs="Arial"/>
                <w:color w:val="000000" w:themeColor="text1"/>
                <w:kern w:val="0"/>
                <w:sz w:val="13"/>
                <w:szCs w:val="13"/>
              </w:rPr>
            </w:pPr>
            <w:r>
              <w:rPr>
                <w:rFonts w:hint="eastAsia" w:ascii="仿宋_GB2312" w:hAnsi="Arial" w:cs="Arial"/>
                <w:b/>
                <w:bCs/>
                <w:color w:val="000000" w:themeColor="text1"/>
                <w:kern w:val="0"/>
                <w:sz w:val="13"/>
                <w:szCs w:val="13"/>
              </w:rPr>
              <w:t>第三十三条</w:t>
            </w:r>
            <w:r>
              <w:rPr>
                <w:rFonts w:hint="eastAsia" w:ascii="Arial" w:hAnsi="Arial" w:cs="Arial"/>
                <w:color w:val="000000" w:themeColor="text1"/>
                <w:kern w:val="0"/>
                <w:sz w:val="13"/>
                <w:szCs w:val="13"/>
              </w:rPr>
              <w:t> </w:t>
            </w:r>
            <w:r>
              <w:rPr>
                <w:rFonts w:hint="eastAsia" w:ascii="仿宋_GB2312" w:hAnsi="Arial" w:cs="Arial"/>
                <w:color w:val="000000" w:themeColor="text1"/>
                <w:kern w:val="0"/>
                <w:sz w:val="13"/>
                <w:szCs w:val="13"/>
              </w:rPr>
              <w:t>互联网上网服务营业场所经营单位违反本条例的规定，有下列行为之一的，由公安机关给予警告，可以并处15000元以下的罚款;情节严重的，责令停业整顿，直至由文化行政部门吊销《网络文化经营许可证》:(一)利用明火照明或者发现吸烟不予制止，或者未悬挂禁止吸烟标志的;(二)允许带入或者存放易燃、易爆物品的;(三)在营业场所安装固定的封闭门窗栅栏的;(四)营业期间封堵或者锁闭门窗、安全疏散通道或者安全出口的;(五)擅自停止实施安全技术措施的。</w:t>
            </w:r>
          </w:p>
          <w:p>
            <w:pPr>
              <w:widowControl/>
              <w:shd w:val="clear" w:color="auto" w:fill="FFFFFF"/>
              <w:spacing w:after="180" w:line="200" w:lineRule="exact"/>
              <w:ind w:firstLine="482"/>
              <w:jc w:val="left"/>
              <w:rPr>
                <w:rFonts w:ascii="仿宋_GB2312" w:hAnsi="Arial" w:cs="Arial"/>
                <w:color w:val="000000" w:themeColor="text1"/>
                <w:kern w:val="0"/>
                <w:sz w:val="13"/>
                <w:szCs w:val="13"/>
              </w:rPr>
            </w:pPr>
          </w:p>
          <w:p>
            <w:pPr>
              <w:widowControl/>
              <w:tabs>
                <w:tab w:val="left" w:pos="492"/>
              </w:tabs>
              <w:spacing w:line="240" w:lineRule="exact"/>
              <w:ind w:firstLine="260" w:firstLineChars="200"/>
              <w:rPr>
                <w:rFonts w:ascii="仿宋_GB2312"/>
                <w:color w:val="000000" w:themeColor="text1"/>
                <w:sz w:val="13"/>
                <w:szCs w:val="13"/>
              </w:rPr>
            </w:pPr>
          </w:p>
        </w:tc>
        <w:tc>
          <w:tcPr>
            <w:tcW w:w="1294" w:type="dxa"/>
            <w:gridSpan w:val="3"/>
            <w:vAlign w:val="center"/>
          </w:tcPr>
          <w:p>
            <w:pPr>
              <w:widowControl/>
              <w:tabs>
                <w:tab w:val="left" w:pos="492"/>
              </w:tabs>
              <w:spacing w:line="240" w:lineRule="exact"/>
              <w:rPr>
                <w:rFonts w:ascii="仿宋_GB2312"/>
                <w:color w:val="000000" w:themeColor="text1"/>
                <w:sz w:val="13"/>
                <w:szCs w:val="13"/>
              </w:rPr>
            </w:pPr>
            <w:r>
              <w:rPr>
                <w:rFonts w:hint="eastAsia" w:ascii="仿宋_GB2312"/>
                <w:color w:val="000000" w:themeColor="text1"/>
                <w:sz w:val="13"/>
                <w:szCs w:val="13"/>
              </w:rPr>
              <w:t>1、受案责任：日常工作中对发现或者接到报警投诉电信业务经营者、互联网服务提供者未依照规定为公安机关、国家安全机关依法进行防范、调查恐怖活动提供技术接口和解密等技术支持和协助等的行为予以审查，决定是否受案。</w:t>
            </w:r>
            <w:r>
              <w:rPr>
                <w:rFonts w:hint="eastAsia" w:ascii="仿宋_GB2312"/>
                <w:color w:val="000000" w:themeColor="text1"/>
                <w:sz w:val="13"/>
                <w:szCs w:val="13"/>
              </w:rPr>
              <w:br w:type="textWrapping"/>
            </w:r>
            <w:r>
              <w:rPr>
                <w:rFonts w:hint="eastAsia" w:ascii="仿宋_GB2312"/>
                <w:color w:val="000000" w:themeColor="text1"/>
                <w:sz w:val="13"/>
                <w:szCs w:val="13"/>
              </w:rPr>
              <w:t>2、调查责任：对受案的案件，案件承办人员及时、全面、客观、公正地调查收集与案件有关的证据，查明事实，必要时可进行现场检查。与当事人有直接利害关系的予以回避。执法人员不得少于两人，调查时应出示执法证件（人民警察证），允许当事人辩解陈述。</w:t>
            </w:r>
            <w:r>
              <w:rPr>
                <w:rFonts w:hint="eastAsia" w:ascii="仿宋_GB2312"/>
                <w:color w:val="000000" w:themeColor="text1"/>
                <w:sz w:val="13"/>
                <w:szCs w:val="13"/>
              </w:rPr>
              <w:br w:type="textWrapping"/>
            </w:r>
            <w:r>
              <w:rPr>
                <w:rFonts w:hint="eastAsia" w:ascii="仿宋_GB2312"/>
                <w:color w:val="000000" w:themeColor="text1"/>
                <w:sz w:val="13"/>
                <w:szCs w:val="13"/>
              </w:rPr>
              <w:t>3、审查责任：对案件违法事实、证据、调查取证程序、法律适用、处罚种类和幅度、当事人陈述和申辩理由等方面进行审查，提出处理意见。</w:t>
            </w:r>
            <w:r>
              <w:rPr>
                <w:rFonts w:hint="eastAsia" w:ascii="仿宋_GB2312"/>
                <w:color w:val="000000" w:themeColor="text1"/>
                <w:sz w:val="13"/>
                <w:szCs w:val="13"/>
              </w:rPr>
              <w:br w:type="textWrapping"/>
            </w:r>
            <w:r>
              <w:rPr>
                <w:rFonts w:hint="eastAsia" w:ascii="仿宋_GB2312"/>
                <w:color w:val="000000" w:themeColor="text1"/>
                <w:sz w:val="13"/>
                <w:szCs w:val="13"/>
              </w:rPr>
              <w:t>4、告知责任：在做出行政处罚决定前，书面告知当事人拟作出处罚决定的事实、理由、依据、处罚内容，以及当事人享有的陈述权、申辩权或听证权。</w:t>
            </w:r>
            <w:r>
              <w:rPr>
                <w:rFonts w:hint="eastAsia" w:ascii="仿宋_GB2312"/>
                <w:color w:val="000000" w:themeColor="text1"/>
                <w:sz w:val="13"/>
                <w:szCs w:val="13"/>
              </w:rPr>
              <w:br w:type="textWrapping"/>
            </w:r>
            <w:r>
              <w:rPr>
                <w:rFonts w:hint="eastAsia" w:ascii="仿宋_GB2312"/>
                <w:color w:val="000000" w:themeColor="text1"/>
                <w:sz w:val="13"/>
                <w:szCs w:val="13"/>
              </w:rPr>
              <w:t>5、决定责任：依法需要给予行政处罚的，应制作《公安行政处罚决定书》，载明违法事实和证据、处罚依据和内容、申请行政复议或提起行政诉讼的途径和期限等内容。</w:t>
            </w:r>
            <w:r>
              <w:rPr>
                <w:rFonts w:hint="eastAsia" w:ascii="仿宋_GB2312"/>
                <w:color w:val="000000" w:themeColor="text1"/>
                <w:sz w:val="13"/>
                <w:szCs w:val="13"/>
              </w:rPr>
              <w:br w:type="textWrapping"/>
            </w:r>
            <w:r>
              <w:rPr>
                <w:rFonts w:hint="eastAsia" w:ascii="仿宋_GB2312"/>
                <w:color w:val="000000" w:themeColor="text1"/>
                <w:sz w:val="13"/>
                <w:szCs w:val="13"/>
              </w:rPr>
              <w:t>6、送达责任：行政处罚决定书在7日内送达当事人。</w:t>
            </w:r>
            <w:r>
              <w:rPr>
                <w:rFonts w:hint="eastAsia" w:ascii="仿宋_GB2312"/>
                <w:color w:val="000000" w:themeColor="text1"/>
                <w:sz w:val="13"/>
                <w:szCs w:val="13"/>
              </w:rPr>
              <w:br w:type="textWrapping"/>
            </w:r>
            <w:r>
              <w:rPr>
                <w:rFonts w:hint="eastAsia" w:ascii="仿宋_GB2312"/>
                <w:color w:val="000000" w:themeColor="text1"/>
                <w:sz w:val="13"/>
                <w:szCs w:val="13"/>
              </w:rPr>
              <w:t>7、执行责任：监督当事人在决定的期限内，履行生效的行政处罚决定。当事人在法定期限内不申请行政复议或提起行政诉讼，又不履行的，可依法采取强制执行或者申请人民法院强制执行。</w:t>
            </w:r>
            <w:r>
              <w:rPr>
                <w:rFonts w:hint="eastAsia" w:ascii="仿宋_GB2312"/>
                <w:color w:val="000000" w:themeColor="text1"/>
                <w:sz w:val="13"/>
                <w:szCs w:val="13"/>
              </w:rPr>
              <w:br w:type="textWrapping"/>
            </w:r>
            <w:r>
              <w:rPr>
                <w:rFonts w:hint="eastAsia" w:ascii="仿宋_GB2312"/>
                <w:color w:val="000000" w:themeColor="text1"/>
                <w:sz w:val="13"/>
                <w:szCs w:val="13"/>
              </w:rPr>
              <w:t>8、其他法律法规规章文件规定应履行的责任。</w:t>
            </w:r>
          </w:p>
        </w:tc>
        <w:tc>
          <w:tcPr>
            <w:tcW w:w="2370" w:type="dxa"/>
            <w:gridSpan w:val="4"/>
            <w:vAlign w:val="center"/>
          </w:tcPr>
          <w:p>
            <w:pPr>
              <w:widowControl/>
              <w:tabs>
                <w:tab w:val="left" w:pos="492"/>
              </w:tabs>
              <w:spacing w:line="240" w:lineRule="exact"/>
              <w:rPr>
                <w:rFonts w:ascii="仿宋_GB2312"/>
                <w:color w:val="000000" w:themeColor="text1"/>
                <w:sz w:val="13"/>
                <w:szCs w:val="13"/>
              </w:rPr>
            </w:pPr>
            <w:r>
              <w:rPr>
                <w:rFonts w:hint="eastAsia" w:ascii="仿宋_GB2312"/>
                <w:color w:val="000000" w:themeColor="text1"/>
                <w:sz w:val="13"/>
                <w:szCs w:val="13"/>
              </w:rPr>
              <w:t xml:space="preserve">因不履行或不正确履行行政职责，有下列情形的，公安机关及相关工作人员应承担相应责任：               </w:t>
            </w:r>
          </w:p>
          <w:p>
            <w:pPr>
              <w:widowControl/>
              <w:tabs>
                <w:tab w:val="left" w:pos="492"/>
              </w:tabs>
              <w:spacing w:line="240" w:lineRule="exact"/>
              <w:rPr>
                <w:rFonts w:ascii="仿宋_GB2312"/>
                <w:color w:val="000000" w:themeColor="text1"/>
                <w:sz w:val="13"/>
                <w:szCs w:val="13"/>
              </w:rPr>
            </w:pPr>
            <w:r>
              <w:rPr>
                <w:rFonts w:hint="eastAsia" w:ascii="仿宋_GB2312"/>
                <w:color w:val="000000" w:themeColor="text1"/>
                <w:sz w:val="13"/>
                <w:szCs w:val="13"/>
              </w:rPr>
              <w:t>1、刑讯逼供、体罚、虐待、侮辱他人的；</w:t>
            </w:r>
            <w:r>
              <w:rPr>
                <w:rFonts w:hint="eastAsia" w:ascii="仿宋_GB2312"/>
                <w:color w:val="000000" w:themeColor="text1"/>
                <w:sz w:val="13"/>
                <w:szCs w:val="13"/>
              </w:rPr>
              <w:br w:type="textWrapping"/>
            </w:r>
            <w:r>
              <w:rPr>
                <w:rFonts w:hint="eastAsia" w:ascii="仿宋_GB2312"/>
                <w:color w:val="000000" w:themeColor="text1"/>
                <w:sz w:val="13"/>
                <w:szCs w:val="13"/>
              </w:rPr>
              <w:t>2、超过询问查证的时间限制人身自由的；</w:t>
            </w:r>
            <w:r>
              <w:rPr>
                <w:rFonts w:hint="eastAsia" w:ascii="仿宋_GB2312"/>
                <w:color w:val="000000" w:themeColor="text1"/>
                <w:sz w:val="13"/>
                <w:szCs w:val="13"/>
              </w:rPr>
              <w:br w:type="textWrapping"/>
            </w:r>
            <w:r>
              <w:rPr>
                <w:rFonts w:hint="eastAsia" w:ascii="仿宋_GB2312"/>
                <w:color w:val="000000" w:themeColor="text1"/>
                <w:sz w:val="13"/>
                <w:szCs w:val="13"/>
              </w:rPr>
              <w:t>3、不执行罚款决定与罚款收缴分离制度或者不按规定将罚没的财物上缴国库或者依法处理的；</w:t>
            </w:r>
            <w:r>
              <w:rPr>
                <w:rFonts w:hint="eastAsia" w:ascii="仿宋_GB2312"/>
                <w:color w:val="000000" w:themeColor="text1"/>
                <w:sz w:val="13"/>
                <w:szCs w:val="13"/>
              </w:rPr>
              <w:br w:type="textWrapping"/>
            </w:r>
            <w:r>
              <w:rPr>
                <w:rFonts w:hint="eastAsia" w:ascii="仿宋_GB2312"/>
                <w:color w:val="000000" w:themeColor="text1"/>
                <w:sz w:val="13"/>
                <w:szCs w:val="13"/>
              </w:rPr>
              <w:t>4、私分、侵占、挪用、故意损毁收缴、扣押的财物的；</w:t>
            </w:r>
            <w:r>
              <w:rPr>
                <w:rFonts w:hint="eastAsia" w:ascii="仿宋_GB2312"/>
                <w:color w:val="000000" w:themeColor="text1"/>
                <w:sz w:val="13"/>
                <w:szCs w:val="13"/>
              </w:rPr>
              <w:br w:type="textWrapping"/>
            </w:r>
            <w:r>
              <w:rPr>
                <w:rFonts w:hint="eastAsia" w:ascii="仿宋_GB2312"/>
                <w:color w:val="000000" w:themeColor="text1"/>
                <w:sz w:val="13"/>
                <w:szCs w:val="13"/>
              </w:rPr>
              <w:t>5、违反规定使用或者不及时返还被侵害人财物的；</w:t>
            </w:r>
            <w:r>
              <w:rPr>
                <w:rFonts w:hint="eastAsia" w:ascii="仿宋_GB2312"/>
                <w:color w:val="000000" w:themeColor="text1"/>
                <w:sz w:val="13"/>
                <w:szCs w:val="13"/>
              </w:rPr>
              <w:br w:type="textWrapping"/>
            </w:r>
            <w:r>
              <w:rPr>
                <w:rFonts w:hint="eastAsia" w:ascii="仿宋_GB2312"/>
                <w:color w:val="000000" w:themeColor="text1"/>
                <w:sz w:val="13"/>
                <w:szCs w:val="13"/>
              </w:rPr>
              <w:t>6、违反规定不及时退还保证金的；</w:t>
            </w:r>
            <w:r>
              <w:rPr>
                <w:rFonts w:hint="eastAsia" w:ascii="仿宋_GB2312"/>
                <w:color w:val="000000" w:themeColor="text1"/>
                <w:sz w:val="13"/>
                <w:szCs w:val="13"/>
              </w:rPr>
              <w:br w:type="textWrapping"/>
            </w:r>
            <w:r>
              <w:rPr>
                <w:rFonts w:hint="eastAsia" w:ascii="仿宋_GB2312"/>
                <w:color w:val="000000" w:themeColor="text1"/>
                <w:sz w:val="13"/>
                <w:szCs w:val="13"/>
              </w:rPr>
              <w:t>7、利用职务上的便利收受他人财物或者谋取其他利益的；</w:t>
            </w:r>
            <w:r>
              <w:rPr>
                <w:rFonts w:hint="eastAsia" w:ascii="仿宋_GB2312"/>
                <w:color w:val="000000" w:themeColor="text1"/>
                <w:sz w:val="13"/>
                <w:szCs w:val="13"/>
              </w:rPr>
              <w:br w:type="textWrapping"/>
            </w:r>
            <w:r>
              <w:rPr>
                <w:rFonts w:hint="eastAsia" w:ascii="仿宋_GB2312"/>
                <w:color w:val="000000" w:themeColor="text1"/>
                <w:sz w:val="13"/>
                <w:szCs w:val="13"/>
              </w:rPr>
              <w:t>8、当场收缴罚款不出具罚款收据或者不如实填写罚款数额的；</w:t>
            </w:r>
            <w:r>
              <w:rPr>
                <w:rFonts w:hint="eastAsia" w:ascii="仿宋_GB2312"/>
                <w:color w:val="000000" w:themeColor="text1"/>
                <w:sz w:val="13"/>
                <w:szCs w:val="13"/>
              </w:rPr>
              <w:br w:type="textWrapping"/>
            </w:r>
            <w:r>
              <w:rPr>
                <w:rFonts w:hint="eastAsia" w:ascii="仿宋_GB2312"/>
                <w:color w:val="000000" w:themeColor="text1"/>
                <w:sz w:val="13"/>
                <w:szCs w:val="13"/>
              </w:rPr>
              <w:t>9、接到要求制止违反治安管理行为的报警后，不及时出警的；</w:t>
            </w:r>
            <w:r>
              <w:rPr>
                <w:rFonts w:hint="eastAsia" w:ascii="仿宋_GB2312"/>
                <w:color w:val="000000" w:themeColor="text1"/>
                <w:sz w:val="13"/>
                <w:szCs w:val="13"/>
              </w:rPr>
              <w:br w:type="textWrapping"/>
            </w:r>
            <w:r>
              <w:rPr>
                <w:rFonts w:hint="eastAsia" w:ascii="仿宋_GB2312"/>
                <w:color w:val="000000" w:themeColor="text1"/>
                <w:sz w:val="13"/>
                <w:szCs w:val="13"/>
              </w:rPr>
              <w:t>10、在查处电信业务经营者、互联网服务提供者未依照规定为公安机关、国家安全机关依法进行防范、调查恐怖活动提供技术接口和解密等技术支持和协助等的案件时，为违法犯罪行为人通风报信的；</w:t>
            </w:r>
            <w:r>
              <w:rPr>
                <w:rFonts w:hint="eastAsia" w:ascii="仿宋_GB2312"/>
                <w:color w:val="000000" w:themeColor="text1"/>
                <w:sz w:val="13"/>
                <w:szCs w:val="13"/>
              </w:rPr>
              <w:br w:type="textWrapping"/>
            </w:r>
            <w:r>
              <w:rPr>
                <w:rFonts w:hint="eastAsia" w:ascii="仿宋_GB2312"/>
                <w:color w:val="000000" w:themeColor="text1"/>
                <w:sz w:val="13"/>
                <w:szCs w:val="13"/>
              </w:rPr>
              <w:t xml:space="preserve">11、有徇私舞弊、滥用职权，不依法履行法定职责的其他情形的。     </w:t>
            </w:r>
          </w:p>
          <w:p>
            <w:pPr>
              <w:widowControl/>
              <w:tabs>
                <w:tab w:val="left" w:pos="492"/>
              </w:tabs>
              <w:spacing w:line="240" w:lineRule="exact"/>
              <w:rPr>
                <w:rFonts w:ascii="仿宋_GB2312"/>
                <w:color w:val="000000" w:themeColor="text1"/>
                <w:sz w:val="13"/>
                <w:szCs w:val="13"/>
              </w:rPr>
            </w:pPr>
            <w:r>
              <w:rPr>
                <w:rFonts w:hint="eastAsia" w:ascii="仿宋_GB2312"/>
                <w:color w:val="000000" w:themeColor="text1"/>
                <w:sz w:val="13"/>
                <w:szCs w:val="13"/>
              </w:rPr>
              <w:t>12、其他违反法律法规规章文件规定的行为。</w:t>
            </w:r>
          </w:p>
        </w:tc>
        <w:tc>
          <w:tcPr>
            <w:tcW w:w="1098" w:type="dxa"/>
            <w:gridSpan w:val="2"/>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8650" w:hRule="exact"/>
        </w:trPr>
        <w:tc>
          <w:tcPr>
            <w:tcW w:w="456" w:type="dxa"/>
            <w:vAlign w:val="center"/>
          </w:tcPr>
          <w:p>
            <w:pPr>
              <w:spacing w:line="240" w:lineRule="exact"/>
              <w:jc w:val="center"/>
              <w:textAlignment w:val="center"/>
              <w:rPr>
                <w:rFonts w:hint="eastAsia" w:eastAsia="仿宋_GB2312"/>
                <w:sz w:val="20"/>
                <w:szCs w:val="20"/>
                <w:lang w:val="en-US" w:eastAsia="zh-CN"/>
              </w:rPr>
            </w:pPr>
            <w:r>
              <w:rPr>
                <w:rFonts w:hint="eastAsia"/>
                <w:sz w:val="20"/>
                <w:szCs w:val="20"/>
              </w:rPr>
              <w:t>2</w:t>
            </w:r>
            <w:r>
              <w:rPr>
                <w:rFonts w:hint="eastAsia"/>
                <w:sz w:val="20"/>
                <w:szCs w:val="20"/>
                <w:lang w:val="en-US" w:eastAsia="zh-CN"/>
              </w:rPr>
              <w:t>8</w:t>
            </w:r>
          </w:p>
        </w:tc>
        <w:tc>
          <w:tcPr>
            <w:tcW w:w="589" w:type="dxa"/>
            <w:vAlign w:val="center"/>
          </w:tcPr>
          <w:p>
            <w:pPr>
              <w:widowControl/>
              <w:tabs>
                <w:tab w:val="left" w:pos="492"/>
              </w:tabs>
              <w:spacing w:line="240" w:lineRule="exact"/>
              <w:rPr>
                <w:sz w:val="20"/>
                <w:szCs w:val="20"/>
              </w:rPr>
            </w:pPr>
            <w:r>
              <w:rPr>
                <w:rFonts w:hint="eastAsia"/>
                <w:sz w:val="20"/>
                <w:szCs w:val="20"/>
              </w:rPr>
              <w:t>行政处罚</w:t>
            </w:r>
          </w:p>
        </w:tc>
        <w:tc>
          <w:tcPr>
            <w:tcW w:w="1189" w:type="dxa"/>
            <w:gridSpan w:val="2"/>
            <w:vAlign w:val="center"/>
          </w:tcPr>
          <w:p>
            <w:pPr>
              <w:widowControl/>
              <w:tabs>
                <w:tab w:val="left" w:pos="492"/>
              </w:tabs>
              <w:spacing w:line="240" w:lineRule="exact"/>
              <w:rPr>
                <w:rFonts w:ascii="仿宋_GB2312"/>
                <w:sz w:val="13"/>
                <w:szCs w:val="13"/>
              </w:rPr>
            </w:pPr>
            <w:r>
              <w:rPr>
                <w:rFonts w:hint="eastAsia" w:ascii="仿宋_GB2312"/>
                <w:sz w:val="13"/>
                <w:szCs w:val="13"/>
              </w:rPr>
              <w:t>对违反计算机信息系统安全保护管理的处罚</w:t>
            </w:r>
          </w:p>
        </w:tc>
        <w:tc>
          <w:tcPr>
            <w:tcW w:w="965" w:type="dxa"/>
            <w:gridSpan w:val="2"/>
            <w:vAlign w:val="center"/>
          </w:tcPr>
          <w:p>
            <w:pPr>
              <w:widowControl/>
              <w:tabs>
                <w:tab w:val="left" w:pos="492"/>
              </w:tabs>
              <w:spacing w:line="240" w:lineRule="exact"/>
              <w:rPr>
                <w:rFonts w:ascii="仿宋_GB2312"/>
                <w:color w:val="000000" w:themeColor="text1"/>
                <w:sz w:val="13"/>
                <w:szCs w:val="13"/>
              </w:rPr>
            </w:pPr>
            <w:r>
              <w:rPr>
                <w:rFonts w:hint="eastAsia" w:ascii="仿宋_GB2312" w:hAnsi="Arial" w:cs="Arial"/>
                <w:color w:val="000000" w:themeColor="text1"/>
                <w:kern w:val="0"/>
                <w:sz w:val="13"/>
                <w:szCs w:val="13"/>
              </w:rPr>
              <w:t>唐山市公安局开平分局网安大队</w:t>
            </w:r>
          </w:p>
        </w:tc>
        <w:tc>
          <w:tcPr>
            <w:tcW w:w="5065" w:type="dxa"/>
            <w:gridSpan w:val="8"/>
            <w:vAlign w:val="center"/>
          </w:tcPr>
          <w:p>
            <w:pPr>
              <w:widowControl/>
              <w:tabs>
                <w:tab w:val="left" w:pos="492"/>
              </w:tabs>
              <w:spacing w:line="240" w:lineRule="exact"/>
              <w:rPr>
                <w:rFonts w:ascii="仿宋_GB2312"/>
                <w:sz w:val="13"/>
                <w:szCs w:val="13"/>
              </w:rPr>
            </w:pPr>
            <w:r>
              <w:rPr>
                <w:rFonts w:hint="eastAsia" w:ascii="仿宋_GB2312"/>
                <w:sz w:val="13"/>
                <w:szCs w:val="13"/>
              </w:rPr>
              <w:t>《中华人民共和国计算机信息系统安全保护条例》第二十、二十三条。</w:t>
            </w:r>
          </w:p>
          <w:p>
            <w:pPr>
              <w:widowControl/>
              <w:tabs>
                <w:tab w:val="left" w:pos="492"/>
              </w:tabs>
              <w:spacing w:line="240" w:lineRule="exact"/>
              <w:ind w:firstLine="260" w:firstLineChars="200"/>
              <w:rPr>
                <w:rFonts w:ascii="仿宋_GB2312"/>
                <w:sz w:val="13"/>
                <w:szCs w:val="13"/>
              </w:rPr>
            </w:pPr>
            <w:r>
              <w:rPr>
                <w:rFonts w:hint="eastAsia" w:ascii="仿宋_GB2312"/>
                <w:sz w:val="13"/>
                <w:szCs w:val="13"/>
              </w:rPr>
              <w:t>第二十条 违反本条例的规定，有下列行为之一的，由公安机关处以警告或者停机整顿:(一)违反计算机信息系统安全等级保护制度，危害计算机信息系统安全的;(二)违反计算机信息系统国际联网备案制度的;(三)不按照规定时间报告计算机信息系统中发生的案件的;(四)接到公安机关要求改进安全状况的通知后，在限期内拒不改进的;(五)有危害计算机信息系统安全的其他行为的。</w:t>
            </w:r>
          </w:p>
          <w:p>
            <w:pPr>
              <w:widowControl/>
              <w:tabs>
                <w:tab w:val="left" w:pos="492"/>
              </w:tabs>
              <w:spacing w:line="240" w:lineRule="exact"/>
              <w:ind w:firstLine="65" w:firstLineChars="50"/>
              <w:rPr>
                <w:rFonts w:ascii="仿宋_GB2312"/>
                <w:sz w:val="13"/>
                <w:szCs w:val="13"/>
              </w:rPr>
            </w:pPr>
          </w:p>
          <w:p>
            <w:pPr>
              <w:widowControl/>
              <w:tabs>
                <w:tab w:val="left" w:pos="492"/>
              </w:tabs>
              <w:spacing w:line="240" w:lineRule="exact"/>
              <w:ind w:firstLine="65" w:firstLineChars="50"/>
              <w:rPr>
                <w:rFonts w:ascii="仿宋_GB2312"/>
                <w:sz w:val="13"/>
                <w:szCs w:val="13"/>
              </w:rPr>
            </w:pPr>
            <w:r>
              <w:rPr>
                <w:rFonts w:hint="eastAsia" w:ascii="仿宋_GB2312"/>
                <w:sz w:val="13"/>
                <w:szCs w:val="13"/>
              </w:rPr>
              <w:t>第二十三条 故意输入计算机病毒以及其他有害数据危害计算机信息系统安全的，或者未经许可出售计算机信息系统安全专用产品的，由公安机关处以警告或者对个人处以5000元以下的罚款、对单位处以1</w:t>
            </w:r>
            <w:r>
              <w:rPr>
                <w:rFonts w:hint="eastAsia" w:ascii="仿宋_GB2312" w:hAnsi="MingLiU_HKSCS" w:cs="MingLiU_HKSCS"/>
                <w:sz w:val="13"/>
                <w:szCs w:val="13"/>
              </w:rPr>
              <w:t></w:t>
            </w:r>
            <w:r>
              <w:rPr>
                <w:rFonts w:hint="eastAsia" w:ascii="仿宋_GB2312"/>
                <w:sz w:val="13"/>
                <w:szCs w:val="13"/>
              </w:rPr>
              <w:t>5万元以下的罚款;有违法所得的，除予以没收外，可以处以违法所得1至3倍的罚款。</w:t>
            </w:r>
          </w:p>
        </w:tc>
        <w:tc>
          <w:tcPr>
            <w:tcW w:w="1294" w:type="dxa"/>
            <w:gridSpan w:val="3"/>
            <w:vAlign w:val="center"/>
          </w:tcPr>
          <w:p>
            <w:pPr>
              <w:widowControl/>
              <w:tabs>
                <w:tab w:val="left" w:pos="492"/>
              </w:tabs>
              <w:spacing w:line="240" w:lineRule="exact"/>
              <w:rPr>
                <w:rFonts w:ascii="仿宋_GB2312"/>
                <w:sz w:val="13"/>
                <w:szCs w:val="13"/>
              </w:rPr>
            </w:pPr>
            <w:r>
              <w:rPr>
                <w:rFonts w:hint="eastAsia" w:ascii="仿宋_GB2312"/>
                <w:sz w:val="13"/>
                <w:szCs w:val="13"/>
              </w:rPr>
              <w:t>1、受案责任：日常工作中对发现或者接到报警投诉电信业务经营者、互联网服务提供者未依照规定为公安机关、国家安全机关依法进行防范、调查恐怖活动提供技术接口和解密等技术支持和协助等的行为予以审查，决定是否受案。</w:t>
            </w:r>
            <w:r>
              <w:rPr>
                <w:rFonts w:hint="eastAsia" w:ascii="仿宋_GB2312"/>
                <w:sz w:val="13"/>
                <w:szCs w:val="13"/>
              </w:rPr>
              <w:br w:type="textWrapping"/>
            </w:r>
            <w:r>
              <w:rPr>
                <w:rFonts w:hint="eastAsia" w:ascii="仿宋_GB2312"/>
                <w:sz w:val="13"/>
                <w:szCs w:val="13"/>
              </w:rPr>
              <w:t>2、调查责任：对受案的案件，案件承办人员及时、全面、客观、公正地调查收集与案件有关的证据，查明事实，必要时可进行现场检查。与当事人有直接利害关系的予以回避。执法人员不得少于两人，调查时应出示执法证件（人民警察证），允许当事人辩解陈述。</w:t>
            </w:r>
            <w:r>
              <w:rPr>
                <w:rFonts w:hint="eastAsia" w:ascii="仿宋_GB2312"/>
                <w:sz w:val="13"/>
                <w:szCs w:val="13"/>
              </w:rPr>
              <w:br w:type="textWrapping"/>
            </w:r>
            <w:r>
              <w:rPr>
                <w:rFonts w:hint="eastAsia" w:ascii="仿宋_GB2312"/>
                <w:sz w:val="13"/>
                <w:szCs w:val="13"/>
              </w:rPr>
              <w:t>3、审查责任：对案件违法事实、证据、调查取证程序、法律适用、处罚种类和幅度、当事人陈述和申辩理由等方面进行审查，提出处理意见。</w:t>
            </w:r>
            <w:r>
              <w:rPr>
                <w:rFonts w:hint="eastAsia" w:ascii="仿宋_GB2312"/>
                <w:sz w:val="13"/>
                <w:szCs w:val="13"/>
              </w:rPr>
              <w:br w:type="textWrapping"/>
            </w:r>
            <w:r>
              <w:rPr>
                <w:rFonts w:hint="eastAsia" w:ascii="仿宋_GB2312"/>
                <w:sz w:val="13"/>
                <w:szCs w:val="13"/>
              </w:rPr>
              <w:t>4、告知责任：在做出行政处罚决定前，书面告知当事人拟作出处罚决定的事实、理由、依据、处罚内容，以及当事人享有的陈述权、申辩权或听证权。</w:t>
            </w:r>
            <w:r>
              <w:rPr>
                <w:rFonts w:hint="eastAsia" w:ascii="仿宋_GB2312"/>
                <w:sz w:val="13"/>
                <w:szCs w:val="13"/>
              </w:rPr>
              <w:br w:type="textWrapping"/>
            </w:r>
            <w:r>
              <w:rPr>
                <w:rFonts w:hint="eastAsia" w:ascii="仿宋_GB2312"/>
                <w:sz w:val="13"/>
                <w:szCs w:val="13"/>
              </w:rPr>
              <w:t>5、决定责任：依法需要给予行政处罚的，应制作《公安行政处罚决定书》，载明违法事实和证据、处罚依据和内容、申请行政复议或提起行政诉讼的途径和期限等内容。</w:t>
            </w:r>
            <w:r>
              <w:rPr>
                <w:rFonts w:hint="eastAsia" w:ascii="仿宋_GB2312"/>
                <w:sz w:val="13"/>
                <w:szCs w:val="13"/>
              </w:rPr>
              <w:br w:type="textWrapping"/>
            </w:r>
            <w:r>
              <w:rPr>
                <w:rFonts w:hint="eastAsia" w:ascii="仿宋_GB2312"/>
                <w:sz w:val="13"/>
                <w:szCs w:val="13"/>
              </w:rPr>
              <w:t>6、送达责任：行政处罚决定书在7日内送达当事人。</w:t>
            </w:r>
            <w:r>
              <w:rPr>
                <w:rFonts w:hint="eastAsia" w:ascii="仿宋_GB2312"/>
                <w:sz w:val="13"/>
                <w:szCs w:val="13"/>
              </w:rPr>
              <w:br w:type="textWrapping"/>
            </w:r>
            <w:r>
              <w:rPr>
                <w:rFonts w:hint="eastAsia" w:ascii="仿宋_GB2312"/>
                <w:sz w:val="13"/>
                <w:szCs w:val="13"/>
              </w:rPr>
              <w:t>7、执行责任：监督当事人在决定的期限内，履行生效的行政处罚决定。当事人在法定期限内不申请行政复议或提起行政诉讼，又不履行的，可依法采取强制执行或者申请人民法院强制执行。</w:t>
            </w:r>
            <w:r>
              <w:rPr>
                <w:rFonts w:hint="eastAsia" w:ascii="仿宋_GB2312"/>
                <w:sz w:val="13"/>
                <w:szCs w:val="13"/>
              </w:rPr>
              <w:br w:type="textWrapping"/>
            </w:r>
            <w:r>
              <w:rPr>
                <w:rFonts w:hint="eastAsia" w:ascii="仿宋_GB2312"/>
                <w:sz w:val="13"/>
                <w:szCs w:val="13"/>
              </w:rPr>
              <w:t>8、其他法律法规规章文件规定应履行的责任。</w:t>
            </w:r>
          </w:p>
        </w:tc>
        <w:tc>
          <w:tcPr>
            <w:tcW w:w="2370" w:type="dxa"/>
            <w:gridSpan w:val="4"/>
            <w:vAlign w:val="center"/>
          </w:tcPr>
          <w:p>
            <w:pPr>
              <w:widowControl/>
              <w:tabs>
                <w:tab w:val="left" w:pos="492"/>
              </w:tabs>
              <w:spacing w:line="240" w:lineRule="exact"/>
              <w:rPr>
                <w:rFonts w:ascii="仿宋_GB2312"/>
                <w:sz w:val="13"/>
                <w:szCs w:val="13"/>
              </w:rPr>
            </w:pPr>
            <w:r>
              <w:rPr>
                <w:rFonts w:hint="eastAsia" w:ascii="仿宋_GB2312"/>
                <w:sz w:val="13"/>
                <w:szCs w:val="13"/>
              </w:rPr>
              <w:t>因不履行或不正确履行行政职责，有下列情形的，公安机关及相关工作人员应承担相应责任：               1、刑讯逼供、体罚、虐待、侮辱他人的；</w:t>
            </w:r>
            <w:r>
              <w:rPr>
                <w:rFonts w:hint="eastAsia" w:ascii="仿宋_GB2312"/>
                <w:sz w:val="13"/>
                <w:szCs w:val="13"/>
              </w:rPr>
              <w:br w:type="textWrapping"/>
            </w:r>
            <w:r>
              <w:rPr>
                <w:rFonts w:hint="eastAsia" w:ascii="仿宋_GB2312"/>
                <w:sz w:val="13"/>
                <w:szCs w:val="13"/>
              </w:rPr>
              <w:t>2、超过询问查证的时间限制人身自由的；</w:t>
            </w:r>
            <w:r>
              <w:rPr>
                <w:rFonts w:hint="eastAsia" w:ascii="仿宋_GB2312"/>
                <w:sz w:val="13"/>
                <w:szCs w:val="13"/>
              </w:rPr>
              <w:br w:type="textWrapping"/>
            </w:r>
            <w:r>
              <w:rPr>
                <w:rFonts w:hint="eastAsia" w:ascii="仿宋_GB2312"/>
                <w:sz w:val="13"/>
                <w:szCs w:val="13"/>
              </w:rPr>
              <w:t>3、不执行罚款决定与罚款收缴分离制度或者不按规定将罚没的财物上缴国库或者依法处理的；</w:t>
            </w:r>
            <w:r>
              <w:rPr>
                <w:rFonts w:hint="eastAsia" w:ascii="仿宋_GB2312"/>
                <w:sz w:val="13"/>
                <w:szCs w:val="13"/>
              </w:rPr>
              <w:br w:type="textWrapping"/>
            </w:r>
            <w:r>
              <w:rPr>
                <w:rFonts w:hint="eastAsia" w:ascii="仿宋_GB2312"/>
                <w:sz w:val="13"/>
                <w:szCs w:val="13"/>
              </w:rPr>
              <w:t>4、私分、侵占、挪用、故意损毁收缴、扣押的财物的；</w:t>
            </w:r>
            <w:r>
              <w:rPr>
                <w:rFonts w:hint="eastAsia" w:ascii="仿宋_GB2312"/>
                <w:sz w:val="13"/>
                <w:szCs w:val="13"/>
              </w:rPr>
              <w:br w:type="textWrapping"/>
            </w:r>
            <w:r>
              <w:rPr>
                <w:rFonts w:hint="eastAsia" w:ascii="仿宋_GB2312"/>
                <w:sz w:val="13"/>
                <w:szCs w:val="13"/>
              </w:rPr>
              <w:t>5、违反规定使用或者不及时返还被侵害人财物的；</w:t>
            </w:r>
            <w:r>
              <w:rPr>
                <w:rFonts w:hint="eastAsia" w:ascii="仿宋_GB2312"/>
                <w:sz w:val="13"/>
                <w:szCs w:val="13"/>
              </w:rPr>
              <w:br w:type="textWrapping"/>
            </w:r>
            <w:r>
              <w:rPr>
                <w:rFonts w:hint="eastAsia" w:ascii="仿宋_GB2312"/>
                <w:sz w:val="13"/>
                <w:szCs w:val="13"/>
              </w:rPr>
              <w:t>6、违反规定不及时退还保证金的；</w:t>
            </w:r>
            <w:r>
              <w:rPr>
                <w:rFonts w:hint="eastAsia" w:ascii="仿宋_GB2312"/>
                <w:sz w:val="13"/>
                <w:szCs w:val="13"/>
              </w:rPr>
              <w:br w:type="textWrapping"/>
            </w:r>
            <w:r>
              <w:rPr>
                <w:rFonts w:hint="eastAsia" w:ascii="仿宋_GB2312"/>
                <w:sz w:val="13"/>
                <w:szCs w:val="13"/>
              </w:rPr>
              <w:t>7、利用职务上的便利收受他人财物或者谋取其他利益的；</w:t>
            </w:r>
            <w:r>
              <w:rPr>
                <w:rFonts w:hint="eastAsia" w:ascii="仿宋_GB2312"/>
                <w:sz w:val="13"/>
                <w:szCs w:val="13"/>
              </w:rPr>
              <w:br w:type="textWrapping"/>
            </w:r>
            <w:r>
              <w:rPr>
                <w:rFonts w:hint="eastAsia" w:ascii="仿宋_GB2312"/>
                <w:sz w:val="13"/>
                <w:szCs w:val="13"/>
              </w:rPr>
              <w:t>8、当场收缴罚款不出具罚款收据或者不如实填写罚款数额的；</w:t>
            </w:r>
            <w:r>
              <w:rPr>
                <w:rFonts w:hint="eastAsia" w:ascii="仿宋_GB2312"/>
                <w:sz w:val="13"/>
                <w:szCs w:val="13"/>
              </w:rPr>
              <w:br w:type="textWrapping"/>
            </w:r>
            <w:r>
              <w:rPr>
                <w:rFonts w:hint="eastAsia" w:ascii="仿宋_GB2312"/>
                <w:sz w:val="13"/>
                <w:szCs w:val="13"/>
              </w:rPr>
              <w:t>9、接到要求制止违反治安管理行为的报警后，不及时出警的；</w:t>
            </w:r>
            <w:r>
              <w:rPr>
                <w:rFonts w:hint="eastAsia" w:ascii="仿宋_GB2312"/>
                <w:sz w:val="13"/>
                <w:szCs w:val="13"/>
              </w:rPr>
              <w:br w:type="textWrapping"/>
            </w:r>
            <w:r>
              <w:rPr>
                <w:rFonts w:hint="eastAsia" w:ascii="仿宋_GB2312"/>
                <w:sz w:val="13"/>
                <w:szCs w:val="13"/>
              </w:rPr>
              <w:t>10、在查处电信业务经营者、互联网服务提供者未依照规定为公安机关、国家安全机关依法进行防范、调查恐怖活动提供技术接口和解密等技术支持和协助等的案件时，为违法犯罪行为人通风报信的；</w:t>
            </w:r>
            <w:r>
              <w:rPr>
                <w:rFonts w:hint="eastAsia" w:ascii="仿宋_GB2312"/>
                <w:sz w:val="13"/>
                <w:szCs w:val="13"/>
              </w:rPr>
              <w:br w:type="textWrapping"/>
            </w:r>
            <w:r>
              <w:rPr>
                <w:rFonts w:hint="eastAsia" w:ascii="仿宋_GB2312"/>
                <w:sz w:val="13"/>
                <w:szCs w:val="13"/>
              </w:rPr>
              <w:t>11、有徇私舞弊、滥用职权，不依法履行法定职责的其他情形的。</w:t>
            </w:r>
          </w:p>
          <w:p>
            <w:pPr>
              <w:widowControl/>
              <w:tabs>
                <w:tab w:val="left" w:pos="492"/>
              </w:tabs>
              <w:spacing w:line="240" w:lineRule="exact"/>
              <w:rPr>
                <w:rFonts w:ascii="仿宋_GB2312"/>
                <w:sz w:val="13"/>
                <w:szCs w:val="13"/>
              </w:rPr>
            </w:pPr>
            <w:r>
              <w:rPr>
                <w:rFonts w:hint="eastAsia" w:ascii="仿宋_GB2312"/>
                <w:sz w:val="13"/>
                <w:szCs w:val="13"/>
              </w:rPr>
              <w:t>12、其他违反法律法规规章文件规定的行为。</w:t>
            </w:r>
          </w:p>
        </w:tc>
        <w:tc>
          <w:tcPr>
            <w:tcW w:w="1098" w:type="dxa"/>
            <w:gridSpan w:val="2"/>
          </w:tcPr>
          <w:p>
            <w:pPr>
              <w:widowControl/>
              <w:tabs>
                <w:tab w:val="left" w:pos="492"/>
              </w:tabs>
              <w:spacing w:line="240" w:lineRule="exac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8792" w:hRule="exact"/>
        </w:trPr>
        <w:tc>
          <w:tcPr>
            <w:tcW w:w="456" w:type="dxa"/>
            <w:vAlign w:val="center"/>
          </w:tcPr>
          <w:p>
            <w:pPr>
              <w:spacing w:line="240" w:lineRule="exact"/>
              <w:jc w:val="center"/>
              <w:textAlignment w:val="center"/>
              <w:rPr>
                <w:rFonts w:hint="default" w:eastAsia="仿宋_GB2312"/>
                <w:sz w:val="20"/>
                <w:szCs w:val="20"/>
                <w:lang w:val="en-US" w:eastAsia="zh-CN"/>
              </w:rPr>
            </w:pPr>
            <w:r>
              <w:rPr>
                <w:rFonts w:hint="eastAsia"/>
                <w:sz w:val="20"/>
                <w:szCs w:val="20"/>
                <w:lang w:val="en-US" w:eastAsia="zh-CN"/>
              </w:rPr>
              <w:t>29</w:t>
            </w:r>
          </w:p>
        </w:tc>
        <w:tc>
          <w:tcPr>
            <w:tcW w:w="589" w:type="dxa"/>
            <w:vAlign w:val="center"/>
          </w:tcPr>
          <w:p>
            <w:pPr>
              <w:widowControl/>
              <w:tabs>
                <w:tab w:val="left" w:pos="492"/>
              </w:tabs>
              <w:spacing w:line="240" w:lineRule="exact"/>
              <w:rPr>
                <w:sz w:val="20"/>
                <w:szCs w:val="20"/>
              </w:rPr>
            </w:pPr>
            <w:r>
              <w:rPr>
                <w:rFonts w:hint="eastAsia"/>
                <w:sz w:val="20"/>
                <w:szCs w:val="20"/>
              </w:rPr>
              <w:t>行政处罚</w:t>
            </w:r>
          </w:p>
        </w:tc>
        <w:tc>
          <w:tcPr>
            <w:tcW w:w="1189" w:type="dxa"/>
            <w:gridSpan w:val="2"/>
            <w:vAlign w:val="center"/>
          </w:tcPr>
          <w:p>
            <w:pPr>
              <w:widowControl/>
              <w:tabs>
                <w:tab w:val="left" w:pos="492"/>
              </w:tabs>
              <w:spacing w:line="240" w:lineRule="exact"/>
              <w:rPr>
                <w:rFonts w:ascii="仿宋_GB2312"/>
                <w:sz w:val="13"/>
                <w:szCs w:val="13"/>
              </w:rPr>
            </w:pPr>
            <w:r>
              <w:rPr>
                <w:rFonts w:hint="eastAsia" w:ascii="仿宋_GB2312"/>
                <w:sz w:val="13"/>
                <w:szCs w:val="13"/>
              </w:rPr>
              <w:t>对违反互联网信息服务行为的处罚</w:t>
            </w:r>
          </w:p>
        </w:tc>
        <w:tc>
          <w:tcPr>
            <w:tcW w:w="965" w:type="dxa"/>
            <w:gridSpan w:val="2"/>
            <w:vAlign w:val="center"/>
          </w:tcPr>
          <w:p>
            <w:pPr>
              <w:widowControl/>
              <w:tabs>
                <w:tab w:val="left" w:pos="492"/>
              </w:tabs>
              <w:spacing w:line="240" w:lineRule="exact"/>
              <w:rPr>
                <w:rFonts w:ascii="仿宋_GB2312"/>
                <w:sz w:val="13"/>
                <w:szCs w:val="13"/>
              </w:rPr>
            </w:pPr>
            <w:r>
              <w:rPr>
                <w:rFonts w:hint="eastAsia" w:ascii="仿宋_GB2312"/>
                <w:color w:val="000000" w:themeColor="text1"/>
                <w:sz w:val="13"/>
                <w:szCs w:val="13"/>
              </w:rPr>
              <w:t>唐山市公安局开平分局网安大队</w:t>
            </w:r>
          </w:p>
        </w:tc>
        <w:tc>
          <w:tcPr>
            <w:tcW w:w="5065" w:type="dxa"/>
            <w:gridSpan w:val="8"/>
            <w:vAlign w:val="center"/>
          </w:tcPr>
          <w:p>
            <w:pPr>
              <w:widowControl/>
              <w:tabs>
                <w:tab w:val="left" w:pos="492"/>
              </w:tabs>
              <w:spacing w:line="240" w:lineRule="exact"/>
              <w:rPr>
                <w:rFonts w:ascii="仿宋_GB2312"/>
                <w:sz w:val="13"/>
                <w:szCs w:val="13"/>
              </w:rPr>
            </w:pPr>
            <w:r>
              <w:rPr>
                <w:rFonts w:hint="eastAsia" w:ascii="仿宋_GB2312"/>
                <w:sz w:val="13"/>
                <w:szCs w:val="13"/>
              </w:rPr>
              <w:t>《互联网信息服务管理办法》第二十条。第二十条制作、复制、发布、传播本办法第十五条所列内容之一的信息，构成犯罪的，依法追究刑事责任;尚不构成犯罪的，由公安机关、国家安全机关依照《中华人民共和国治安管理处罚法》、《计算机信息网络国际联网安全保护管理办法》等有关法律、行政法规的规定予以处罚;对经营性互联网信息服务提供者，并由发证机关责令停业整顿直至吊销经营许可证，通知企业登记机关;对非经营性互联网信息服务提供者，并由备案机关责令暂时关闭网站直至关闭网站。</w:t>
            </w:r>
          </w:p>
        </w:tc>
        <w:tc>
          <w:tcPr>
            <w:tcW w:w="1294" w:type="dxa"/>
            <w:gridSpan w:val="3"/>
            <w:vAlign w:val="center"/>
          </w:tcPr>
          <w:p>
            <w:pPr>
              <w:widowControl/>
              <w:tabs>
                <w:tab w:val="left" w:pos="492"/>
              </w:tabs>
              <w:spacing w:line="240" w:lineRule="exact"/>
              <w:rPr>
                <w:rFonts w:ascii="仿宋_GB2312"/>
                <w:sz w:val="13"/>
                <w:szCs w:val="13"/>
              </w:rPr>
            </w:pPr>
            <w:r>
              <w:rPr>
                <w:rFonts w:hint="eastAsia" w:ascii="仿宋_GB2312"/>
                <w:sz w:val="13"/>
                <w:szCs w:val="13"/>
              </w:rPr>
              <w:t>1、受案责任：日常工作中对发现或者接到报警投诉电信业务经营者、互联网服务提供者未依照规定为公安机关、国家安全机关依法进行防范、调查恐怖活动提供技术接口和解密等技术支持和协助等的行为予以审查，决定是否受案。</w:t>
            </w:r>
            <w:r>
              <w:rPr>
                <w:rFonts w:hint="eastAsia" w:ascii="仿宋_GB2312"/>
                <w:sz w:val="13"/>
                <w:szCs w:val="13"/>
              </w:rPr>
              <w:br w:type="textWrapping"/>
            </w:r>
            <w:r>
              <w:rPr>
                <w:rFonts w:hint="eastAsia" w:ascii="仿宋_GB2312"/>
                <w:sz w:val="13"/>
                <w:szCs w:val="13"/>
              </w:rPr>
              <w:t>2、调查责任：对受案的案件，案件承办人员及时、全面、客观、公正地调查收集与案件有关的证据，查明事实，必要时可进行现场检查。与当事人有直接利害关系的予以回避。执法人员不得少于两人，调查时应出示执法证件（人民警察证），允许当事人辩解陈述。</w:t>
            </w:r>
            <w:r>
              <w:rPr>
                <w:rFonts w:hint="eastAsia" w:ascii="仿宋_GB2312"/>
                <w:sz w:val="13"/>
                <w:szCs w:val="13"/>
              </w:rPr>
              <w:br w:type="textWrapping"/>
            </w:r>
            <w:r>
              <w:rPr>
                <w:rFonts w:hint="eastAsia" w:ascii="仿宋_GB2312"/>
                <w:sz w:val="13"/>
                <w:szCs w:val="13"/>
              </w:rPr>
              <w:t>3、审查责任：对案件违法事实、证据、调查取证程序、法律适用、处罚种类和幅度、当事人陈述和申辩理由等方面进行审查，提出处理意见。</w:t>
            </w:r>
            <w:r>
              <w:rPr>
                <w:rFonts w:hint="eastAsia" w:ascii="仿宋_GB2312"/>
                <w:sz w:val="13"/>
                <w:szCs w:val="13"/>
              </w:rPr>
              <w:br w:type="textWrapping"/>
            </w:r>
            <w:r>
              <w:rPr>
                <w:rFonts w:hint="eastAsia" w:ascii="仿宋_GB2312"/>
                <w:sz w:val="13"/>
                <w:szCs w:val="13"/>
              </w:rPr>
              <w:t>4、告知责任：在做出行政处罚决定前，书面告知当事人拟作出处罚决定的事实、理由、依据、处罚内容，以及当事人享有的陈述权、申辩权或听证权。</w:t>
            </w:r>
            <w:r>
              <w:rPr>
                <w:rFonts w:hint="eastAsia" w:ascii="仿宋_GB2312"/>
                <w:sz w:val="13"/>
                <w:szCs w:val="13"/>
              </w:rPr>
              <w:br w:type="textWrapping"/>
            </w:r>
            <w:r>
              <w:rPr>
                <w:rFonts w:hint="eastAsia" w:ascii="仿宋_GB2312"/>
                <w:sz w:val="13"/>
                <w:szCs w:val="13"/>
              </w:rPr>
              <w:t>5、决定责任：依法需要给予行政处罚的，应制作《公安行政处罚决定书》，载明违法事实和证据、处罚依据和内容、申请行政复议或提起行政诉讼的途径和期限等内容。</w:t>
            </w:r>
            <w:r>
              <w:rPr>
                <w:rFonts w:hint="eastAsia" w:ascii="仿宋_GB2312"/>
                <w:sz w:val="13"/>
                <w:szCs w:val="13"/>
              </w:rPr>
              <w:br w:type="textWrapping"/>
            </w:r>
            <w:r>
              <w:rPr>
                <w:rFonts w:hint="eastAsia" w:ascii="仿宋_GB2312"/>
                <w:sz w:val="13"/>
                <w:szCs w:val="13"/>
              </w:rPr>
              <w:t>6、送达责任：行政处罚决定书在7日内送达当事人。</w:t>
            </w:r>
            <w:r>
              <w:rPr>
                <w:rFonts w:hint="eastAsia" w:ascii="仿宋_GB2312"/>
                <w:sz w:val="13"/>
                <w:szCs w:val="13"/>
              </w:rPr>
              <w:br w:type="textWrapping"/>
            </w:r>
            <w:r>
              <w:rPr>
                <w:rFonts w:hint="eastAsia" w:ascii="仿宋_GB2312"/>
                <w:sz w:val="13"/>
                <w:szCs w:val="13"/>
              </w:rPr>
              <w:t>7、执行责任：监督当事人在决定的期限内，履行生效的行政处罚决定。当事人在法定期限内不申请行政复议或提起行政诉讼，又不履行的，可依法采取强制执行或者申请人民法院强制执行。</w:t>
            </w:r>
            <w:r>
              <w:rPr>
                <w:rFonts w:hint="eastAsia" w:ascii="仿宋_GB2312"/>
                <w:sz w:val="13"/>
                <w:szCs w:val="13"/>
              </w:rPr>
              <w:br w:type="textWrapping"/>
            </w:r>
            <w:r>
              <w:rPr>
                <w:rFonts w:hint="eastAsia" w:ascii="仿宋_GB2312"/>
                <w:sz w:val="13"/>
                <w:szCs w:val="13"/>
              </w:rPr>
              <w:t>8、其他法律法规规章文件规定应履行的责任。</w:t>
            </w:r>
          </w:p>
        </w:tc>
        <w:tc>
          <w:tcPr>
            <w:tcW w:w="2370" w:type="dxa"/>
            <w:gridSpan w:val="4"/>
            <w:vAlign w:val="center"/>
          </w:tcPr>
          <w:p>
            <w:pPr>
              <w:widowControl/>
              <w:tabs>
                <w:tab w:val="left" w:pos="492"/>
              </w:tabs>
              <w:spacing w:line="240" w:lineRule="exact"/>
              <w:rPr>
                <w:rFonts w:ascii="仿宋_GB2312"/>
                <w:sz w:val="13"/>
                <w:szCs w:val="13"/>
              </w:rPr>
            </w:pPr>
            <w:r>
              <w:rPr>
                <w:rFonts w:hint="eastAsia" w:ascii="仿宋_GB2312"/>
                <w:sz w:val="13"/>
                <w:szCs w:val="13"/>
              </w:rPr>
              <w:t>因不履行或不正确履行行政职责，有下列情形的，公安机关及相关工作人员应承担相应责任：               1、刑讯逼供、体罚、虐待、侮辱他人的；</w:t>
            </w:r>
            <w:r>
              <w:rPr>
                <w:rFonts w:hint="eastAsia" w:ascii="仿宋_GB2312"/>
                <w:sz w:val="13"/>
                <w:szCs w:val="13"/>
              </w:rPr>
              <w:br w:type="textWrapping"/>
            </w:r>
            <w:r>
              <w:rPr>
                <w:rFonts w:hint="eastAsia" w:ascii="仿宋_GB2312"/>
                <w:sz w:val="13"/>
                <w:szCs w:val="13"/>
              </w:rPr>
              <w:t>2、超过询问查证的时间限制人身自由的；</w:t>
            </w:r>
            <w:r>
              <w:rPr>
                <w:rFonts w:hint="eastAsia" w:ascii="仿宋_GB2312"/>
                <w:sz w:val="13"/>
                <w:szCs w:val="13"/>
              </w:rPr>
              <w:br w:type="textWrapping"/>
            </w:r>
            <w:r>
              <w:rPr>
                <w:rFonts w:hint="eastAsia" w:ascii="仿宋_GB2312"/>
                <w:sz w:val="13"/>
                <w:szCs w:val="13"/>
              </w:rPr>
              <w:t>3、不执行罚款决定与罚款收缴分离制度或者不按规定将罚没的财物上缴国库或者依法处理的；</w:t>
            </w:r>
            <w:r>
              <w:rPr>
                <w:rFonts w:hint="eastAsia" w:ascii="仿宋_GB2312"/>
                <w:sz w:val="13"/>
                <w:szCs w:val="13"/>
              </w:rPr>
              <w:br w:type="textWrapping"/>
            </w:r>
            <w:r>
              <w:rPr>
                <w:rFonts w:hint="eastAsia" w:ascii="仿宋_GB2312"/>
                <w:sz w:val="13"/>
                <w:szCs w:val="13"/>
              </w:rPr>
              <w:t>4、私分、侵占、挪用、故意损毁收缴、扣押的财物的；</w:t>
            </w:r>
            <w:r>
              <w:rPr>
                <w:rFonts w:hint="eastAsia" w:ascii="仿宋_GB2312"/>
                <w:sz w:val="13"/>
                <w:szCs w:val="13"/>
              </w:rPr>
              <w:br w:type="textWrapping"/>
            </w:r>
            <w:r>
              <w:rPr>
                <w:rFonts w:hint="eastAsia" w:ascii="仿宋_GB2312"/>
                <w:sz w:val="13"/>
                <w:szCs w:val="13"/>
              </w:rPr>
              <w:t>5、违反规定使用或者不及时返还被侵害人财物的；</w:t>
            </w:r>
            <w:r>
              <w:rPr>
                <w:rFonts w:hint="eastAsia" w:ascii="仿宋_GB2312"/>
                <w:sz w:val="13"/>
                <w:szCs w:val="13"/>
              </w:rPr>
              <w:br w:type="textWrapping"/>
            </w:r>
            <w:r>
              <w:rPr>
                <w:rFonts w:hint="eastAsia" w:ascii="仿宋_GB2312"/>
                <w:sz w:val="13"/>
                <w:szCs w:val="13"/>
              </w:rPr>
              <w:t>6、违反规定不及时退还保证金的；</w:t>
            </w:r>
            <w:r>
              <w:rPr>
                <w:rFonts w:hint="eastAsia" w:ascii="仿宋_GB2312"/>
                <w:sz w:val="13"/>
                <w:szCs w:val="13"/>
              </w:rPr>
              <w:br w:type="textWrapping"/>
            </w:r>
            <w:r>
              <w:rPr>
                <w:rFonts w:hint="eastAsia" w:ascii="仿宋_GB2312"/>
                <w:sz w:val="13"/>
                <w:szCs w:val="13"/>
              </w:rPr>
              <w:t>7、利用职务上的便利收受他人财物或者谋取其他利益的；</w:t>
            </w:r>
            <w:r>
              <w:rPr>
                <w:rFonts w:hint="eastAsia" w:ascii="仿宋_GB2312"/>
                <w:sz w:val="13"/>
                <w:szCs w:val="13"/>
              </w:rPr>
              <w:br w:type="textWrapping"/>
            </w:r>
            <w:r>
              <w:rPr>
                <w:rFonts w:hint="eastAsia" w:ascii="仿宋_GB2312"/>
                <w:sz w:val="13"/>
                <w:szCs w:val="13"/>
              </w:rPr>
              <w:t>8、当场收缴罚款不出具罚款收据或者不如实填写罚款数额的；</w:t>
            </w:r>
            <w:r>
              <w:rPr>
                <w:rFonts w:hint="eastAsia" w:ascii="仿宋_GB2312"/>
                <w:sz w:val="13"/>
                <w:szCs w:val="13"/>
              </w:rPr>
              <w:br w:type="textWrapping"/>
            </w:r>
            <w:r>
              <w:rPr>
                <w:rFonts w:hint="eastAsia" w:ascii="仿宋_GB2312"/>
                <w:sz w:val="13"/>
                <w:szCs w:val="13"/>
              </w:rPr>
              <w:t>9、接到要求制止违反治安管理行为的报警后，不及时出警的；</w:t>
            </w:r>
            <w:r>
              <w:rPr>
                <w:rFonts w:hint="eastAsia" w:ascii="仿宋_GB2312"/>
                <w:sz w:val="13"/>
                <w:szCs w:val="13"/>
              </w:rPr>
              <w:br w:type="textWrapping"/>
            </w:r>
            <w:r>
              <w:rPr>
                <w:rFonts w:hint="eastAsia" w:ascii="仿宋_GB2312"/>
                <w:sz w:val="13"/>
                <w:szCs w:val="13"/>
              </w:rPr>
              <w:t>10、在查处电信业务经营者、互联网服务提供者未依照规定为公安机关、国家安全机关依法进行防范、调查恐怖活动提供技术接口和解密等技术支持和协助等的案件时，为违法犯罪行为人通风报信的；</w:t>
            </w:r>
            <w:r>
              <w:rPr>
                <w:rFonts w:hint="eastAsia" w:ascii="仿宋_GB2312"/>
                <w:sz w:val="13"/>
                <w:szCs w:val="13"/>
              </w:rPr>
              <w:br w:type="textWrapping"/>
            </w:r>
            <w:r>
              <w:rPr>
                <w:rFonts w:hint="eastAsia" w:ascii="仿宋_GB2312"/>
                <w:sz w:val="13"/>
                <w:szCs w:val="13"/>
              </w:rPr>
              <w:t>11、有徇私舞弊、滥用职权，不依法履行法定职责的其他情形的。</w:t>
            </w:r>
          </w:p>
          <w:p>
            <w:pPr>
              <w:widowControl/>
              <w:tabs>
                <w:tab w:val="left" w:pos="492"/>
              </w:tabs>
              <w:spacing w:line="240" w:lineRule="exact"/>
              <w:rPr>
                <w:rFonts w:ascii="仿宋_GB2312"/>
                <w:sz w:val="13"/>
                <w:szCs w:val="13"/>
              </w:rPr>
            </w:pPr>
            <w:r>
              <w:rPr>
                <w:rFonts w:hint="eastAsia" w:ascii="仿宋_GB2312"/>
                <w:sz w:val="13"/>
                <w:szCs w:val="13"/>
              </w:rPr>
              <w:t>12、其他违反法律法规规章文件规定的行为。</w:t>
            </w:r>
          </w:p>
        </w:tc>
        <w:tc>
          <w:tcPr>
            <w:tcW w:w="1098" w:type="dxa"/>
            <w:gridSpan w:val="2"/>
          </w:tcPr>
          <w:p>
            <w:pPr>
              <w:widowControl/>
              <w:tabs>
                <w:tab w:val="left" w:pos="492"/>
              </w:tabs>
              <w:spacing w:line="240" w:lineRule="exac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8792" w:hRule="exact"/>
        </w:trPr>
        <w:tc>
          <w:tcPr>
            <w:tcW w:w="456" w:type="dxa"/>
            <w:vAlign w:val="center"/>
          </w:tcPr>
          <w:p>
            <w:pPr>
              <w:spacing w:line="240" w:lineRule="exact"/>
              <w:jc w:val="center"/>
              <w:textAlignment w:val="center"/>
              <w:rPr>
                <w:rFonts w:hint="default" w:eastAsia="仿宋_GB2312"/>
                <w:sz w:val="20"/>
                <w:szCs w:val="20"/>
                <w:lang w:val="en-US" w:eastAsia="zh-CN"/>
              </w:rPr>
            </w:pPr>
            <w:r>
              <w:rPr>
                <w:rFonts w:hint="eastAsia"/>
                <w:sz w:val="20"/>
                <w:szCs w:val="20"/>
                <w:lang w:val="en-US" w:eastAsia="zh-CN"/>
              </w:rPr>
              <w:t>30</w:t>
            </w:r>
          </w:p>
        </w:tc>
        <w:tc>
          <w:tcPr>
            <w:tcW w:w="589" w:type="dxa"/>
            <w:vAlign w:val="center"/>
          </w:tcPr>
          <w:p>
            <w:pPr>
              <w:widowControl/>
              <w:tabs>
                <w:tab w:val="left" w:pos="492"/>
              </w:tabs>
              <w:spacing w:line="240" w:lineRule="exact"/>
              <w:rPr>
                <w:sz w:val="20"/>
                <w:szCs w:val="20"/>
              </w:rPr>
            </w:pPr>
            <w:r>
              <w:rPr>
                <w:rFonts w:hint="eastAsia"/>
                <w:sz w:val="20"/>
                <w:szCs w:val="20"/>
              </w:rPr>
              <w:t>行政处罚</w:t>
            </w:r>
          </w:p>
        </w:tc>
        <w:tc>
          <w:tcPr>
            <w:tcW w:w="1189" w:type="dxa"/>
            <w:gridSpan w:val="2"/>
            <w:vAlign w:val="center"/>
          </w:tcPr>
          <w:p>
            <w:pPr>
              <w:widowControl/>
              <w:tabs>
                <w:tab w:val="left" w:pos="492"/>
              </w:tabs>
              <w:spacing w:line="240" w:lineRule="exact"/>
              <w:rPr>
                <w:rFonts w:ascii="仿宋_GB2312"/>
                <w:sz w:val="13"/>
                <w:szCs w:val="13"/>
              </w:rPr>
            </w:pPr>
            <w:r>
              <w:rPr>
                <w:rFonts w:hint="eastAsia" w:ascii="仿宋_GB2312"/>
                <w:sz w:val="13"/>
                <w:szCs w:val="13"/>
              </w:rPr>
              <w:t>对违反计算机信息网络国际联网安全行为的处罚</w:t>
            </w:r>
          </w:p>
        </w:tc>
        <w:tc>
          <w:tcPr>
            <w:tcW w:w="965" w:type="dxa"/>
            <w:gridSpan w:val="2"/>
            <w:vAlign w:val="center"/>
          </w:tcPr>
          <w:p>
            <w:pPr>
              <w:widowControl/>
              <w:tabs>
                <w:tab w:val="left" w:pos="492"/>
              </w:tabs>
              <w:spacing w:line="240" w:lineRule="exact"/>
              <w:rPr>
                <w:rFonts w:ascii="仿宋_GB2312"/>
                <w:color w:val="000000" w:themeColor="text1"/>
                <w:sz w:val="13"/>
                <w:szCs w:val="13"/>
              </w:rPr>
            </w:pPr>
            <w:r>
              <w:rPr>
                <w:rFonts w:hint="eastAsia" w:ascii="仿宋_GB2312" w:hAnsi="Arial" w:cs="Arial"/>
                <w:color w:val="000000" w:themeColor="text1"/>
                <w:kern w:val="0"/>
                <w:sz w:val="13"/>
                <w:szCs w:val="13"/>
              </w:rPr>
              <w:t>唐山市公安局开平分局网安大队</w:t>
            </w:r>
          </w:p>
        </w:tc>
        <w:tc>
          <w:tcPr>
            <w:tcW w:w="5065" w:type="dxa"/>
            <w:gridSpan w:val="8"/>
            <w:vAlign w:val="center"/>
          </w:tcPr>
          <w:p>
            <w:pPr>
              <w:widowControl/>
              <w:tabs>
                <w:tab w:val="left" w:pos="492"/>
              </w:tabs>
              <w:spacing w:line="240" w:lineRule="exact"/>
              <w:rPr>
                <w:rFonts w:ascii="仿宋_GB2312"/>
                <w:sz w:val="13"/>
                <w:szCs w:val="13"/>
              </w:rPr>
            </w:pPr>
            <w:r>
              <w:rPr>
                <w:rFonts w:hint="eastAsia" w:ascii="仿宋_GB2312"/>
                <w:sz w:val="13"/>
                <w:szCs w:val="13"/>
              </w:rPr>
              <w:t>《计算机信息网络国际联网安全保护管理办法》第二十、二十一、二十三条；</w:t>
            </w:r>
          </w:p>
          <w:p>
            <w:pPr>
              <w:widowControl/>
              <w:tabs>
                <w:tab w:val="left" w:pos="492"/>
              </w:tabs>
              <w:spacing w:line="240" w:lineRule="exact"/>
              <w:ind w:firstLine="260" w:firstLineChars="200"/>
              <w:rPr>
                <w:rFonts w:ascii="仿宋_GB2312"/>
                <w:sz w:val="13"/>
                <w:szCs w:val="13"/>
              </w:rPr>
            </w:pPr>
            <w:r>
              <w:rPr>
                <w:rFonts w:hint="eastAsia" w:ascii="仿宋_GB2312"/>
                <w:sz w:val="13"/>
                <w:szCs w:val="13"/>
              </w:rPr>
              <w:t>第二十条 违反法律、行政法规，有本办法第五条、第六条所列行为之一的，由公安机关给予警告，有违法所得的，没收违法所得，对个人可以并处5000元以下的罚款，对单位可以并处1.5万元以下的罚款;情节严重的，并可以给予6个月以内停止联网、停机整顿的处罚，必要时可以建议原发证、审批机构吊销经营许可证或者取消联网资格;构成违反治安管理行为的，依照治安管理处罚法的规定处罚;构成犯罪的，依法追究刑事责任。</w:t>
            </w:r>
          </w:p>
          <w:p>
            <w:pPr>
              <w:widowControl/>
              <w:tabs>
                <w:tab w:val="left" w:pos="492"/>
              </w:tabs>
              <w:spacing w:line="240" w:lineRule="exact"/>
              <w:ind w:firstLine="260" w:firstLineChars="200"/>
              <w:rPr>
                <w:rFonts w:ascii="仿宋_GB2312"/>
                <w:sz w:val="13"/>
                <w:szCs w:val="13"/>
              </w:rPr>
            </w:pPr>
            <w:r>
              <w:rPr>
                <w:rFonts w:hint="eastAsia" w:ascii="仿宋_GB2312"/>
                <w:sz w:val="13"/>
                <w:szCs w:val="13"/>
              </w:rPr>
              <w:t>第二十一条 有下列行为之一的，由公安机关责令限期改正，给予警告，有违法所得的，没收违法所得;在规定的限期内未改正的，对单位的主管负责人员和其他直接责任人员可以并处5000元以下的罚款，对单位可以并处1.5万元以下的罚款;情节严重的，并可以给予6个月以内的停止联网、停机整顿的处罚，必要时可以建议原发证、审批机构吊销经营许可证或者取消联网资格。(一)未建立安全保护管理制度的;(二)未采取安全技术保护措施的;(三)未对网络用户进行安全教育和培训的;(四)未提供安全保护管理所需信息、资料及数据文件，或者所提供内容不真实的;(五)对委托其发布的信息内容未进行审核或者对委托单位和个人未进行登记的;(六)未建立电子公告系统的用户登记和信息管理制度的;(七)未按照国家有关规定，删除网络地址、目录或者关闭服务器的;(八)未建立公用账号使用登记制度的;(九)转借、转让用户账号的。</w:t>
            </w:r>
          </w:p>
          <w:p>
            <w:pPr>
              <w:widowControl/>
              <w:tabs>
                <w:tab w:val="left" w:pos="492"/>
              </w:tabs>
              <w:spacing w:line="240" w:lineRule="exact"/>
              <w:ind w:firstLine="260" w:firstLineChars="200"/>
              <w:rPr>
                <w:rFonts w:ascii="仿宋_GB2312"/>
                <w:sz w:val="13"/>
                <w:szCs w:val="13"/>
              </w:rPr>
            </w:pPr>
            <w:r>
              <w:rPr>
                <w:rFonts w:hint="eastAsia" w:ascii="仿宋_GB2312"/>
                <w:sz w:val="13"/>
                <w:szCs w:val="13"/>
              </w:rPr>
              <w:t>第二十三条 违反本办法第十一条、第十二条规定，不履行备案职责的，由公安机关给予警告或者停机整顿不超过6个月的处罚。</w:t>
            </w:r>
          </w:p>
          <w:p>
            <w:pPr>
              <w:widowControl/>
              <w:tabs>
                <w:tab w:val="left" w:pos="492"/>
              </w:tabs>
              <w:spacing w:line="240" w:lineRule="exact"/>
              <w:rPr>
                <w:rFonts w:ascii="仿宋_GB2312"/>
                <w:sz w:val="13"/>
                <w:szCs w:val="13"/>
              </w:rPr>
            </w:pPr>
          </w:p>
          <w:p>
            <w:pPr>
              <w:widowControl/>
              <w:tabs>
                <w:tab w:val="left" w:pos="492"/>
              </w:tabs>
              <w:spacing w:line="240" w:lineRule="exact"/>
              <w:rPr>
                <w:rFonts w:ascii="仿宋_GB2312"/>
                <w:sz w:val="13"/>
                <w:szCs w:val="13"/>
              </w:rPr>
            </w:pPr>
            <w:r>
              <w:rPr>
                <w:rFonts w:hint="eastAsia" w:ascii="仿宋_GB2312"/>
                <w:sz w:val="13"/>
                <w:szCs w:val="13"/>
              </w:rPr>
              <w:t>《中华人民共和国计算机信息网络国际联网管理暂行规定》第十四条。第十四条违反本规定第六条、第八条和第十条的规定的，由公安机关责令停止联网，给予警告，可以并处15000元以下的罚款;有违法所得的，没收违法所得。</w:t>
            </w:r>
          </w:p>
        </w:tc>
        <w:tc>
          <w:tcPr>
            <w:tcW w:w="1294" w:type="dxa"/>
            <w:gridSpan w:val="3"/>
            <w:vAlign w:val="center"/>
          </w:tcPr>
          <w:p>
            <w:pPr>
              <w:widowControl/>
              <w:tabs>
                <w:tab w:val="left" w:pos="492"/>
              </w:tabs>
              <w:spacing w:line="240" w:lineRule="exact"/>
              <w:rPr>
                <w:rFonts w:ascii="仿宋_GB2312"/>
                <w:sz w:val="13"/>
                <w:szCs w:val="13"/>
              </w:rPr>
            </w:pPr>
            <w:r>
              <w:rPr>
                <w:rFonts w:hint="eastAsia" w:ascii="仿宋_GB2312"/>
                <w:sz w:val="13"/>
                <w:szCs w:val="13"/>
              </w:rPr>
              <w:t>1、受案责任：日常工作中对发现或者接到报警投诉电信业务经营者、互联网服务提供者未依照规定为公安机关、国家安全机关依法进行防范、调查恐怖活动提供技术接口和解密等技术支持和协助等的行为予以审查，决定是否受案。</w:t>
            </w:r>
            <w:r>
              <w:rPr>
                <w:rFonts w:hint="eastAsia" w:ascii="仿宋_GB2312"/>
                <w:sz w:val="13"/>
                <w:szCs w:val="13"/>
              </w:rPr>
              <w:br w:type="textWrapping"/>
            </w:r>
            <w:r>
              <w:rPr>
                <w:rFonts w:hint="eastAsia" w:ascii="仿宋_GB2312"/>
                <w:sz w:val="13"/>
                <w:szCs w:val="13"/>
              </w:rPr>
              <w:t>2、调查责任：对受案的案件，案件承办人员及时、全面、客观、公正地调查收集与案件有关的证据，查明事实，必要时可进行现场检查。与当事人有直接利害关系的予以回避。执法人员不得少于两人，调查时应出示执法证件（人民警察证），允许当事人辩解陈述。</w:t>
            </w:r>
            <w:r>
              <w:rPr>
                <w:rFonts w:hint="eastAsia" w:ascii="仿宋_GB2312"/>
                <w:sz w:val="13"/>
                <w:szCs w:val="13"/>
              </w:rPr>
              <w:br w:type="textWrapping"/>
            </w:r>
            <w:r>
              <w:rPr>
                <w:rFonts w:hint="eastAsia" w:ascii="仿宋_GB2312"/>
                <w:sz w:val="13"/>
                <w:szCs w:val="13"/>
              </w:rPr>
              <w:t>3、审查责任：对案件违法事实、证据、调查取证程序、法律适用、处罚种类和幅度、当事人陈述和申辩理由等方面进行审查，提出处理意见。</w:t>
            </w:r>
            <w:r>
              <w:rPr>
                <w:rFonts w:hint="eastAsia" w:ascii="仿宋_GB2312"/>
                <w:sz w:val="13"/>
                <w:szCs w:val="13"/>
              </w:rPr>
              <w:br w:type="textWrapping"/>
            </w:r>
            <w:r>
              <w:rPr>
                <w:rFonts w:hint="eastAsia" w:ascii="仿宋_GB2312"/>
                <w:sz w:val="13"/>
                <w:szCs w:val="13"/>
              </w:rPr>
              <w:t>4、告知责任：在做出行政处罚决定前，书面告知当事人拟作出处罚决定的事实、理由、依据、处罚内容，以及当事人享有的陈述权、申辩权或听证权。</w:t>
            </w:r>
            <w:r>
              <w:rPr>
                <w:rFonts w:hint="eastAsia" w:ascii="仿宋_GB2312"/>
                <w:sz w:val="13"/>
                <w:szCs w:val="13"/>
              </w:rPr>
              <w:br w:type="textWrapping"/>
            </w:r>
            <w:r>
              <w:rPr>
                <w:rFonts w:hint="eastAsia" w:ascii="仿宋_GB2312"/>
                <w:sz w:val="13"/>
                <w:szCs w:val="13"/>
              </w:rPr>
              <w:t>5、决定责任：依法需要给予行政处罚的，应制作《公安行政处罚决定书》，载明违法事实和证据、处罚依据和内容、申请行政复议或提起行政诉讼的途径和期限等内容。</w:t>
            </w:r>
            <w:r>
              <w:rPr>
                <w:rFonts w:hint="eastAsia" w:ascii="仿宋_GB2312"/>
                <w:sz w:val="13"/>
                <w:szCs w:val="13"/>
              </w:rPr>
              <w:br w:type="textWrapping"/>
            </w:r>
            <w:r>
              <w:rPr>
                <w:rFonts w:hint="eastAsia" w:ascii="仿宋_GB2312"/>
                <w:sz w:val="13"/>
                <w:szCs w:val="13"/>
              </w:rPr>
              <w:t>6、送达责任：行政处罚决定书在7日内送达当事人。</w:t>
            </w:r>
            <w:r>
              <w:rPr>
                <w:rFonts w:hint="eastAsia" w:ascii="仿宋_GB2312"/>
                <w:sz w:val="13"/>
                <w:szCs w:val="13"/>
              </w:rPr>
              <w:br w:type="textWrapping"/>
            </w:r>
            <w:r>
              <w:rPr>
                <w:rFonts w:hint="eastAsia" w:ascii="仿宋_GB2312"/>
                <w:sz w:val="13"/>
                <w:szCs w:val="13"/>
              </w:rPr>
              <w:t>7、执行责任：监督当事人在决定的期限内，履行生效的行政处罚决定。当事人在法定期限内不申请行政复议或提起行政诉讼，又不履行的，可依法采取强制执行或者申请人民法院强制执行。</w:t>
            </w:r>
            <w:r>
              <w:rPr>
                <w:rFonts w:hint="eastAsia" w:ascii="仿宋_GB2312"/>
                <w:sz w:val="13"/>
                <w:szCs w:val="13"/>
              </w:rPr>
              <w:br w:type="textWrapping"/>
            </w:r>
            <w:r>
              <w:rPr>
                <w:rFonts w:hint="eastAsia" w:ascii="仿宋_GB2312"/>
                <w:sz w:val="13"/>
                <w:szCs w:val="13"/>
              </w:rPr>
              <w:t>8、其他法律法规规章文件规定应履行的责任。</w:t>
            </w:r>
          </w:p>
        </w:tc>
        <w:tc>
          <w:tcPr>
            <w:tcW w:w="2370" w:type="dxa"/>
            <w:gridSpan w:val="4"/>
            <w:vAlign w:val="center"/>
          </w:tcPr>
          <w:p>
            <w:pPr>
              <w:widowControl/>
              <w:tabs>
                <w:tab w:val="left" w:pos="492"/>
              </w:tabs>
              <w:spacing w:line="240" w:lineRule="exact"/>
              <w:rPr>
                <w:rFonts w:ascii="仿宋_GB2312"/>
                <w:sz w:val="13"/>
                <w:szCs w:val="13"/>
              </w:rPr>
            </w:pPr>
            <w:r>
              <w:rPr>
                <w:rFonts w:hint="eastAsia" w:ascii="仿宋_GB2312"/>
                <w:sz w:val="13"/>
                <w:szCs w:val="13"/>
              </w:rPr>
              <w:t>因不履行或不正确履行行政职责，有下列情形的，公安机关及相关工作人员应承担相应责任：               1、刑讯逼供、体罚、虐待、侮辱他人的；</w:t>
            </w:r>
            <w:r>
              <w:rPr>
                <w:rFonts w:hint="eastAsia" w:ascii="仿宋_GB2312"/>
                <w:sz w:val="13"/>
                <w:szCs w:val="13"/>
              </w:rPr>
              <w:br w:type="textWrapping"/>
            </w:r>
            <w:r>
              <w:rPr>
                <w:rFonts w:hint="eastAsia" w:ascii="仿宋_GB2312"/>
                <w:sz w:val="13"/>
                <w:szCs w:val="13"/>
              </w:rPr>
              <w:t>2、超过询问查证的时间限制人身自由的；</w:t>
            </w:r>
            <w:r>
              <w:rPr>
                <w:rFonts w:hint="eastAsia" w:ascii="仿宋_GB2312"/>
                <w:sz w:val="13"/>
                <w:szCs w:val="13"/>
              </w:rPr>
              <w:br w:type="textWrapping"/>
            </w:r>
            <w:r>
              <w:rPr>
                <w:rFonts w:hint="eastAsia" w:ascii="仿宋_GB2312"/>
                <w:sz w:val="13"/>
                <w:szCs w:val="13"/>
              </w:rPr>
              <w:t>3、不执行罚款决定与罚款收缴分离制度或者不按规定将罚没的财物上缴国库或者依法处理的；</w:t>
            </w:r>
            <w:r>
              <w:rPr>
                <w:rFonts w:hint="eastAsia" w:ascii="仿宋_GB2312"/>
                <w:sz w:val="13"/>
                <w:szCs w:val="13"/>
              </w:rPr>
              <w:br w:type="textWrapping"/>
            </w:r>
            <w:r>
              <w:rPr>
                <w:rFonts w:hint="eastAsia" w:ascii="仿宋_GB2312"/>
                <w:sz w:val="13"/>
                <w:szCs w:val="13"/>
              </w:rPr>
              <w:t>4、私分、侵占、挪用、故意损毁收缴、扣押的财物的；</w:t>
            </w:r>
            <w:r>
              <w:rPr>
                <w:rFonts w:hint="eastAsia" w:ascii="仿宋_GB2312"/>
                <w:sz w:val="13"/>
                <w:szCs w:val="13"/>
              </w:rPr>
              <w:br w:type="textWrapping"/>
            </w:r>
            <w:r>
              <w:rPr>
                <w:rFonts w:hint="eastAsia" w:ascii="仿宋_GB2312"/>
                <w:sz w:val="13"/>
                <w:szCs w:val="13"/>
              </w:rPr>
              <w:t>5、违反规定使用或者不及时返还被侵害人财物的；</w:t>
            </w:r>
            <w:r>
              <w:rPr>
                <w:rFonts w:hint="eastAsia" w:ascii="仿宋_GB2312"/>
                <w:sz w:val="13"/>
                <w:szCs w:val="13"/>
              </w:rPr>
              <w:br w:type="textWrapping"/>
            </w:r>
            <w:r>
              <w:rPr>
                <w:rFonts w:hint="eastAsia" w:ascii="仿宋_GB2312"/>
                <w:sz w:val="13"/>
                <w:szCs w:val="13"/>
              </w:rPr>
              <w:t>6、违反规定不及时退还保证金的；</w:t>
            </w:r>
            <w:r>
              <w:rPr>
                <w:rFonts w:hint="eastAsia" w:ascii="仿宋_GB2312"/>
                <w:sz w:val="13"/>
                <w:szCs w:val="13"/>
              </w:rPr>
              <w:br w:type="textWrapping"/>
            </w:r>
            <w:r>
              <w:rPr>
                <w:rFonts w:hint="eastAsia" w:ascii="仿宋_GB2312"/>
                <w:sz w:val="13"/>
                <w:szCs w:val="13"/>
              </w:rPr>
              <w:t>7、利用职务上的便利收受他人财物或者谋取其他利益的；</w:t>
            </w:r>
            <w:r>
              <w:rPr>
                <w:rFonts w:hint="eastAsia" w:ascii="仿宋_GB2312"/>
                <w:sz w:val="13"/>
                <w:szCs w:val="13"/>
              </w:rPr>
              <w:br w:type="textWrapping"/>
            </w:r>
            <w:r>
              <w:rPr>
                <w:rFonts w:hint="eastAsia" w:ascii="仿宋_GB2312"/>
                <w:sz w:val="13"/>
                <w:szCs w:val="13"/>
              </w:rPr>
              <w:t>8、当场收缴罚款不出具罚款收据或者不如实填写罚款数额的；</w:t>
            </w:r>
            <w:r>
              <w:rPr>
                <w:rFonts w:hint="eastAsia" w:ascii="仿宋_GB2312"/>
                <w:sz w:val="13"/>
                <w:szCs w:val="13"/>
              </w:rPr>
              <w:br w:type="textWrapping"/>
            </w:r>
            <w:r>
              <w:rPr>
                <w:rFonts w:hint="eastAsia" w:ascii="仿宋_GB2312"/>
                <w:sz w:val="13"/>
                <w:szCs w:val="13"/>
              </w:rPr>
              <w:t>9、接到要求制止违反治安管理行为的报警后，不及时出警的；</w:t>
            </w:r>
            <w:r>
              <w:rPr>
                <w:rFonts w:hint="eastAsia" w:ascii="仿宋_GB2312"/>
                <w:sz w:val="13"/>
                <w:szCs w:val="13"/>
              </w:rPr>
              <w:br w:type="textWrapping"/>
            </w:r>
            <w:r>
              <w:rPr>
                <w:rFonts w:hint="eastAsia" w:ascii="仿宋_GB2312"/>
                <w:sz w:val="13"/>
                <w:szCs w:val="13"/>
              </w:rPr>
              <w:t>10、在查处电信业务经营者、互联网服务提供者未依照规定为公安机关、国家安全机关依法进行防范、调查恐怖活动提供技术接口和解密等技术支持和协助等的案件时，为违法犯罪行为人通风报信的；</w:t>
            </w:r>
            <w:r>
              <w:rPr>
                <w:rFonts w:hint="eastAsia" w:ascii="仿宋_GB2312"/>
                <w:sz w:val="13"/>
                <w:szCs w:val="13"/>
              </w:rPr>
              <w:br w:type="textWrapping"/>
            </w:r>
            <w:r>
              <w:rPr>
                <w:rFonts w:hint="eastAsia" w:ascii="仿宋_GB2312"/>
                <w:sz w:val="13"/>
                <w:szCs w:val="13"/>
              </w:rPr>
              <w:t>11、有徇私舞弊、滥用职权，不依法履行法定职责的其他情形的。</w:t>
            </w:r>
          </w:p>
          <w:p>
            <w:pPr>
              <w:widowControl/>
              <w:tabs>
                <w:tab w:val="left" w:pos="492"/>
              </w:tabs>
              <w:spacing w:line="240" w:lineRule="exact"/>
              <w:rPr>
                <w:rFonts w:ascii="仿宋_GB2312"/>
                <w:sz w:val="13"/>
                <w:szCs w:val="13"/>
              </w:rPr>
            </w:pPr>
            <w:r>
              <w:rPr>
                <w:rFonts w:hint="eastAsia" w:ascii="仿宋_GB2312"/>
                <w:sz w:val="13"/>
                <w:szCs w:val="13"/>
              </w:rPr>
              <w:t>12、其他违反法律法规规章文件规定的行为。</w:t>
            </w:r>
          </w:p>
        </w:tc>
        <w:tc>
          <w:tcPr>
            <w:tcW w:w="1098" w:type="dxa"/>
            <w:gridSpan w:val="2"/>
          </w:tcPr>
          <w:p>
            <w:pPr>
              <w:widowControl/>
              <w:tabs>
                <w:tab w:val="left" w:pos="492"/>
              </w:tabs>
              <w:spacing w:line="240" w:lineRule="exac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8792" w:hRule="exact"/>
        </w:trPr>
        <w:tc>
          <w:tcPr>
            <w:tcW w:w="456" w:type="dxa"/>
            <w:vAlign w:val="center"/>
          </w:tcPr>
          <w:p>
            <w:pPr>
              <w:spacing w:line="240" w:lineRule="exact"/>
              <w:jc w:val="center"/>
              <w:textAlignment w:val="center"/>
              <w:rPr>
                <w:rFonts w:hint="default" w:eastAsia="仿宋_GB2312"/>
                <w:sz w:val="20"/>
                <w:szCs w:val="20"/>
                <w:lang w:val="en-US" w:eastAsia="zh-CN"/>
              </w:rPr>
            </w:pPr>
            <w:r>
              <w:rPr>
                <w:rFonts w:hint="eastAsia"/>
                <w:sz w:val="20"/>
                <w:szCs w:val="20"/>
                <w:lang w:val="en-US" w:eastAsia="zh-CN"/>
              </w:rPr>
              <w:t>31</w:t>
            </w:r>
          </w:p>
        </w:tc>
        <w:tc>
          <w:tcPr>
            <w:tcW w:w="589" w:type="dxa"/>
            <w:vAlign w:val="center"/>
          </w:tcPr>
          <w:p>
            <w:pPr>
              <w:widowControl/>
              <w:tabs>
                <w:tab w:val="left" w:pos="492"/>
              </w:tabs>
              <w:spacing w:line="240" w:lineRule="exact"/>
              <w:rPr>
                <w:sz w:val="20"/>
                <w:szCs w:val="20"/>
              </w:rPr>
            </w:pPr>
            <w:r>
              <w:rPr>
                <w:rFonts w:hint="eastAsia"/>
                <w:sz w:val="20"/>
                <w:szCs w:val="20"/>
              </w:rPr>
              <w:t>行政处罚</w:t>
            </w:r>
          </w:p>
        </w:tc>
        <w:tc>
          <w:tcPr>
            <w:tcW w:w="1189" w:type="dxa"/>
            <w:gridSpan w:val="2"/>
            <w:vAlign w:val="center"/>
          </w:tcPr>
          <w:p>
            <w:pPr>
              <w:widowControl/>
              <w:tabs>
                <w:tab w:val="left" w:pos="492"/>
              </w:tabs>
              <w:spacing w:line="240" w:lineRule="exact"/>
              <w:rPr>
                <w:rFonts w:ascii="仿宋_GB2312"/>
                <w:sz w:val="13"/>
                <w:szCs w:val="13"/>
              </w:rPr>
            </w:pPr>
            <w:r>
              <w:rPr>
                <w:rFonts w:hint="eastAsia" w:ascii="仿宋_GB2312"/>
                <w:sz w:val="13"/>
                <w:szCs w:val="13"/>
              </w:rPr>
              <w:t>对违反计算机信息系统安全专用产品检测和销售行为的处罚</w:t>
            </w:r>
          </w:p>
        </w:tc>
        <w:tc>
          <w:tcPr>
            <w:tcW w:w="965" w:type="dxa"/>
            <w:gridSpan w:val="2"/>
            <w:vAlign w:val="center"/>
          </w:tcPr>
          <w:p>
            <w:pPr>
              <w:widowControl/>
              <w:tabs>
                <w:tab w:val="left" w:pos="492"/>
              </w:tabs>
              <w:spacing w:line="240" w:lineRule="exact"/>
              <w:rPr>
                <w:rFonts w:ascii="仿宋_GB2312"/>
                <w:color w:val="000000" w:themeColor="text1"/>
                <w:sz w:val="13"/>
                <w:szCs w:val="13"/>
              </w:rPr>
            </w:pPr>
            <w:r>
              <w:rPr>
                <w:rFonts w:hint="eastAsia" w:ascii="仿宋_GB2312" w:hAnsi="Arial" w:cs="Arial"/>
                <w:color w:val="000000" w:themeColor="text1"/>
                <w:kern w:val="0"/>
                <w:sz w:val="13"/>
                <w:szCs w:val="13"/>
              </w:rPr>
              <w:t>唐山市公安局开平分局网安大队</w:t>
            </w:r>
          </w:p>
        </w:tc>
        <w:tc>
          <w:tcPr>
            <w:tcW w:w="5065" w:type="dxa"/>
            <w:gridSpan w:val="8"/>
            <w:vAlign w:val="center"/>
          </w:tcPr>
          <w:p>
            <w:pPr>
              <w:widowControl/>
              <w:tabs>
                <w:tab w:val="left" w:pos="492"/>
              </w:tabs>
              <w:spacing w:line="240" w:lineRule="exact"/>
              <w:rPr>
                <w:rFonts w:ascii="仿宋_GB2312"/>
                <w:sz w:val="13"/>
                <w:szCs w:val="13"/>
              </w:rPr>
            </w:pPr>
            <w:r>
              <w:rPr>
                <w:rFonts w:hint="eastAsia" w:ascii="仿宋_GB2312"/>
                <w:sz w:val="13"/>
                <w:szCs w:val="13"/>
              </w:rPr>
              <w:t>《计算机信息系统安全专用产品检测和销售许可证管理办法》第二十、二十二、二十三条。</w:t>
            </w:r>
          </w:p>
          <w:p>
            <w:pPr>
              <w:widowControl/>
              <w:tabs>
                <w:tab w:val="left" w:pos="492"/>
              </w:tabs>
              <w:spacing w:line="240" w:lineRule="exact"/>
              <w:ind w:firstLine="260" w:firstLineChars="200"/>
              <w:rPr>
                <w:rFonts w:ascii="仿宋_GB2312"/>
                <w:sz w:val="13"/>
                <w:szCs w:val="13"/>
              </w:rPr>
            </w:pPr>
            <w:r>
              <w:rPr>
                <w:rFonts w:hint="eastAsia" w:ascii="仿宋_GB2312"/>
                <w:sz w:val="13"/>
                <w:szCs w:val="13"/>
              </w:rPr>
              <w:t>第二十条 生产企业违反本办法的规定，有下列情形之一的，视为未经许可出售安 全专用产品,由公安机关根据《中华人民共和国计算机信息系统安全保护条例》的规定 予以处罚:(一)没有申领销售许可证而将生产的安全专用产品进入市场销售的; (二)安全专用产品的功能发生改变，而没有重新申领销售许可证进行销售的; (三)销售许可证有效期满，未办理延期申领手续而继续销售的; (四)提供虚假的安全专用产品检测报告或者虚假的计算机病毒防治研究的备案证 明，骗取销售许可证的; (五)销售的安全专用产品与送检样品安全功能不一致的; (六)未在安全专用产品上标明"销售许可"标记而销售的; (七)伪造、变造销售许可证和"销售许可"标记的。</w:t>
            </w:r>
          </w:p>
          <w:p>
            <w:pPr>
              <w:widowControl/>
              <w:tabs>
                <w:tab w:val="left" w:pos="492"/>
              </w:tabs>
              <w:spacing w:line="240" w:lineRule="exact"/>
              <w:ind w:firstLine="260" w:firstLineChars="200"/>
              <w:rPr>
                <w:rFonts w:ascii="仿宋_GB2312"/>
                <w:sz w:val="13"/>
                <w:szCs w:val="13"/>
              </w:rPr>
            </w:pPr>
            <w:r>
              <w:rPr>
                <w:rFonts w:hint="eastAsia" w:ascii="仿宋_GB2312"/>
                <w:sz w:val="13"/>
                <w:szCs w:val="13"/>
              </w:rPr>
              <w:t>第二十二条 安全专用产品中含有有害数据危害计算机信息系统安全的，依据《中 华人民共和国计算机信息系统安全保护条例》第二十三条的规定处罚;构成犯罪的，依 法追究刑事责任。</w:t>
            </w:r>
          </w:p>
          <w:p>
            <w:pPr>
              <w:widowControl/>
              <w:tabs>
                <w:tab w:val="left" w:pos="492"/>
              </w:tabs>
              <w:spacing w:line="240" w:lineRule="exact"/>
              <w:ind w:firstLine="260" w:firstLineChars="200"/>
              <w:rPr>
                <w:rFonts w:ascii="仿宋_GB2312"/>
                <w:sz w:val="13"/>
                <w:szCs w:val="13"/>
              </w:rPr>
            </w:pPr>
            <w:r>
              <w:rPr>
                <w:rFonts w:hint="eastAsia" w:ascii="仿宋_GB2312"/>
                <w:sz w:val="13"/>
                <w:szCs w:val="13"/>
              </w:rPr>
              <w:t>第二十三条 依照本办法作出的行政处罚，应当由县级以上(含县级)公安机关决定，并填写行政处罚决定书，向被处罚人宣布。</w:t>
            </w:r>
          </w:p>
        </w:tc>
        <w:tc>
          <w:tcPr>
            <w:tcW w:w="1294" w:type="dxa"/>
            <w:gridSpan w:val="3"/>
            <w:vAlign w:val="center"/>
          </w:tcPr>
          <w:p>
            <w:pPr>
              <w:widowControl/>
              <w:tabs>
                <w:tab w:val="left" w:pos="492"/>
              </w:tabs>
              <w:spacing w:line="240" w:lineRule="exact"/>
              <w:rPr>
                <w:rFonts w:ascii="仿宋_GB2312"/>
                <w:sz w:val="13"/>
                <w:szCs w:val="13"/>
              </w:rPr>
            </w:pPr>
            <w:r>
              <w:rPr>
                <w:rFonts w:hint="eastAsia" w:ascii="仿宋_GB2312"/>
                <w:sz w:val="13"/>
                <w:szCs w:val="13"/>
              </w:rPr>
              <w:t>1、受案责任：日常工作中对发现或者接到报警投诉电信业务经营者、互联网服务提供者未依照规定为公安机关、国家安全机关依法进行防范、调查恐怖活动提供技术接口和解密等技术支持和协助等的行为予以审查，决定是否受案。</w:t>
            </w:r>
            <w:r>
              <w:rPr>
                <w:rFonts w:hint="eastAsia" w:ascii="仿宋_GB2312"/>
                <w:sz w:val="13"/>
                <w:szCs w:val="13"/>
              </w:rPr>
              <w:br w:type="textWrapping"/>
            </w:r>
            <w:r>
              <w:rPr>
                <w:rFonts w:hint="eastAsia" w:ascii="仿宋_GB2312"/>
                <w:sz w:val="13"/>
                <w:szCs w:val="13"/>
              </w:rPr>
              <w:t>2、调查责任：对受案的案件，案件承办人员及时、全面、客观、公正地调查收集与案件有关的证据，查明事实，必要时可进行现场检查。与当事人有直接利害关系的予以回避。执法人员不得少于两人，调查时应出示执法证件（人民警察证），允许当事人辩解陈述。</w:t>
            </w:r>
            <w:r>
              <w:rPr>
                <w:rFonts w:hint="eastAsia" w:ascii="仿宋_GB2312"/>
                <w:sz w:val="13"/>
                <w:szCs w:val="13"/>
              </w:rPr>
              <w:br w:type="textWrapping"/>
            </w:r>
            <w:r>
              <w:rPr>
                <w:rFonts w:hint="eastAsia" w:ascii="仿宋_GB2312"/>
                <w:sz w:val="13"/>
                <w:szCs w:val="13"/>
              </w:rPr>
              <w:t>3、审查责任：对案件违法事实、证据、调查取证程序、法律适用、处罚种类和幅度、当事人陈述和申辩理由等方面进行审查，提出处理意见。</w:t>
            </w:r>
            <w:r>
              <w:rPr>
                <w:rFonts w:hint="eastAsia" w:ascii="仿宋_GB2312"/>
                <w:sz w:val="13"/>
                <w:szCs w:val="13"/>
              </w:rPr>
              <w:br w:type="textWrapping"/>
            </w:r>
            <w:r>
              <w:rPr>
                <w:rFonts w:hint="eastAsia" w:ascii="仿宋_GB2312"/>
                <w:sz w:val="13"/>
                <w:szCs w:val="13"/>
              </w:rPr>
              <w:t>4、告知责任：在做出行政处罚决定前，书面告知当事人拟作出处罚决定的事实、理由、依据、处罚内容，以及当事人享有的陈述权、申辩权或听证权。</w:t>
            </w:r>
            <w:r>
              <w:rPr>
                <w:rFonts w:hint="eastAsia" w:ascii="仿宋_GB2312"/>
                <w:sz w:val="13"/>
                <w:szCs w:val="13"/>
              </w:rPr>
              <w:br w:type="textWrapping"/>
            </w:r>
            <w:r>
              <w:rPr>
                <w:rFonts w:hint="eastAsia" w:ascii="仿宋_GB2312"/>
                <w:sz w:val="13"/>
                <w:szCs w:val="13"/>
              </w:rPr>
              <w:t>5、决定责任：依法需要给予行政处罚的，应制作《公安行政处罚决定书》，载明违法事实和证据、处罚依据和内容、申请行政复议或提起行政诉讼的途径和期限等内容。</w:t>
            </w:r>
            <w:r>
              <w:rPr>
                <w:rFonts w:hint="eastAsia" w:ascii="仿宋_GB2312"/>
                <w:sz w:val="13"/>
                <w:szCs w:val="13"/>
              </w:rPr>
              <w:br w:type="textWrapping"/>
            </w:r>
            <w:r>
              <w:rPr>
                <w:rFonts w:hint="eastAsia" w:ascii="仿宋_GB2312"/>
                <w:sz w:val="13"/>
                <w:szCs w:val="13"/>
              </w:rPr>
              <w:t>6、送达责任：行政处罚决定书在7日内送达当事人。</w:t>
            </w:r>
            <w:r>
              <w:rPr>
                <w:rFonts w:hint="eastAsia" w:ascii="仿宋_GB2312"/>
                <w:sz w:val="13"/>
                <w:szCs w:val="13"/>
              </w:rPr>
              <w:br w:type="textWrapping"/>
            </w:r>
            <w:r>
              <w:rPr>
                <w:rFonts w:hint="eastAsia" w:ascii="仿宋_GB2312"/>
                <w:sz w:val="13"/>
                <w:szCs w:val="13"/>
              </w:rPr>
              <w:t>7、执行责任：监督当事人在决定的期限内，履行生效的行政处罚决定。当事人在法定期限内不申请行政复议或提起行政诉讼，又不履行的，可依法采取强制执行或者申请人民法院强制执行。</w:t>
            </w:r>
            <w:r>
              <w:rPr>
                <w:rFonts w:hint="eastAsia" w:ascii="仿宋_GB2312"/>
                <w:sz w:val="13"/>
                <w:szCs w:val="13"/>
              </w:rPr>
              <w:br w:type="textWrapping"/>
            </w:r>
            <w:r>
              <w:rPr>
                <w:rFonts w:hint="eastAsia" w:ascii="仿宋_GB2312"/>
                <w:sz w:val="13"/>
                <w:szCs w:val="13"/>
              </w:rPr>
              <w:t>8、其他法律法规规章文件规定应履行的责任。</w:t>
            </w:r>
          </w:p>
        </w:tc>
        <w:tc>
          <w:tcPr>
            <w:tcW w:w="2370" w:type="dxa"/>
            <w:gridSpan w:val="4"/>
            <w:vAlign w:val="center"/>
          </w:tcPr>
          <w:p>
            <w:pPr>
              <w:widowControl/>
              <w:tabs>
                <w:tab w:val="left" w:pos="492"/>
              </w:tabs>
              <w:spacing w:line="240" w:lineRule="exact"/>
              <w:rPr>
                <w:rFonts w:ascii="仿宋_GB2312"/>
                <w:sz w:val="13"/>
                <w:szCs w:val="13"/>
              </w:rPr>
            </w:pPr>
            <w:r>
              <w:rPr>
                <w:rFonts w:hint="eastAsia" w:ascii="仿宋_GB2312"/>
                <w:sz w:val="13"/>
                <w:szCs w:val="13"/>
              </w:rPr>
              <w:t>因不履行或不正确履行行政职责，有下列情形的，公安机关及相关工作人员应承担相应责任：               1、刑讯逼供、体罚、虐待、侮辱他人的；</w:t>
            </w:r>
            <w:r>
              <w:rPr>
                <w:rFonts w:hint="eastAsia" w:ascii="仿宋_GB2312"/>
                <w:sz w:val="13"/>
                <w:szCs w:val="13"/>
              </w:rPr>
              <w:br w:type="textWrapping"/>
            </w:r>
            <w:r>
              <w:rPr>
                <w:rFonts w:hint="eastAsia" w:ascii="仿宋_GB2312"/>
                <w:sz w:val="13"/>
                <w:szCs w:val="13"/>
              </w:rPr>
              <w:t>2、超过询问查证的时间限制人身自由的；</w:t>
            </w:r>
            <w:r>
              <w:rPr>
                <w:rFonts w:hint="eastAsia" w:ascii="仿宋_GB2312"/>
                <w:sz w:val="13"/>
                <w:szCs w:val="13"/>
              </w:rPr>
              <w:br w:type="textWrapping"/>
            </w:r>
            <w:r>
              <w:rPr>
                <w:rFonts w:hint="eastAsia" w:ascii="仿宋_GB2312"/>
                <w:sz w:val="13"/>
                <w:szCs w:val="13"/>
              </w:rPr>
              <w:t>3、不执行罚款决定与罚款收缴分离制度或者不按规定将罚没的财物上缴国库或者依法处理的；</w:t>
            </w:r>
            <w:r>
              <w:rPr>
                <w:rFonts w:hint="eastAsia" w:ascii="仿宋_GB2312"/>
                <w:sz w:val="13"/>
                <w:szCs w:val="13"/>
              </w:rPr>
              <w:br w:type="textWrapping"/>
            </w:r>
            <w:r>
              <w:rPr>
                <w:rFonts w:hint="eastAsia" w:ascii="仿宋_GB2312"/>
                <w:sz w:val="13"/>
                <w:szCs w:val="13"/>
              </w:rPr>
              <w:t>4、私分、侵占、挪用、故意损毁收缴、扣押的财物的；</w:t>
            </w:r>
            <w:r>
              <w:rPr>
                <w:rFonts w:hint="eastAsia" w:ascii="仿宋_GB2312"/>
                <w:sz w:val="13"/>
                <w:szCs w:val="13"/>
              </w:rPr>
              <w:br w:type="textWrapping"/>
            </w:r>
            <w:r>
              <w:rPr>
                <w:rFonts w:hint="eastAsia" w:ascii="仿宋_GB2312"/>
                <w:sz w:val="13"/>
                <w:szCs w:val="13"/>
              </w:rPr>
              <w:t>5、违反规定使用或者不及时返还被侵害人财物的；</w:t>
            </w:r>
            <w:r>
              <w:rPr>
                <w:rFonts w:hint="eastAsia" w:ascii="仿宋_GB2312"/>
                <w:sz w:val="13"/>
                <w:szCs w:val="13"/>
              </w:rPr>
              <w:br w:type="textWrapping"/>
            </w:r>
            <w:r>
              <w:rPr>
                <w:rFonts w:hint="eastAsia" w:ascii="仿宋_GB2312"/>
                <w:sz w:val="13"/>
                <w:szCs w:val="13"/>
              </w:rPr>
              <w:t>6、违反规定不及时退还保证金的；</w:t>
            </w:r>
            <w:r>
              <w:rPr>
                <w:rFonts w:hint="eastAsia" w:ascii="仿宋_GB2312"/>
                <w:sz w:val="13"/>
                <w:szCs w:val="13"/>
              </w:rPr>
              <w:br w:type="textWrapping"/>
            </w:r>
            <w:r>
              <w:rPr>
                <w:rFonts w:hint="eastAsia" w:ascii="仿宋_GB2312"/>
                <w:sz w:val="13"/>
                <w:szCs w:val="13"/>
              </w:rPr>
              <w:t>7、利用职务上的便利收受他人财物或者谋取其他利益的；</w:t>
            </w:r>
            <w:r>
              <w:rPr>
                <w:rFonts w:hint="eastAsia" w:ascii="仿宋_GB2312"/>
                <w:sz w:val="13"/>
                <w:szCs w:val="13"/>
              </w:rPr>
              <w:br w:type="textWrapping"/>
            </w:r>
            <w:r>
              <w:rPr>
                <w:rFonts w:hint="eastAsia" w:ascii="仿宋_GB2312"/>
                <w:sz w:val="13"/>
                <w:szCs w:val="13"/>
              </w:rPr>
              <w:t>8、当场收缴罚款不出具罚款收据或者不如实填写罚款数额的；</w:t>
            </w:r>
            <w:r>
              <w:rPr>
                <w:rFonts w:hint="eastAsia" w:ascii="仿宋_GB2312"/>
                <w:sz w:val="13"/>
                <w:szCs w:val="13"/>
              </w:rPr>
              <w:br w:type="textWrapping"/>
            </w:r>
            <w:r>
              <w:rPr>
                <w:rFonts w:hint="eastAsia" w:ascii="仿宋_GB2312"/>
                <w:sz w:val="13"/>
                <w:szCs w:val="13"/>
              </w:rPr>
              <w:t>9、接到要求制止违反治安管理行为的报警后，不及时出警的；</w:t>
            </w:r>
            <w:r>
              <w:rPr>
                <w:rFonts w:hint="eastAsia" w:ascii="仿宋_GB2312"/>
                <w:sz w:val="13"/>
                <w:szCs w:val="13"/>
              </w:rPr>
              <w:br w:type="textWrapping"/>
            </w:r>
            <w:r>
              <w:rPr>
                <w:rFonts w:hint="eastAsia" w:ascii="仿宋_GB2312"/>
                <w:sz w:val="13"/>
                <w:szCs w:val="13"/>
              </w:rPr>
              <w:t>10、在查处电信业务经营者、互联网服务提供者未依照规定为公安机关、国家安全机关依法进行防范、调查恐怖活动提供技术接口和解密等技术支持和协助等的案件时，为违法犯罪行为人通风报信的；</w:t>
            </w:r>
            <w:r>
              <w:rPr>
                <w:rFonts w:hint="eastAsia" w:ascii="仿宋_GB2312"/>
                <w:sz w:val="13"/>
                <w:szCs w:val="13"/>
              </w:rPr>
              <w:br w:type="textWrapping"/>
            </w:r>
            <w:r>
              <w:rPr>
                <w:rFonts w:hint="eastAsia" w:ascii="仿宋_GB2312"/>
                <w:sz w:val="13"/>
                <w:szCs w:val="13"/>
              </w:rPr>
              <w:t>11、有徇私舞弊、滥用职权，不依法履行法定职责的其他情形的。</w:t>
            </w:r>
          </w:p>
          <w:p>
            <w:pPr>
              <w:widowControl/>
              <w:tabs>
                <w:tab w:val="left" w:pos="492"/>
              </w:tabs>
              <w:spacing w:line="240" w:lineRule="exact"/>
              <w:rPr>
                <w:rFonts w:ascii="仿宋_GB2312"/>
                <w:sz w:val="13"/>
                <w:szCs w:val="13"/>
              </w:rPr>
            </w:pPr>
            <w:r>
              <w:rPr>
                <w:rFonts w:hint="eastAsia" w:ascii="仿宋_GB2312"/>
                <w:sz w:val="13"/>
                <w:szCs w:val="13"/>
              </w:rPr>
              <w:t>12、其他违反法律法规规章文件规定的行为。</w:t>
            </w:r>
          </w:p>
        </w:tc>
        <w:tc>
          <w:tcPr>
            <w:tcW w:w="1098" w:type="dxa"/>
            <w:gridSpan w:val="2"/>
          </w:tcPr>
          <w:p>
            <w:pPr>
              <w:widowControl/>
              <w:tabs>
                <w:tab w:val="left" w:pos="492"/>
              </w:tabs>
              <w:spacing w:line="240" w:lineRule="exac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8792" w:hRule="exact"/>
        </w:trPr>
        <w:tc>
          <w:tcPr>
            <w:tcW w:w="456" w:type="dxa"/>
            <w:vAlign w:val="center"/>
          </w:tcPr>
          <w:p>
            <w:pPr>
              <w:spacing w:line="240" w:lineRule="exact"/>
              <w:jc w:val="center"/>
              <w:textAlignment w:val="center"/>
              <w:rPr>
                <w:rFonts w:hint="default" w:eastAsia="仿宋_GB2312"/>
                <w:sz w:val="20"/>
                <w:szCs w:val="20"/>
                <w:lang w:val="en-US" w:eastAsia="zh-CN"/>
              </w:rPr>
            </w:pPr>
            <w:r>
              <w:rPr>
                <w:rFonts w:hint="eastAsia"/>
                <w:sz w:val="20"/>
                <w:szCs w:val="20"/>
                <w:lang w:val="en-US" w:eastAsia="zh-CN"/>
              </w:rPr>
              <w:t>32</w:t>
            </w:r>
          </w:p>
        </w:tc>
        <w:tc>
          <w:tcPr>
            <w:tcW w:w="589" w:type="dxa"/>
            <w:vAlign w:val="center"/>
          </w:tcPr>
          <w:p>
            <w:pPr>
              <w:widowControl/>
              <w:tabs>
                <w:tab w:val="left" w:pos="492"/>
              </w:tabs>
              <w:spacing w:line="240" w:lineRule="exact"/>
              <w:rPr>
                <w:sz w:val="20"/>
                <w:szCs w:val="20"/>
              </w:rPr>
            </w:pPr>
            <w:r>
              <w:rPr>
                <w:rFonts w:hint="eastAsia"/>
                <w:sz w:val="20"/>
                <w:szCs w:val="20"/>
              </w:rPr>
              <w:t>行政处罚</w:t>
            </w:r>
          </w:p>
        </w:tc>
        <w:tc>
          <w:tcPr>
            <w:tcW w:w="1189" w:type="dxa"/>
            <w:gridSpan w:val="2"/>
            <w:vAlign w:val="center"/>
          </w:tcPr>
          <w:p>
            <w:pPr>
              <w:widowControl/>
              <w:tabs>
                <w:tab w:val="left" w:pos="492"/>
              </w:tabs>
              <w:spacing w:line="240" w:lineRule="exact"/>
              <w:rPr>
                <w:rFonts w:ascii="仿宋_GB2312"/>
                <w:sz w:val="13"/>
                <w:szCs w:val="13"/>
              </w:rPr>
            </w:pPr>
            <w:r>
              <w:rPr>
                <w:rFonts w:hint="eastAsia" w:ascii="仿宋_GB2312"/>
                <w:sz w:val="13"/>
                <w:szCs w:val="13"/>
              </w:rPr>
              <w:t>对违反计算机病毒防治管理行为的处罚</w:t>
            </w:r>
          </w:p>
        </w:tc>
        <w:tc>
          <w:tcPr>
            <w:tcW w:w="965" w:type="dxa"/>
            <w:gridSpan w:val="2"/>
            <w:vAlign w:val="center"/>
          </w:tcPr>
          <w:p>
            <w:pPr>
              <w:widowControl/>
              <w:tabs>
                <w:tab w:val="left" w:pos="492"/>
              </w:tabs>
              <w:spacing w:line="240" w:lineRule="exact"/>
              <w:rPr>
                <w:rFonts w:ascii="仿宋_GB2312"/>
                <w:color w:val="000000" w:themeColor="text1"/>
                <w:sz w:val="13"/>
                <w:szCs w:val="13"/>
              </w:rPr>
            </w:pPr>
            <w:r>
              <w:rPr>
                <w:rFonts w:hint="eastAsia" w:ascii="仿宋_GB2312" w:hAnsi="Arial" w:cs="Arial"/>
                <w:color w:val="000000" w:themeColor="text1"/>
                <w:kern w:val="0"/>
                <w:sz w:val="13"/>
                <w:szCs w:val="13"/>
              </w:rPr>
              <w:t>唐山市公安局开平分局网安大队</w:t>
            </w:r>
          </w:p>
        </w:tc>
        <w:tc>
          <w:tcPr>
            <w:tcW w:w="5065" w:type="dxa"/>
            <w:gridSpan w:val="8"/>
            <w:vAlign w:val="center"/>
          </w:tcPr>
          <w:p>
            <w:pPr>
              <w:widowControl/>
              <w:tabs>
                <w:tab w:val="left" w:pos="492"/>
              </w:tabs>
              <w:spacing w:line="240" w:lineRule="exact"/>
              <w:rPr>
                <w:rFonts w:ascii="仿宋_GB2312"/>
                <w:sz w:val="13"/>
                <w:szCs w:val="13"/>
              </w:rPr>
            </w:pPr>
            <w:r>
              <w:rPr>
                <w:rFonts w:hint="eastAsia" w:ascii="仿宋_GB2312"/>
                <w:sz w:val="13"/>
                <w:szCs w:val="13"/>
              </w:rPr>
              <w:t>《计算机病毒防治管理办法》第十六、十七、十八、十九、二十条。</w:t>
            </w:r>
          </w:p>
          <w:p>
            <w:pPr>
              <w:widowControl/>
              <w:tabs>
                <w:tab w:val="left" w:pos="492"/>
              </w:tabs>
              <w:spacing w:line="240" w:lineRule="exact"/>
              <w:ind w:firstLine="195" w:firstLineChars="150"/>
              <w:rPr>
                <w:rFonts w:ascii="仿宋_GB2312"/>
                <w:sz w:val="13"/>
                <w:szCs w:val="13"/>
              </w:rPr>
            </w:pPr>
            <w:r>
              <w:rPr>
                <w:rFonts w:hint="eastAsia" w:ascii="仿宋_GB2312"/>
                <w:sz w:val="13"/>
                <w:szCs w:val="13"/>
              </w:rPr>
              <w:t>第十六条 在非经营活动中有违反本办法第五条、第六条第二、三、四项规定行为之一的，由公安机关处以一千元以下罚款。在经营活动中有违反本办法第五条、第六条第二、三、四项规定行为之一，没有违法所得的，由公安机关对单位处以一万元以下罚款，对个人处以五千元以下罚款;有违法所得的，处以违法所得三倍以下罚款，但是最高不得超过三万元。违反本办法第六条第一项规定的，依照《中华人民共和国计算机信息系统安全保护条例》第二十三条的规定处罚。</w:t>
            </w:r>
          </w:p>
          <w:p>
            <w:pPr>
              <w:widowControl/>
              <w:tabs>
                <w:tab w:val="left" w:pos="492"/>
              </w:tabs>
              <w:spacing w:line="240" w:lineRule="exact"/>
              <w:ind w:firstLine="195" w:firstLineChars="150"/>
              <w:rPr>
                <w:rFonts w:ascii="仿宋_GB2312"/>
                <w:sz w:val="13"/>
                <w:szCs w:val="13"/>
              </w:rPr>
            </w:pPr>
            <w:r>
              <w:rPr>
                <w:rFonts w:hint="eastAsia" w:ascii="仿宋_GB2312"/>
                <w:sz w:val="13"/>
                <w:szCs w:val="13"/>
              </w:rPr>
              <w:t>第十七条违反本办法第七条、第八条规定行为之一的，由公安机关对单位处以一千元以下罚款，对单位直接负责的主管人员和直接责任人员处以五百元以下罚款;对个人处以五百元以下罚款。</w:t>
            </w:r>
          </w:p>
          <w:p>
            <w:pPr>
              <w:widowControl/>
              <w:tabs>
                <w:tab w:val="left" w:pos="492"/>
              </w:tabs>
              <w:spacing w:line="240" w:lineRule="exact"/>
              <w:ind w:firstLine="195" w:firstLineChars="150"/>
              <w:rPr>
                <w:rFonts w:ascii="仿宋_GB2312"/>
                <w:sz w:val="13"/>
                <w:szCs w:val="13"/>
              </w:rPr>
            </w:pPr>
            <w:r>
              <w:rPr>
                <w:rFonts w:hint="eastAsia" w:ascii="仿宋_GB2312"/>
                <w:sz w:val="13"/>
                <w:szCs w:val="13"/>
              </w:rPr>
              <w:t>第十八条  违反本办法第九条规定的，由公安机关处以警告，并责令其限期改正;逾期不改正的，取消其计算机病毒防治产品检测机构的检测资格。</w:t>
            </w:r>
          </w:p>
          <w:p>
            <w:pPr>
              <w:widowControl/>
              <w:tabs>
                <w:tab w:val="left" w:pos="492"/>
              </w:tabs>
              <w:spacing w:line="240" w:lineRule="exact"/>
              <w:ind w:firstLine="195" w:firstLineChars="150"/>
              <w:rPr>
                <w:rFonts w:ascii="仿宋_GB2312"/>
                <w:sz w:val="13"/>
                <w:szCs w:val="13"/>
              </w:rPr>
            </w:pPr>
            <w:r>
              <w:rPr>
                <w:rFonts w:hint="eastAsia" w:ascii="仿宋_GB2312"/>
                <w:sz w:val="13"/>
                <w:szCs w:val="13"/>
              </w:rPr>
              <w:t>第十九条计算机信息系统的使用单位有下列行为之一的，由公安机关处以警告，并根据情况责令其限期改正;逾期不改正的，对单位处以一千元以下罚款，对单位直接负责的主管人员和直接责任人员处以五百元以下罚款:(一)未建立本单位计算机病毒防治管理制度的;(二)未采取计算机病毒安全技术防治措施的;(三)未对本单位计算机信息系统使用人员进行计算机病毒防治教育和培训的;(四)未及时检测、清除计算机信息系统中的计算机病毒，对计算机信息系统造成危害的;(五)未使用具有计算机信息系统安全专用产品销售许可证的计算机病毒防治产品，对计算机信息系统造成危害的。</w:t>
            </w:r>
          </w:p>
          <w:p>
            <w:pPr>
              <w:widowControl/>
              <w:tabs>
                <w:tab w:val="left" w:pos="492"/>
              </w:tabs>
              <w:spacing w:line="240" w:lineRule="exact"/>
              <w:ind w:firstLine="195" w:firstLineChars="150"/>
              <w:rPr>
                <w:rFonts w:ascii="仿宋_GB2312"/>
                <w:sz w:val="13"/>
                <w:szCs w:val="13"/>
              </w:rPr>
            </w:pPr>
            <w:r>
              <w:rPr>
                <w:rFonts w:hint="eastAsia" w:ascii="仿宋_GB2312"/>
                <w:sz w:val="13"/>
                <w:szCs w:val="13"/>
              </w:rPr>
              <w:t>第二十条违反本办法第十四条规定，没有违法所得的，由公安机关对单位处以一万元以下罚款，对个人处以五千元以下罚款;有违法所得的，处以违法所得三倍以下罚款，但是最高不得超过三万元。</w:t>
            </w:r>
          </w:p>
        </w:tc>
        <w:tc>
          <w:tcPr>
            <w:tcW w:w="1294" w:type="dxa"/>
            <w:gridSpan w:val="3"/>
            <w:vAlign w:val="center"/>
          </w:tcPr>
          <w:p>
            <w:pPr>
              <w:widowControl/>
              <w:tabs>
                <w:tab w:val="left" w:pos="492"/>
              </w:tabs>
              <w:spacing w:line="240" w:lineRule="exact"/>
              <w:rPr>
                <w:rFonts w:ascii="仿宋_GB2312"/>
                <w:sz w:val="13"/>
                <w:szCs w:val="13"/>
              </w:rPr>
            </w:pPr>
            <w:r>
              <w:rPr>
                <w:rFonts w:hint="eastAsia" w:ascii="仿宋_GB2312"/>
                <w:sz w:val="13"/>
                <w:szCs w:val="13"/>
              </w:rPr>
              <w:t>1、受案责任：日常工作中对发现或者接到报警投诉电信业务经营者、互联网服务提供者未依照规定为公安机关、国家安全机关依法进行防范、调查恐怖活动提供技术接口和解密等技术支持和协助等的行为予以审查，决定是否受案。</w:t>
            </w:r>
            <w:r>
              <w:rPr>
                <w:rFonts w:hint="eastAsia" w:ascii="仿宋_GB2312"/>
                <w:sz w:val="13"/>
                <w:szCs w:val="13"/>
              </w:rPr>
              <w:br w:type="textWrapping"/>
            </w:r>
            <w:r>
              <w:rPr>
                <w:rFonts w:hint="eastAsia" w:ascii="仿宋_GB2312"/>
                <w:sz w:val="13"/>
                <w:szCs w:val="13"/>
              </w:rPr>
              <w:t>2、调查责任：对受案的案件，案件承办人员及时、全面、客观、公正地调查收集与案件有关的证据，查明事实，必要时可进行现场检查。与当事人有直接利害关系的予以回避。执法人员不得少于两人，调查时应出示执法证件（人民警察证），允许当事人辩解陈述。</w:t>
            </w:r>
            <w:r>
              <w:rPr>
                <w:rFonts w:hint="eastAsia" w:ascii="仿宋_GB2312"/>
                <w:sz w:val="13"/>
                <w:szCs w:val="13"/>
              </w:rPr>
              <w:br w:type="textWrapping"/>
            </w:r>
            <w:r>
              <w:rPr>
                <w:rFonts w:hint="eastAsia" w:ascii="仿宋_GB2312"/>
                <w:sz w:val="13"/>
                <w:szCs w:val="13"/>
              </w:rPr>
              <w:t>3、审查责任：对案件违法事实、证据、调查取证程序、法律适用、处罚种类和幅度、当事人陈述和申辩理由等方面进行审查，提出处理意见。</w:t>
            </w:r>
            <w:r>
              <w:rPr>
                <w:rFonts w:hint="eastAsia" w:ascii="仿宋_GB2312"/>
                <w:sz w:val="13"/>
                <w:szCs w:val="13"/>
              </w:rPr>
              <w:br w:type="textWrapping"/>
            </w:r>
            <w:r>
              <w:rPr>
                <w:rFonts w:hint="eastAsia" w:ascii="仿宋_GB2312"/>
                <w:sz w:val="13"/>
                <w:szCs w:val="13"/>
              </w:rPr>
              <w:t>4、告知责任：在做出行政处罚决定前，书面告知当事人拟作出处罚决定的事实、理由、依据、处罚内容，以及当事人享有的陈述权、申辩权或听证权。</w:t>
            </w:r>
            <w:r>
              <w:rPr>
                <w:rFonts w:hint="eastAsia" w:ascii="仿宋_GB2312"/>
                <w:sz w:val="13"/>
                <w:szCs w:val="13"/>
              </w:rPr>
              <w:br w:type="textWrapping"/>
            </w:r>
            <w:r>
              <w:rPr>
                <w:rFonts w:hint="eastAsia" w:ascii="仿宋_GB2312"/>
                <w:sz w:val="13"/>
                <w:szCs w:val="13"/>
              </w:rPr>
              <w:t>5、决定责任：依法需要给予行政处罚的，应制作《公安行政处罚决定书》，载明违法事实和证据、处罚依据和内容、申请行政复议或提起行政诉讼的途径和期限等内容。</w:t>
            </w:r>
            <w:r>
              <w:rPr>
                <w:rFonts w:hint="eastAsia" w:ascii="仿宋_GB2312"/>
                <w:sz w:val="13"/>
                <w:szCs w:val="13"/>
              </w:rPr>
              <w:br w:type="textWrapping"/>
            </w:r>
            <w:r>
              <w:rPr>
                <w:rFonts w:hint="eastAsia" w:ascii="仿宋_GB2312"/>
                <w:sz w:val="13"/>
                <w:szCs w:val="13"/>
              </w:rPr>
              <w:t>6、送达责任：行政处罚决定书在7日内送达当事人。</w:t>
            </w:r>
            <w:r>
              <w:rPr>
                <w:rFonts w:hint="eastAsia" w:ascii="仿宋_GB2312"/>
                <w:sz w:val="13"/>
                <w:szCs w:val="13"/>
              </w:rPr>
              <w:br w:type="textWrapping"/>
            </w:r>
            <w:r>
              <w:rPr>
                <w:rFonts w:hint="eastAsia" w:ascii="仿宋_GB2312"/>
                <w:sz w:val="13"/>
                <w:szCs w:val="13"/>
              </w:rPr>
              <w:t>7、执行责任：监督当事人在决定的期限内，履行生效的行政处罚决定。当事人在法定期限内不申请行政复议或提起行政诉讼，又不履行的，可依法采取强制执行或者申请人民法院强制执行。</w:t>
            </w:r>
            <w:r>
              <w:rPr>
                <w:rFonts w:hint="eastAsia" w:ascii="仿宋_GB2312"/>
                <w:sz w:val="13"/>
                <w:szCs w:val="13"/>
              </w:rPr>
              <w:br w:type="textWrapping"/>
            </w:r>
            <w:r>
              <w:rPr>
                <w:rFonts w:hint="eastAsia" w:ascii="仿宋_GB2312"/>
                <w:sz w:val="13"/>
                <w:szCs w:val="13"/>
              </w:rPr>
              <w:t>8、其他法律法规规章文件规定应履行的责任。</w:t>
            </w:r>
          </w:p>
        </w:tc>
        <w:tc>
          <w:tcPr>
            <w:tcW w:w="2370" w:type="dxa"/>
            <w:gridSpan w:val="4"/>
            <w:vAlign w:val="center"/>
          </w:tcPr>
          <w:p>
            <w:pPr>
              <w:widowControl/>
              <w:tabs>
                <w:tab w:val="left" w:pos="492"/>
              </w:tabs>
              <w:spacing w:line="240" w:lineRule="exact"/>
              <w:rPr>
                <w:rFonts w:ascii="仿宋_GB2312"/>
                <w:sz w:val="13"/>
                <w:szCs w:val="13"/>
              </w:rPr>
            </w:pPr>
            <w:r>
              <w:rPr>
                <w:rFonts w:hint="eastAsia" w:ascii="仿宋_GB2312"/>
                <w:sz w:val="13"/>
                <w:szCs w:val="13"/>
              </w:rPr>
              <w:t>因不履行或不正确履行行政职责，有下列情形的，公安机关及相关工作人员应承担相应责任：               1、刑讯逼供、体罚、虐待、侮辱他人的；</w:t>
            </w:r>
            <w:r>
              <w:rPr>
                <w:rFonts w:hint="eastAsia" w:ascii="仿宋_GB2312"/>
                <w:sz w:val="13"/>
                <w:szCs w:val="13"/>
              </w:rPr>
              <w:br w:type="textWrapping"/>
            </w:r>
            <w:r>
              <w:rPr>
                <w:rFonts w:hint="eastAsia" w:ascii="仿宋_GB2312"/>
                <w:sz w:val="13"/>
                <w:szCs w:val="13"/>
              </w:rPr>
              <w:t>2、超过询问查证的时间限制人身自由的；</w:t>
            </w:r>
            <w:r>
              <w:rPr>
                <w:rFonts w:hint="eastAsia" w:ascii="仿宋_GB2312"/>
                <w:sz w:val="13"/>
                <w:szCs w:val="13"/>
              </w:rPr>
              <w:br w:type="textWrapping"/>
            </w:r>
            <w:r>
              <w:rPr>
                <w:rFonts w:hint="eastAsia" w:ascii="仿宋_GB2312"/>
                <w:sz w:val="13"/>
                <w:szCs w:val="13"/>
              </w:rPr>
              <w:t>3、不执行罚款决定与罚款收缴分离制度或者不按规定将罚没的财物上缴国库或者依法处理的；</w:t>
            </w:r>
            <w:r>
              <w:rPr>
                <w:rFonts w:hint="eastAsia" w:ascii="仿宋_GB2312"/>
                <w:sz w:val="13"/>
                <w:szCs w:val="13"/>
              </w:rPr>
              <w:br w:type="textWrapping"/>
            </w:r>
            <w:r>
              <w:rPr>
                <w:rFonts w:hint="eastAsia" w:ascii="仿宋_GB2312"/>
                <w:sz w:val="13"/>
                <w:szCs w:val="13"/>
              </w:rPr>
              <w:t>4、私分、侵占、挪用、故意损毁收缴、扣押的财物的；</w:t>
            </w:r>
            <w:r>
              <w:rPr>
                <w:rFonts w:hint="eastAsia" w:ascii="仿宋_GB2312"/>
                <w:sz w:val="13"/>
                <w:szCs w:val="13"/>
              </w:rPr>
              <w:br w:type="textWrapping"/>
            </w:r>
            <w:r>
              <w:rPr>
                <w:rFonts w:hint="eastAsia" w:ascii="仿宋_GB2312"/>
                <w:sz w:val="13"/>
                <w:szCs w:val="13"/>
              </w:rPr>
              <w:t>5、违反规定使用或者不及时返还被侵害人财物的；</w:t>
            </w:r>
            <w:r>
              <w:rPr>
                <w:rFonts w:hint="eastAsia" w:ascii="仿宋_GB2312"/>
                <w:sz w:val="13"/>
                <w:szCs w:val="13"/>
              </w:rPr>
              <w:br w:type="textWrapping"/>
            </w:r>
            <w:r>
              <w:rPr>
                <w:rFonts w:hint="eastAsia" w:ascii="仿宋_GB2312"/>
                <w:sz w:val="13"/>
                <w:szCs w:val="13"/>
              </w:rPr>
              <w:t>6、违反规定不及时退还保证金的；</w:t>
            </w:r>
            <w:r>
              <w:rPr>
                <w:rFonts w:hint="eastAsia" w:ascii="仿宋_GB2312"/>
                <w:sz w:val="13"/>
                <w:szCs w:val="13"/>
              </w:rPr>
              <w:br w:type="textWrapping"/>
            </w:r>
            <w:r>
              <w:rPr>
                <w:rFonts w:hint="eastAsia" w:ascii="仿宋_GB2312"/>
                <w:sz w:val="13"/>
                <w:szCs w:val="13"/>
              </w:rPr>
              <w:t>7、利用职务上的便利收受他人财物或者谋取其他利益的；</w:t>
            </w:r>
            <w:r>
              <w:rPr>
                <w:rFonts w:hint="eastAsia" w:ascii="仿宋_GB2312"/>
                <w:sz w:val="13"/>
                <w:szCs w:val="13"/>
              </w:rPr>
              <w:br w:type="textWrapping"/>
            </w:r>
            <w:r>
              <w:rPr>
                <w:rFonts w:hint="eastAsia" w:ascii="仿宋_GB2312"/>
                <w:sz w:val="13"/>
                <w:szCs w:val="13"/>
              </w:rPr>
              <w:t>8、当场收缴罚款不出具罚款收据或者不如实填写罚款数额的；</w:t>
            </w:r>
            <w:r>
              <w:rPr>
                <w:rFonts w:hint="eastAsia" w:ascii="仿宋_GB2312"/>
                <w:sz w:val="13"/>
                <w:szCs w:val="13"/>
              </w:rPr>
              <w:br w:type="textWrapping"/>
            </w:r>
            <w:r>
              <w:rPr>
                <w:rFonts w:hint="eastAsia" w:ascii="仿宋_GB2312"/>
                <w:sz w:val="13"/>
                <w:szCs w:val="13"/>
              </w:rPr>
              <w:t>9、接到要求制止违反治安管理行为的报警后，不及时出警的；</w:t>
            </w:r>
            <w:r>
              <w:rPr>
                <w:rFonts w:hint="eastAsia" w:ascii="仿宋_GB2312"/>
                <w:sz w:val="13"/>
                <w:szCs w:val="13"/>
              </w:rPr>
              <w:br w:type="textWrapping"/>
            </w:r>
            <w:r>
              <w:rPr>
                <w:rFonts w:hint="eastAsia" w:ascii="仿宋_GB2312"/>
                <w:sz w:val="13"/>
                <w:szCs w:val="13"/>
              </w:rPr>
              <w:t>10、在查处电信业务经营者、互联网服务提供者未依照规定为公安机关、国家安全机关依法进行防范、调查恐怖活动提供技术接口和解密等技术支持和协助等的案件时，为违法犯罪行为人通风报信的；</w:t>
            </w:r>
            <w:r>
              <w:rPr>
                <w:rFonts w:hint="eastAsia" w:ascii="仿宋_GB2312"/>
                <w:sz w:val="13"/>
                <w:szCs w:val="13"/>
              </w:rPr>
              <w:br w:type="textWrapping"/>
            </w:r>
            <w:r>
              <w:rPr>
                <w:rFonts w:hint="eastAsia" w:ascii="仿宋_GB2312"/>
                <w:sz w:val="13"/>
                <w:szCs w:val="13"/>
              </w:rPr>
              <w:t>11、有徇私舞弊、滥用职权，不依法履行法定职责的其他情形的。</w:t>
            </w:r>
          </w:p>
          <w:p>
            <w:pPr>
              <w:widowControl/>
              <w:tabs>
                <w:tab w:val="left" w:pos="492"/>
              </w:tabs>
              <w:spacing w:line="240" w:lineRule="exact"/>
              <w:rPr>
                <w:rFonts w:ascii="仿宋_GB2312"/>
                <w:sz w:val="13"/>
                <w:szCs w:val="13"/>
              </w:rPr>
            </w:pPr>
            <w:r>
              <w:rPr>
                <w:rFonts w:hint="eastAsia" w:ascii="仿宋_GB2312"/>
                <w:sz w:val="13"/>
                <w:szCs w:val="13"/>
              </w:rPr>
              <w:t>12、其他违反法律法规规章文件规定的行为。</w:t>
            </w:r>
          </w:p>
        </w:tc>
        <w:tc>
          <w:tcPr>
            <w:tcW w:w="1098" w:type="dxa"/>
            <w:gridSpan w:val="2"/>
          </w:tcPr>
          <w:p>
            <w:pPr>
              <w:widowControl/>
              <w:tabs>
                <w:tab w:val="left" w:pos="492"/>
              </w:tabs>
              <w:spacing w:line="240" w:lineRule="exac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8792" w:hRule="exact"/>
        </w:trPr>
        <w:tc>
          <w:tcPr>
            <w:tcW w:w="456" w:type="dxa"/>
            <w:vAlign w:val="center"/>
          </w:tcPr>
          <w:p>
            <w:pPr>
              <w:spacing w:line="240" w:lineRule="exact"/>
              <w:jc w:val="center"/>
              <w:textAlignment w:val="center"/>
              <w:rPr>
                <w:rFonts w:hint="default" w:eastAsia="仿宋_GB2312"/>
                <w:sz w:val="20"/>
                <w:szCs w:val="20"/>
                <w:lang w:val="en-US" w:eastAsia="zh-CN"/>
              </w:rPr>
            </w:pPr>
            <w:r>
              <w:rPr>
                <w:rFonts w:hint="eastAsia"/>
                <w:sz w:val="20"/>
                <w:szCs w:val="20"/>
                <w:lang w:val="en-US" w:eastAsia="zh-CN"/>
              </w:rPr>
              <w:t>33</w:t>
            </w:r>
          </w:p>
        </w:tc>
        <w:tc>
          <w:tcPr>
            <w:tcW w:w="589" w:type="dxa"/>
            <w:vAlign w:val="center"/>
          </w:tcPr>
          <w:p>
            <w:pPr>
              <w:widowControl/>
              <w:tabs>
                <w:tab w:val="left" w:pos="492"/>
              </w:tabs>
              <w:spacing w:line="240" w:lineRule="exact"/>
              <w:rPr>
                <w:sz w:val="20"/>
                <w:szCs w:val="20"/>
              </w:rPr>
            </w:pPr>
            <w:r>
              <w:rPr>
                <w:rFonts w:hint="eastAsia"/>
                <w:sz w:val="20"/>
                <w:szCs w:val="20"/>
              </w:rPr>
              <w:t>行政处罚</w:t>
            </w:r>
          </w:p>
        </w:tc>
        <w:tc>
          <w:tcPr>
            <w:tcW w:w="1189" w:type="dxa"/>
            <w:gridSpan w:val="2"/>
            <w:vAlign w:val="center"/>
          </w:tcPr>
          <w:p>
            <w:pPr>
              <w:widowControl/>
              <w:tabs>
                <w:tab w:val="left" w:pos="492"/>
              </w:tabs>
              <w:spacing w:line="240" w:lineRule="exact"/>
              <w:rPr>
                <w:rFonts w:ascii="仿宋_GB2312"/>
                <w:sz w:val="13"/>
                <w:szCs w:val="13"/>
              </w:rPr>
            </w:pPr>
            <w:r>
              <w:rPr>
                <w:rFonts w:hint="eastAsia" w:ascii="仿宋_GB2312"/>
                <w:sz w:val="13"/>
                <w:szCs w:val="13"/>
              </w:rPr>
              <w:t>对违反反恐怖主义行为的处罚</w:t>
            </w:r>
          </w:p>
        </w:tc>
        <w:tc>
          <w:tcPr>
            <w:tcW w:w="965" w:type="dxa"/>
            <w:gridSpan w:val="2"/>
            <w:vAlign w:val="center"/>
          </w:tcPr>
          <w:p>
            <w:pPr>
              <w:widowControl/>
              <w:tabs>
                <w:tab w:val="left" w:pos="492"/>
              </w:tabs>
              <w:spacing w:line="240" w:lineRule="exact"/>
              <w:rPr>
                <w:rFonts w:ascii="仿宋_GB2312"/>
                <w:sz w:val="13"/>
                <w:szCs w:val="13"/>
              </w:rPr>
            </w:pPr>
            <w:r>
              <w:rPr>
                <w:rFonts w:hint="eastAsia" w:ascii="仿宋_GB2312"/>
                <w:color w:val="000000" w:themeColor="text1"/>
                <w:sz w:val="13"/>
                <w:szCs w:val="13"/>
              </w:rPr>
              <w:t>唐山市公安局开平分局网安大队</w:t>
            </w:r>
          </w:p>
        </w:tc>
        <w:tc>
          <w:tcPr>
            <w:tcW w:w="5065" w:type="dxa"/>
            <w:gridSpan w:val="8"/>
            <w:vAlign w:val="center"/>
          </w:tcPr>
          <w:p>
            <w:pPr>
              <w:widowControl/>
              <w:tabs>
                <w:tab w:val="left" w:pos="492"/>
              </w:tabs>
              <w:spacing w:line="240" w:lineRule="exact"/>
              <w:rPr>
                <w:rFonts w:ascii="仿宋_GB2312"/>
                <w:sz w:val="13"/>
                <w:szCs w:val="13"/>
              </w:rPr>
            </w:pPr>
            <w:r>
              <w:rPr>
                <w:rFonts w:hint="eastAsia" w:ascii="仿宋_GB2312"/>
                <w:sz w:val="13"/>
                <w:szCs w:val="13"/>
              </w:rPr>
              <w:t>《中华人民共和国反恐怖主义法》第八十四条。</w:t>
            </w:r>
          </w:p>
          <w:p>
            <w:pPr>
              <w:widowControl/>
              <w:tabs>
                <w:tab w:val="left" w:pos="492"/>
              </w:tabs>
              <w:spacing w:line="240" w:lineRule="exact"/>
              <w:rPr>
                <w:rFonts w:ascii="仿宋_GB2312"/>
                <w:sz w:val="13"/>
                <w:szCs w:val="13"/>
              </w:rPr>
            </w:pPr>
            <w:r>
              <w:rPr>
                <w:rFonts w:hint="eastAsia" w:ascii="仿宋_GB2312"/>
                <w:sz w:val="13"/>
                <w:szCs w:val="13"/>
              </w:rPr>
              <w:t>第八十四条 电信业务经营者、互联网服务提供者有下列情形之一的，由主管部门处二十万元以上五十万元以下罚款，并对其直接负责的主管人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一)未依照规定为公安机关、国家安全机关依法进行防范、调查恐怖活动提供技术接口和解密等技术支持和协助的;(二)未按照主管部门的要求，停止传输、删除含有恐怖主义、极端主义内容的信息，保存相关记录，关闭相关网站或者关停相关服务的;(三)未落实网络安全、信息内容监督制度和安全技术防范措施，造成含有恐怖主义、极端主义内容的信息传播，情节严重的。</w:t>
            </w:r>
          </w:p>
        </w:tc>
        <w:tc>
          <w:tcPr>
            <w:tcW w:w="1294" w:type="dxa"/>
            <w:gridSpan w:val="3"/>
            <w:vAlign w:val="center"/>
          </w:tcPr>
          <w:p>
            <w:pPr>
              <w:widowControl/>
              <w:tabs>
                <w:tab w:val="left" w:pos="492"/>
              </w:tabs>
              <w:spacing w:line="240" w:lineRule="exact"/>
              <w:rPr>
                <w:rFonts w:ascii="仿宋_GB2312"/>
                <w:sz w:val="13"/>
                <w:szCs w:val="13"/>
              </w:rPr>
            </w:pPr>
            <w:r>
              <w:rPr>
                <w:rFonts w:hint="eastAsia" w:ascii="仿宋_GB2312"/>
                <w:sz w:val="13"/>
                <w:szCs w:val="13"/>
              </w:rPr>
              <w:t>1、受案责任：日常工作中对发现或者接到报警投诉电信业务经营者、互联网服务提供者未依照规定为公安机关、国家安全机关依法进行防范、调查恐怖活动提供技术接口和解密等技术支持和协助等的行为予以审查，决定是否受案。</w:t>
            </w:r>
            <w:r>
              <w:rPr>
                <w:rFonts w:hint="eastAsia" w:ascii="仿宋_GB2312"/>
                <w:sz w:val="13"/>
                <w:szCs w:val="13"/>
              </w:rPr>
              <w:br w:type="textWrapping"/>
            </w:r>
            <w:r>
              <w:rPr>
                <w:rFonts w:hint="eastAsia" w:ascii="仿宋_GB2312"/>
                <w:sz w:val="13"/>
                <w:szCs w:val="13"/>
              </w:rPr>
              <w:t>2、调查责任：对受案的案件，案件承办人员及时、全面、客观、公正地调查收集与案件有关的证据，查明事实，必要时可进行现场检查。与当事人有直接利害关系的予以回避。执法人员不得少于两人，调查时应出示执法证件（人民警察证），允许当事人辩解陈述。</w:t>
            </w:r>
            <w:r>
              <w:rPr>
                <w:rFonts w:hint="eastAsia" w:ascii="仿宋_GB2312"/>
                <w:sz w:val="13"/>
                <w:szCs w:val="13"/>
              </w:rPr>
              <w:br w:type="textWrapping"/>
            </w:r>
            <w:r>
              <w:rPr>
                <w:rFonts w:hint="eastAsia" w:ascii="仿宋_GB2312"/>
                <w:sz w:val="13"/>
                <w:szCs w:val="13"/>
              </w:rPr>
              <w:t>3、审查责任：对案件违法事实、证据、调查取证程序、法律适用、处罚种类和幅度、当事人陈述和申辩理由等方面进行审查，提出处理意见。</w:t>
            </w:r>
            <w:r>
              <w:rPr>
                <w:rFonts w:hint="eastAsia" w:ascii="仿宋_GB2312"/>
                <w:sz w:val="13"/>
                <w:szCs w:val="13"/>
              </w:rPr>
              <w:br w:type="textWrapping"/>
            </w:r>
            <w:r>
              <w:rPr>
                <w:rFonts w:hint="eastAsia" w:ascii="仿宋_GB2312"/>
                <w:sz w:val="13"/>
                <w:szCs w:val="13"/>
              </w:rPr>
              <w:t>4、告知责任：在做出行政处罚决定前，书面告知当事人拟作出处罚决定的事实、理由、依据、处罚内容，以及当事人享有的陈述权、申辩权或听证权。</w:t>
            </w:r>
            <w:r>
              <w:rPr>
                <w:rFonts w:hint="eastAsia" w:ascii="仿宋_GB2312"/>
                <w:sz w:val="13"/>
                <w:szCs w:val="13"/>
              </w:rPr>
              <w:br w:type="textWrapping"/>
            </w:r>
            <w:r>
              <w:rPr>
                <w:rFonts w:hint="eastAsia" w:ascii="仿宋_GB2312"/>
                <w:sz w:val="13"/>
                <w:szCs w:val="13"/>
              </w:rPr>
              <w:t>5、决定责任：依法需要给予行政处罚的，应制作《公安行政处罚决定书》，载明违法事实和证据、处罚依据和内容、申请行政复议或提起行政诉讼的途径和期限等内容。</w:t>
            </w:r>
            <w:r>
              <w:rPr>
                <w:rFonts w:hint="eastAsia" w:ascii="仿宋_GB2312"/>
                <w:sz w:val="13"/>
                <w:szCs w:val="13"/>
              </w:rPr>
              <w:br w:type="textWrapping"/>
            </w:r>
            <w:r>
              <w:rPr>
                <w:rFonts w:hint="eastAsia" w:ascii="仿宋_GB2312"/>
                <w:sz w:val="13"/>
                <w:szCs w:val="13"/>
              </w:rPr>
              <w:t>6、送达责任：行政处罚决定书在7日内送达当事人。</w:t>
            </w:r>
            <w:r>
              <w:rPr>
                <w:rFonts w:hint="eastAsia" w:ascii="仿宋_GB2312"/>
                <w:sz w:val="13"/>
                <w:szCs w:val="13"/>
              </w:rPr>
              <w:br w:type="textWrapping"/>
            </w:r>
            <w:r>
              <w:rPr>
                <w:rFonts w:hint="eastAsia" w:ascii="仿宋_GB2312"/>
                <w:sz w:val="13"/>
                <w:szCs w:val="13"/>
              </w:rPr>
              <w:t>7、执行责任：监督当事人在决定的期限内，履行生效的行政处罚决定。当事人在法定期限内不申请行政复议或提起行政诉讼，又不履行的，可依法采取强制执行或者申请人民法院强制执行。</w:t>
            </w:r>
            <w:r>
              <w:rPr>
                <w:rFonts w:hint="eastAsia" w:ascii="仿宋_GB2312"/>
                <w:sz w:val="13"/>
                <w:szCs w:val="13"/>
              </w:rPr>
              <w:br w:type="textWrapping"/>
            </w:r>
            <w:r>
              <w:rPr>
                <w:rFonts w:hint="eastAsia" w:ascii="仿宋_GB2312"/>
                <w:sz w:val="13"/>
                <w:szCs w:val="13"/>
              </w:rPr>
              <w:t>8、其他法律法规规章文件规定应履行的责任。</w:t>
            </w:r>
          </w:p>
        </w:tc>
        <w:tc>
          <w:tcPr>
            <w:tcW w:w="2370" w:type="dxa"/>
            <w:gridSpan w:val="4"/>
            <w:vAlign w:val="center"/>
          </w:tcPr>
          <w:p>
            <w:pPr>
              <w:widowControl/>
              <w:tabs>
                <w:tab w:val="left" w:pos="492"/>
              </w:tabs>
              <w:spacing w:line="240" w:lineRule="exact"/>
              <w:rPr>
                <w:rFonts w:ascii="仿宋_GB2312"/>
                <w:sz w:val="13"/>
                <w:szCs w:val="13"/>
              </w:rPr>
            </w:pPr>
            <w:r>
              <w:rPr>
                <w:rFonts w:hint="eastAsia" w:ascii="仿宋_GB2312"/>
                <w:sz w:val="13"/>
                <w:szCs w:val="13"/>
              </w:rPr>
              <w:t>因不履行或不正确履行行政职责，有下列情形的，公安机关及相关工作人员应承担相应责任：               1、刑讯逼供、体罚、虐待、侮辱他人的；</w:t>
            </w:r>
            <w:r>
              <w:rPr>
                <w:rFonts w:hint="eastAsia" w:ascii="仿宋_GB2312"/>
                <w:sz w:val="13"/>
                <w:szCs w:val="13"/>
              </w:rPr>
              <w:br w:type="textWrapping"/>
            </w:r>
            <w:r>
              <w:rPr>
                <w:rFonts w:hint="eastAsia" w:ascii="仿宋_GB2312"/>
                <w:sz w:val="13"/>
                <w:szCs w:val="13"/>
              </w:rPr>
              <w:t>2、超过询问查证的时间限制人身自由的；</w:t>
            </w:r>
            <w:r>
              <w:rPr>
                <w:rFonts w:hint="eastAsia" w:ascii="仿宋_GB2312"/>
                <w:sz w:val="13"/>
                <w:szCs w:val="13"/>
              </w:rPr>
              <w:br w:type="textWrapping"/>
            </w:r>
            <w:r>
              <w:rPr>
                <w:rFonts w:hint="eastAsia" w:ascii="仿宋_GB2312"/>
                <w:sz w:val="13"/>
                <w:szCs w:val="13"/>
              </w:rPr>
              <w:t>3、不执行罚款决定与罚款收缴分离制度或者不按规定将罚没的财物上缴国库或者依法处理的；</w:t>
            </w:r>
            <w:r>
              <w:rPr>
                <w:rFonts w:hint="eastAsia" w:ascii="仿宋_GB2312"/>
                <w:sz w:val="13"/>
                <w:szCs w:val="13"/>
              </w:rPr>
              <w:br w:type="textWrapping"/>
            </w:r>
            <w:r>
              <w:rPr>
                <w:rFonts w:hint="eastAsia" w:ascii="仿宋_GB2312"/>
                <w:sz w:val="13"/>
                <w:szCs w:val="13"/>
              </w:rPr>
              <w:t>4、私分、侵占、挪用、故意损毁收缴、扣押的财物的；</w:t>
            </w:r>
            <w:r>
              <w:rPr>
                <w:rFonts w:hint="eastAsia" w:ascii="仿宋_GB2312"/>
                <w:sz w:val="13"/>
                <w:szCs w:val="13"/>
              </w:rPr>
              <w:br w:type="textWrapping"/>
            </w:r>
            <w:r>
              <w:rPr>
                <w:rFonts w:hint="eastAsia" w:ascii="仿宋_GB2312"/>
                <w:sz w:val="13"/>
                <w:szCs w:val="13"/>
              </w:rPr>
              <w:t>5、违反规定使用或者不及时返还被侵害人财物的；</w:t>
            </w:r>
            <w:r>
              <w:rPr>
                <w:rFonts w:hint="eastAsia" w:ascii="仿宋_GB2312"/>
                <w:sz w:val="13"/>
                <w:szCs w:val="13"/>
              </w:rPr>
              <w:br w:type="textWrapping"/>
            </w:r>
            <w:r>
              <w:rPr>
                <w:rFonts w:hint="eastAsia" w:ascii="仿宋_GB2312"/>
                <w:sz w:val="13"/>
                <w:szCs w:val="13"/>
              </w:rPr>
              <w:t>6、违反规定不及时退还保证金的；</w:t>
            </w:r>
            <w:r>
              <w:rPr>
                <w:rFonts w:hint="eastAsia" w:ascii="仿宋_GB2312"/>
                <w:sz w:val="13"/>
                <w:szCs w:val="13"/>
              </w:rPr>
              <w:br w:type="textWrapping"/>
            </w:r>
            <w:r>
              <w:rPr>
                <w:rFonts w:hint="eastAsia" w:ascii="仿宋_GB2312"/>
                <w:sz w:val="13"/>
                <w:szCs w:val="13"/>
              </w:rPr>
              <w:t>7、利用职务上的便利收受他人财物或者谋取其他利益的；</w:t>
            </w:r>
            <w:r>
              <w:rPr>
                <w:rFonts w:hint="eastAsia" w:ascii="仿宋_GB2312"/>
                <w:sz w:val="13"/>
                <w:szCs w:val="13"/>
              </w:rPr>
              <w:br w:type="textWrapping"/>
            </w:r>
            <w:r>
              <w:rPr>
                <w:rFonts w:hint="eastAsia" w:ascii="仿宋_GB2312"/>
                <w:sz w:val="13"/>
                <w:szCs w:val="13"/>
              </w:rPr>
              <w:t>8、当场收缴罚款不出具罚款收据或者不如实填写罚款数额的；</w:t>
            </w:r>
            <w:r>
              <w:rPr>
                <w:rFonts w:hint="eastAsia" w:ascii="仿宋_GB2312"/>
                <w:sz w:val="13"/>
                <w:szCs w:val="13"/>
              </w:rPr>
              <w:br w:type="textWrapping"/>
            </w:r>
            <w:r>
              <w:rPr>
                <w:rFonts w:hint="eastAsia" w:ascii="仿宋_GB2312"/>
                <w:sz w:val="13"/>
                <w:szCs w:val="13"/>
              </w:rPr>
              <w:t>9、接到要求制止违反治安管理行为的报警后，不及时出警的；</w:t>
            </w:r>
            <w:r>
              <w:rPr>
                <w:rFonts w:hint="eastAsia" w:ascii="仿宋_GB2312"/>
                <w:sz w:val="13"/>
                <w:szCs w:val="13"/>
              </w:rPr>
              <w:br w:type="textWrapping"/>
            </w:r>
            <w:r>
              <w:rPr>
                <w:rFonts w:hint="eastAsia" w:ascii="仿宋_GB2312"/>
                <w:sz w:val="13"/>
                <w:szCs w:val="13"/>
              </w:rPr>
              <w:t>10、在查处电信业务经营者、互联网服务提供者未依照规定为公安机关、国家安全机关依法进行防范、调查恐怖活动提供技术接口和解密等技术支持和协助等的案件时，为违法犯罪行为人通风报信的；</w:t>
            </w:r>
            <w:r>
              <w:rPr>
                <w:rFonts w:hint="eastAsia" w:ascii="仿宋_GB2312"/>
                <w:sz w:val="13"/>
                <w:szCs w:val="13"/>
              </w:rPr>
              <w:br w:type="textWrapping"/>
            </w:r>
            <w:r>
              <w:rPr>
                <w:rFonts w:hint="eastAsia" w:ascii="仿宋_GB2312"/>
                <w:sz w:val="13"/>
                <w:szCs w:val="13"/>
              </w:rPr>
              <w:t>11、有徇私舞弊、滥用职权，不依法履行法定职责的其他情形的。</w:t>
            </w:r>
          </w:p>
          <w:p>
            <w:pPr>
              <w:widowControl/>
              <w:tabs>
                <w:tab w:val="left" w:pos="492"/>
              </w:tabs>
              <w:spacing w:line="240" w:lineRule="exact"/>
              <w:rPr>
                <w:rFonts w:ascii="仿宋_GB2312"/>
                <w:sz w:val="13"/>
                <w:szCs w:val="13"/>
              </w:rPr>
            </w:pPr>
            <w:r>
              <w:rPr>
                <w:rFonts w:hint="eastAsia" w:ascii="仿宋_GB2312"/>
                <w:sz w:val="13"/>
                <w:szCs w:val="13"/>
              </w:rPr>
              <w:t>12、其他违反法律法规规章文件规定的行为。</w:t>
            </w:r>
          </w:p>
        </w:tc>
        <w:tc>
          <w:tcPr>
            <w:tcW w:w="1098" w:type="dxa"/>
            <w:gridSpan w:val="2"/>
          </w:tcPr>
          <w:p>
            <w:pPr>
              <w:widowControl/>
              <w:tabs>
                <w:tab w:val="left" w:pos="492"/>
              </w:tabs>
              <w:spacing w:line="240" w:lineRule="exac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7654" w:hRule="exact"/>
        </w:trPr>
        <w:tc>
          <w:tcPr>
            <w:tcW w:w="456" w:type="dxa"/>
            <w:vAlign w:val="center"/>
          </w:tcPr>
          <w:p>
            <w:pPr>
              <w:spacing w:line="240" w:lineRule="exact"/>
              <w:jc w:val="center"/>
              <w:textAlignment w:val="center"/>
              <w:rPr>
                <w:rFonts w:hint="default" w:eastAsia="仿宋_GB2312"/>
                <w:sz w:val="20"/>
                <w:szCs w:val="20"/>
                <w:lang w:val="en-US" w:eastAsia="zh-CN"/>
              </w:rPr>
            </w:pPr>
            <w:r>
              <w:rPr>
                <w:rFonts w:hint="eastAsia"/>
                <w:sz w:val="20"/>
                <w:szCs w:val="20"/>
                <w:lang w:val="en-US" w:eastAsia="zh-CN"/>
              </w:rPr>
              <w:t>34</w:t>
            </w:r>
          </w:p>
        </w:tc>
        <w:tc>
          <w:tcPr>
            <w:tcW w:w="589" w:type="dxa"/>
            <w:vAlign w:val="center"/>
          </w:tcPr>
          <w:p>
            <w:pPr>
              <w:widowControl/>
              <w:tabs>
                <w:tab w:val="left" w:pos="492"/>
              </w:tabs>
              <w:spacing w:line="240" w:lineRule="exact"/>
              <w:rPr>
                <w:sz w:val="20"/>
                <w:szCs w:val="20"/>
              </w:rPr>
            </w:pPr>
            <w:r>
              <w:rPr>
                <w:rFonts w:hint="eastAsia"/>
                <w:sz w:val="20"/>
                <w:szCs w:val="20"/>
              </w:rPr>
              <w:t>行政处罚</w:t>
            </w:r>
          </w:p>
        </w:tc>
        <w:tc>
          <w:tcPr>
            <w:tcW w:w="1189" w:type="dxa"/>
            <w:gridSpan w:val="2"/>
            <w:vAlign w:val="center"/>
          </w:tcPr>
          <w:p>
            <w:pPr>
              <w:widowControl/>
              <w:tabs>
                <w:tab w:val="left" w:pos="492"/>
              </w:tabs>
              <w:spacing w:line="240" w:lineRule="exact"/>
              <w:rPr>
                <w:sz w:val="20"/>
                <w:szCs w:val="20"/>
              </w:rPr>
            </w:pPr>
            <w:r>
              <w:rPr>
                <w:rFonts w:hint="eastAsia"/>
                <w:sz w:val="20"/>
                <w:szCs w:val="20"/>
              </w:rPr>
              <w:t>对违反网络安全行为的处罚</w:t>
            </w:r>
          </w:p>
        </w:tc>
        <w:tc>
          <w:tcPr>
            <w:tcW w:w="965" w:type="dxa"/>
            <w:gridSpan w:val="2"/>
            <w:vAlign w:val="center"/>
          </w:tcPr>
          <w:p>
            <w:pPr>
              <w:widowControl/>
              <w:tabs>
                <w:tab w:val="left" w:pos="492"/>
              </w:tabs>
              <w:spacing w:line="240" w:lineRule="exact"/>
              <w:rPr>
                <w:rFonts w:ascii="仿宋_GB2312"/>
                <w:color w:val="000000" w:themeColor="text1"/>
                <w:sz w:val="13"/>
                <w:szCs w:val="13"/>
              </w:rPr>
            </w:pPr>
            <w:r>
              <w:rPr>
                <w:rFonts w:hint="eastAsia" w:ascii="仿宋_GB2312" w:hAnsi="Arial" w:cs="Arial"/>
                <w:color w:val="000000" w:themeColor="text1"/>
                <w:kern w:val="0"/>
                <w:sz w:val="13"/>
                <w:szCs w:val="13"/>
              </w:rPr>
              <w:t>唐山市公安局开平分局网安大队</w:t>
            </w:r>
          </w:p>
        </w:tc>
        <w:tc>
          <w:tcPr>
            <w:tcW w:w="5065" w:type="dxa"/>
            <w:gridSpan w:val="8"/>
            <w:vAlign w:val="center"/>
          </w:tcPr>
          <w:p>
            <w:pPr>
              <w:widowControl/>
              <w:tabs>
                <w:tab w:val="left" w:pos="492"/>
              </w:tabs>
              <w:spacing w:line="240" w:lineRule="exact"/>
              <w:rPr>
                <w:sz w:val="13"/>
                <w:szCs w:val="13"/>
              </w:rPr>
            </w:pPr>
            <w:r>
              <w:rPr>
                <w:rFonts w:hint="eastAsia"/>
                <w:sz w:val="13"/>
                <w:szCs w:val="13"/>
              </w:rPr>
              <w:t>《中华人民共和国网络安全法》第五十九、六十、六十一、六十二、六十三、六十四、六十五、六十六、六十七、六十八、六十九条。</w:t>
            </w:r>
          </w:p>
          <w:p>
            <w:pPr>
              <w:widowControl/>
              <w:shd w:val="clear" w:color="auto" w:fill="FFFFFF"/>
              <w:spacing w:line="120" w:lineRule="exact"/>
              <w:ind w:firstLine="165" w:firstLineChars="150"/>
              <w:jc w:val="left"/>
              <w:rPr>
                <w:rFonts w:ascii="仿宋" w:hAnsi="仿宋" w:eastAsia="仿宋" w:cs="仿宋_GB2312"/>
                <w:color w:val="333333"/>
                <w:kern w:val="0"/>
                <w:sz w:val="11"/>
                <w:szCs w:val="11"/>
              </w:rPr>
            </w:pPr>
            <w:r>
              <w:rPr>
                <w:rFonts w:hint="eastAsia" w:ascii="仿宋" w:hAnsi="仿宋" w:eastAsia="仿宋" w:cs="仿宋_GB2312"/>
                <w:bCs/>
                <w:color w:val="333333"/>
                <w:kern w:val="0"/>
                <w:sz w:val="11"/>
                <w:szCs w:val="11"/>
              </w:rPr>
              <w:t>第五十九条</w:t>
            </w:r>
            <w:r>
              <w:rPr>
                <w:rFonts w:hint="eastAsia" w:ascii="仿宋_GB2312" w:hAnsi="仿宋_GB2312" w:eastAsia="仿宋" w:cs="仿宋_GB2312"/>
                <w:color w:val="333333"/>
                <w:kern w:val="0"/>
                <w:sz w:val="11"/>
                <w:szCs w:val="11"/>
              </w:rPr>
              <w:t> </w:t>
            </w:r>
            <w:r>
              <w:rPr>
                <w:rFonts w:hint="eastAsia" w:ascii="仿宋" w:hAnsi="仿宋" w:eastAsia="仿宋" w:cs="仿宋_GB2312"/>
                <w:color w:val="333333"/>
                <w:kern w:val="0"/>
                <w:sz w:val="11"/>
                <w:szCs w:val="11"/>
              </w:rPr>
              <w:t xml:space="preserve">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pPr>
              <w:widowControl/>
              <w:shd w:val="clear" w:color="auto" w:fill="FFFFFF"/>
              <w:spacing w:line="120" w:lineRule="exact"/>
              <w:ind w:firstLine="165" w:firstLineChars="150"/>
              <w:jc w:val="left"/>
              <w:rPr>
                <w:rFonts w:ascii="仿宋" w:hAnsi="仿宋" w:eastAsia="仿宋" w:cs="仿宋_GB2312"/>
                <w:color w:val="333333"/>
                <w:kern w:val="0"/>
                <w:sz w:val="11"/>
                <w:szCs w:val="11"/>
              </w:rPr>
            </w:pPr>
            <w:r>
              <w:rPr>
                <w:rFonts w:hint="eastAsia" w:ascii="仿宋" w:hAnsi="仿宋" w:eastAsia="仿宋" w:cs="仿宋_GB2312"/>
                <w:bCs/>
                <w:color w:val="333333"/>
                <w:kern w:val="0"/>
                <w:sz w:val="11"/>
                <w:szCs w:val="11"/>
              </w:rPr>
              <w:t>第六十条</w:t>
            </w:r>
            <w:r>
              <w:rPr>
                <w:rFonts w:hint="eastAsia" w:ascii="仿宋_GB2312" w:hAnsi="仿宋_GB2312" w:eastAsia="仿宋" w:cs="仿宋_GB2312"/>
                <w:color w:val="333333"/>
                <w:kern w:val="0"/>
                <w:sz w:val="11"/>
                <w:szCs w:val="11"/>
              </w:rPr>
              <w:t> </w:t>
            </w:r>
            <w:r>
              <w:rPr>
                <w:rFonts w:hint="eastAsia" w:ascii="仿宋" w:hAnsi="仿宋" w:eastAsia="仿宋" w:cs="仿宋_GB2312"/>
                <w:color w:val="333333"/>
                <w:kern w:val="0"/>
                <w:sz w:val="11"/>
                <w:szCs w:val="11"/>
              </w:rPr>
              <w:t xml:space="preserve"> 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一）设置恶意程序的；（二）对其产品、服务存在的安全缺陷、漏洞等风险未立即采取补救措施，或者未按照规定及时告知用户并向有关主管部门报告的；（三）擅自终止为其产品、服务提供安全维护的。</w:t>
            </w:r>
          </w:p>
          <w:p>
            <w:pPr>
              <w:widowControl/>
              <w:shd w:val="clear" w:color="auto" w:fill="FFFFFF"/>
              <w:spacing w:line="120" w:lineRule="exact"/>
              <w:ind w:firstLine="165" w:firstLineChars="150"/>
              <w:jc w:val="left"/>
              <w:rPr>
                <w:rFonts w:ascii="仿宋" w:hAnsi="仿宋" w:eastAsia="仿宋" w:cs="仿宋_GB2312"/>
                <w:color w:val="333333"/>
                <w:kern w:val="0"/>
                <w:sz w:val="11"/>
                <w:szCs w:val="11"/>
              </w:rPr>
            </w:pPr>
            <w:r>
              <w:rPr>
                <w:rFonts w:hint="eastAsia" w:ascii="仿宋" w:hAnsi="仿宋" w:eastAsia="仿宋" w:cs="仿宋_GB2312"/>
                <w:bCs/>
                <w:color w:val="333333"/>
                <w:kern w:val="0"/>
                <w:sz w:val="11"/>
                <w:szCs w:val="11"/>
              </w:rPr>
              <w:t>第六十一条</w:t>
            </w:r>
            <w:r>
              <w:rPr>
                <w:rFonts w:hint="eastAsia" w:ascii="仿宋_GB2312" w:hAnsi="仿宋_GB2312" w:eastAsia="仿宋" w:cs="仿宋_GB2312"/>
                <w:color w:val="333333"/>
                <w:kern w:val="0"/>
                <w:sz w:val="11"/>
                <w:szCs w:val="11"/>
              </w:rPr>
              <w:t> </w:t>
            </w:r>
            <w:r>
              <w:rPr>
                <w:rFonts w:hint="eastAsia" w:ascii="仿宋" w:hAnsi="仿宋" w:eastAsia="仿宋" w:cs="仿宋_GB2312"/>
                <w:color w:val="333333"/>
                <w:kern w:val="0"/>
                <w:sz w:val="11"/>
                <w:szCs w:val="11"/>
              </w:rPr>
              <w:t xml:space="preserve"> 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r>
              <w:rPr>
                <w:rFonts w:ascii="仿宋" w:hAnsi="仿宋" w:eastAsia="仿宋" w:cs="仿宋_GB2312"/>
                <w:color w:val="333333"/>
                <w:kern w:val="0"/>
                <w:sz w:val="11"/>
                <w:szCs w:val="11"/>
              </w:rPr>
              <w:br w:type="textWrapping"/>
            </w:r>
            <w:r>
              <w:rPr>
                <w:rFonts w:hint="eastAsia" w:ascii="仿宋" w:hAnsi="仿宋" w:eastAsia="仿宋" w:cs="仿宋_GB2312"/>
                <w:color w:val="333333"/>
                <w:kern w:val="0"/>
                <w:sz w:val="11"/>
                <w:szCs w:val="11"/>
              </w:rPr>
              <w:t xml:space="preserve">   </w:t>
            </w:r>
            <w:r>
              <w:rPr>
                <w:rFonts w:hint="eastAsia" w:ascii="仿宋" w:hAnsi="仿宋" w:eastAsia="仿宋" w:cs="仿宋_GB2312"/>
                <w:bCs/>
                <w:color w:val="333333"/>
                <w:kern w:val="0"/>
                <w:sz w:val="11"/>
                <w:szCs w:val="11"/>
              </w:rPr>
              <w:t>第六十二条</w:t>
            </w:r>
            <w:r>
              <w:rPr>
                <w:rFonts w:hint="eastAsia" w:ascii="仿宋" w:hAnsi="仿宋" w:eastAsia="仿宋" w:cs="仿宋_GB2312"/>
                <w:color w:val="333333"/>
                <w:kern w:val="0"/>
                <w:sz w:val="11"/>
                <w:szCs w:val="11"/>
              </w:rPr>
              <w:t>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pPr>
              <w:widowControl/>
              <w:shd w:val="clear" w:color="auto" w:fill="FFFFFF"/>
              <w:spacing w:line="120" w:lineRule="exact"/>
              <w:ind w:firstLine="165" w:firstLineChars="150"/>
              <w:jc w:val="left"/>
              <w:rPr>
                <w:rFonts w:ascii="仿宋" w:hAnsi="仿宋" w:eastAsia="仿宋" w:cs="仿宋_GB2312"/>
                <w:color w:val="333333"/>
                <w:kern w:val="0"/>
                <w:sz w:val="11"/>
                <w:szCs w:val="11"/>
              </w:rPr>
            </w:pPr>
            <w:r>
              <w:rPr>
                <w:rFonts w:hint="eastAsia" w:ascii="仿宋" w:hAnsi="仿宋" w:eastAsia="仿宋" w:cs="仿宋_GB2312"/>
                <w:bCs/>
                <w:color w:val="333333"/>
                <w:kern w:val="0"/>
                <w:sz w:val="11"/>
                <w:szCs w:val="11"/>
              </w:rPr>
              <w:t>第六十三条</w:t>
            </w:r>
            <w:r>
              <w:rPr>
                <w:rFonts w:hint="eastAsia" w:ascii="仿宋_GB2312" w:hAnsi="仿宋_GB2312" w:eastAsia="仿宋" w:cs="仿宋_GB2312"/>
                <w:color w:val="333333"/>
                <w:kern w:val="0"/>
                <w:sz w:val="11"/>
                <w:szCs w:val="11"/>
              </w:rPr>
              <w:t> </w:t>
            </w:r>
            <w:r>
              <w:rPr>
                <w:rFonts w:hint="eastAsia" w:ascii="仿宋" w:hAnsi="仿宋" w:eastAsia="仿宋" w:cs="仿宋_GB2312"/>
                <w:color w:val="333333"/>
                <w:kern w:val="0"/>
                <w:sz w:val="11"/>
                <w:szCs w:val="11"/>
              </w:rPr>
              <w:t xml:space="preserve">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单位有前款行为的，由公安机关没收违法所得，处十万元以上一百万元以下罚款，并对直接负责的主管人员和其他直接责任人员依照前款规定处罚。违反本法第二十七条规定，受到治安管理处罚的人员，五年内不得从事网络安全管理和网络运营关键岗位的工作；受到刑事处罚的人员，终身不得从事网络安全管理和网络运营关键岗位的工作。</w:t>
            </w:r>
          </w:p>
          <w:p>
            <w:pPr>
              <w:widowControl/>
              <w:shd w:val="clear" w:color="auto" w:fill="FFFFFF"/>
              <w:spacing w:line="120" w:lineRule="exact"/>
              <w:ind w:firstLine="220" w:firstLineChars="200"/>
              <w:jc w:val="left"/>
              <w:rPr>
                <w:rFonts w:ascii="仿宋" w:hAnsi="仿宋" w:eastAsia="仿宋" w:cs="仿宋_GB2312"/>
                <w:color w:val="333333"/>
                <w:kern w:val="0"/>
                <w:sz w:val="11"/>
                <w:szCs w:val="11"/>
              </w:rPr>
            </w:pPr>
            <w:r>
              <w:rPr>
                <w:rFonts w:hint="eastAsia" w:ascii="仿宋" w:hAnsi="仿宋" w:eastAsia="仿宋" w:cs="仿宋_GB2312"/>
                <w:bCs/>
                <w:color w:val="333333"/>
                <w:kern w:val="0"/>
                <w:sz w:val="11"/>
                <w:szCs w:val="11"/>
              </w:rPr>
              <w:t>第六十四条</w:t>
            </w:r>
            <w:r>
              <w:rPr>
                <w:rFonts w:hint="eastAsia" w:ascii="仿宋" w:hAnsi="仿宋" w:eastAsia="仿宋" w:cs="仿宋_GB2312"/>
                <w:color w:val="333333"/>
                <w:kern w:val="0"/>
                <w:sz w:val="11"/>
                <w:szCs w:val="11"/>
              </w:rPr>
              <w:t>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pPr>
              <w:widowControl/>
              <w:shd w:val="clear" w:color="auto" w:fill="FFFFFF"/>
              <w:spacing w:line="120" w:lineRule="exact"/>
              <w:ind w:firstLine="220" w:firstLineChars="200"/>
              <w:jc w:val="left"/>
              <w:rPr>
                <w:rFonts w:ascii="仿宋" w:hAnsi="仿宋" w:eastAsia="仿宋" w:cs="仿宋_GB2312"/>
                <w:color w:val="333333"/>
                <w:kern w:val="0"/>
                <w:sz w:val="11"/>
                <w:szCs w:val="11"/>
              </w:rPr>
            </w:pPr>
            <w:r>
              <w:rPr>
                <w:rFonts w:hint="eastAsia" w:ascii="仿宋" w:hAnsi="仿宋" w:eastAsia="仿宋" w:cs="仿宋_GB2312"/>
                <w:bCs/>
                <w:color w:val="333333"/>
                <w:kern w:val="0"/>
                <w:sz w:val="11"/>
                <w:szCs w:val="11"/>
              </w:rPr>
              <w:t>第六十五条</w:t>
            </w:r>
            <w:r>
              <w:rPr>
                <w:rFonts w:hint="eastAsia" w:ascii="仿宋_GB2312" w:hAnsi="仿宋_GB2312" w:eastAsia="仿宋" w:cs="仿宋_GB2312"/>
                <w:color w:val="333333"/>
                <w:kern w:val="0"/>
                <w:sz w:val="11"/>
                <w:szCs w:val="11"/>
              </w:rPr>
              <w:t> </w:t>
            </w:r>
            <w:r>
              <w:rPr>
                <w:rFonts w:hint="eastAsia" w:ascii="仿宋" w:hAnsi="仿宋" w:eastAsia="仿宋" w:cs="仿宋_GB2312"/>
                <w:color w:val="333333"/>
                <w:kern w:val="0"/>
                <w:sz w:val="11"/>
                <w:szCs w:val="11"/>
              </w:rPr>
              <w:t xml:space="preserve"> 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pPr>
              <w:widowControl/>
              <w:shd w:val="clear" w:color="auto" w:fill="FFFFFF"/>
              <w:spacing w:line="120" w:lineRule="exact"/>
              <w:ind w:firstLine="220" w:firstLineChars="200"/>
              <w:jc w:val="left"/>
              <w:rPr>
                <w:rFonts w:ascii="仿宋" w:hAnsi="仿宋" w:eastAsia="仿宋" w:cs="仿宋_GB2312"/>
                <w:color w:val="333333"/>
                <w:kern w:val="0"/>
                <w:sz w:val="11"/>
                <w:szCs w:val="11"/>
              </w:rPr>
            </w:pPr>
            <w:r>
              <w:rPr>
                <w:rFonts w:hint="eastAsia" w:ascii="仿宋" w:hAnsi="仿宋" w:eastAsia="仿宋" w:cs="仿宋_GB2312"/>
                <w:bCs/>
                <w:color w:val="333333"/>
                <w:kern w:val="0"/>
                <w:sz w:val="11"/>
                <w:szCs w:val="11"/>
              </w:rPr>
              <w:t>第六十六条</w:t>
            </w:r>
            <w:r>
              <w:rPr>
                <w:rFonts w:hint="eastAsia" w:ascii="仿宋_GB2312" w:hAnsi="仿宋_GB2312" w:eastAsia="仿宋" w:cs="仿宋_GB2312"/>
                <w:color w:val="333333"/>
                <w:kern w:val="0"/>
                <w:sz w:val="11"/>
                <w:szCs w:val="11"/>
              </w:rPr>
              <w:t> </w:t>
            </w:r>
            <w:r>
              <w:rPr>
                <w:rFonts w:hint="eastAsia" w:ascii="仿宋" w:hAnsi="仿宋" w:eastAsia="仿宋" w:cs="仿宋_GB2312"/>
                <w:color w:val="333333"/>
                <w:kern w:val="0"/>
                <w:sz w:val="11"/>
                <w:szCs w:val="11"/>
              </w:rPr>
              <w:t xml:space="preserve"> 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pPr>
              <w:widowControl/>
              <w:shd w:val="clear" w:color="auto" w:fill="FFFFFF"/>
              <w:spacing w:line="120" w:lineRule="exact"/>
              <w:ind w:firstLine="220" w:firstLineChars="200"/>
              <w:jc w:val="left"/>
              <w:rPr>
                <w:rFonts w:ascii="仿宋" w:hAnsi="仿宋" w:eastAsia="仿宋" w:cs="仿宋_GB2312"/>
                <w:color w:val="333333"/>
                <w:kern w:val="0"/>
                <w:sz w:val="11"/>
                <w:szCs w:val="11"/>
              </w:rPr>
            </w:pPr>
            <w:r>
              <w:rPr>
                <w:rFonts w:hint="eastAsia" w:ascii="仿宋" w:hAnsi="仿宋" w:eastAsia="仿宋" w:cs="仿宋_GB2312"/>
                <w:bCs/>
                <w:color w:val="333333"/>
                <w:kern w:val="0"/>
                <w:sz w:val="11"/>
                <w:szCs w:val="11"/>
              </w:rPr>
              <w:t>第六十七条</w:t>
            </w:r>
            <w:r>
              <w:rPr>
                <w:rFonts w:hint="eastAsia" w:ascii="仿宋_GB2312" w:hAnsi="仿宋_GB2312" w:eastAsia="仿宋" w:cs="仿宋_GB2312"/>
                <w:color w:val="333333"/>
                <w:kern w:val="0"/>
                <w:sz w:val="11"/>
                <w:szCs w:val="11"/>
              </w:rPr>
              <w:t> </w:t>
            </w:r>
            <w:r>
              <w:rPr>
                <w:rFonts w:hint="eastAsia" w:ascii="仿宋" w:hAnsi="仿宋" w:eastAsia="仿宋" w:cs="仿宋_GB2312"/>
                <w:color w:val="333333"/>
                <w:kern w:val="0"/>
                <w:sz w:val="11"/>
                <w:szCs w:val="11"/>
              </w:rPr>
              <w:t xml:space="preserve"> 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单位有前款行为的，由公安机关处十万元以上五十万元以下罚款，并对直接负责的主管人员和其他直接责任人员依照前款规定处罚。</w:t>
            </w:r>
          </w:p>
          <w:p>
            <w:pPr>
              <w:widowControl/>
              <w:shd w:val="clear" w:color="auto" w:fill="FFFFFF"/>
              <w:spacing w:line="120" w:lineRule="exact"/>
              <w:ind w:firstLine="165" w:firstLineChars="150"/>
              <w:jc w:val="left"/>
              <w:rPr>
                <w:rFonts w:ascii="仿宋" w:hAnsi="仿宋" w:eastAsia="仿宋" w:cs="仿宋_GB2312"/>
                <w:color w:val="333333"/>
                <w:kern w:val="0"/>
                <w:sz w:val="11"/>
                <w:szCs w:val="11"/>
              </w:rPr>
            </w:pPr>
            <w:r>
              <w:rPr>
                <w:rFonts w:hint="eastAsia" w:ascii="仿宋" w:hAnsi="仿宋" w:eastAsia="仿宋" w:cs="仿宋_GB2312"/>
                <w:bCs/>
                <w:color w:val="333333"/>
                <w:kern w:val="0"/>
                <w:sz w:val="11"/>
                <w:szCs w:val="11"/>
              </w:rPr>
              <w:t>第六十八条</w:t>
            </w:r>
            <w:r>
              <w:rPr>
                <w:rFonts w:hint="eastAsia" w:ascii="仿宋" w:hAnsi="仿宋" w:eastAsia="仿宋" w:cs="仿宋_GB2312"/>
                <w:color w:val="333333"/>
                <w:kern w:val="0"/>
                <w:sz w:val="11"/>
                <w:szCs w:val="11"/>
              </w:rPr>
              <w:t>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电子信息发送服务提供者、应用软件下载服务提供者，不履行本法第四十八条第二款规定的安全管理义务的，依照前款规定处罚。</w:t>
            </w:r>
          </w:p>
          <w:p>
            <w:pPr>
              <w:widowControl/>
              <w:shd w:val="clear" w:color="auto" w:fill="FFFFFF"/>
              <w:spacing w:line="120" w:lineRule="exact"/>
              <w:ind w:firstLine="165" w:firstLineChars="150"/>
              <w:jc w:val="left"/>
              <w:rPr>
                <w:rFonts w:ascii="仿宋" w:hAnsi="仿宋" w:eastAsia="仿宋" w:cs="仿宋_GB2312"/>
                <w:color w:val="333333"/>
                <w:kern w:val="0"/>
                <w:sz w:val="11"/>
                <w:szCs w:val="11"/>
              </w:rPr>
            </w:pPr>
            <w:r>
              <w:rPr>
                <w:rFonts w:hint="eastAsia" w:ascii="仿宋" w:hAnsi="仿宋" w:eastAsia="仿宋" w:cs="仿宋_GB2312"/>
                <w:bCs/>
                <w:color w:val="333333"/>
                <w:kern w:val="0"/>
                <w:sz w:val="11"/>
                <w:szCs w:val="11"/>
              </w:rPr>
              <w:t>第六十九条</w:t>
            </w:r>
            <w:r>
              <w:rPr>
                <w:rFonts w:hint="eastAsia" w:ascii="仿宋_GB2312" w:hAnsi="仿宋_GB2312" w:eastAsia="仿宋" w:cs="仿宋_GB2312"/>
                <w:color w:val="333333"/>
                <w:kern w:val="0"/>
                <w:sz w:val="11"/>
                <w:szCs w:val="11"/>
              </w:rPr>
              <w:t> </w:t>
            </w:r>
            <w:r>
              <w:rPr>
                <w:rFonts w:hint="eastAsia" w:ascii="仿宋" w:hAnsi="仿宋" w:eastAsia="仿宋" w:cs="仿宋_GB2312"/>
                <w:color w:val="333333"/>
                <w:kern w:val="0"/>
                <w:sz w:val="11"/>
                <w:szCs w:val="11"/>
              </w:rPr>
              <w:t xml:space="preserve"> 网络运营者违反本法规定，有下列行为之一的，由有关主管部门责令改正；拒不改正或者情节严重的，处五万元以上五十万元以下罚款，对直接负责的主管人员和其他直接责任人员，处一万元以上十万元以下罚款：（一）不按照有关部门的要求对法律、行政法规禁止发布或者传输的信息，采取停止传输、消除等处置措施的；（二）拒绝、阻碍有关部门依法实施的监督检查的；（三）拒不向公安机关、国家安全机关提供技术支持和协助的。</w:t>
            </w:r>
          </w:p>
          <w:p>
            <w:pPr>
              <w:widowControl/>
              <w:tabs>
                <w:tab w:val="left" w:pos="492"/>
              </w:tabs>
              <w:spacing w:line="240" w:lineRule="exact"/>
              <w:rPr>
                <w:sz w:val="20"/>
                <w:szCs w:val="20"/>
              </w:rPr>
            </w:pPr>
          </w:p>
        </w:tc>
        <w:tc>
          <w:tcPr>
            <w:tcW w:w="1294" w:type="dxa"/>
            <w:gridSpan w:val="3"/>
            <w:vAlign w:val="center"/>
          </w:tcPr>
          <w:p>
            <w:pPr>
              <w:widowControl/>
              <w:tabs>
                <w:tab w:val="left" w:pos="492"/>
              </w:tabs>
              <w:spacing w:line="240" w:lineRule="exact"/>
              <w:rPr>
                <w:sz w:val="13"/>
                <w:szCs w:val="13"/>
              </w:rPr>
            </w:pPr>
            <w:r>
              <w:rPr>
                <w:rFonts w:hint="eastAsia"/>
                <w:sz w:val="13"/>
                <w:szCs w:val="13"/>
              </w:rPr>
              <w:t>1、受案责任：日常工作中对发现或者接到报警投诉电信业务经营者、互联网服务提供者未依照规定为公安机关、国家安全机关依法进行防范、调查恐怖活动提供技术接口和解密等技术支持和协助等的行为予以审查，决定是否受案。</w:t>
            </w:r>
            <w:r>
              <w:rPr>
                <w:rFonts w:hint="eastAsia"/>
                <w:sz w:val="13"/>
                <w:szCs w:val="13"/>
              </w:rPr>
              <w:br w:type="textWrapping"/>
            </w:r>
            <w:r>
              <w:rPr>
                <w:rFonts w:hint="eastAsia"/>
                <w:sz w:val="13"/>
                <w:szCs w:val="13"/>
              </w:rPr>
              <w:t>2、调查责任：对受案的案件，案件承办人员及时、全面、客观、公正地调查收集与案件有关的证据，查明事实，必要时可进行现场检查。与当事人有直接利害关系的予以回避。执法人员不得少于两人，调查时应出示执法证件（人民警察证），允许当事人辩解陈述。</w:t>
            </w:r>
            <w:r>
              <w:rPr>
                <w:rFonts w:hint="eastAsia"/>
                <w:sz w:val="13"/>
                <w:szCs w:val="13"/>
              </w:rPr>
              <w:br w:type="textWrapping"/>
            </w:r>
            <w:r>
              <w:rPr>
                <w:rFonts w:hint="eastAsia"/>
                <w:sz w:val="13"/>
                <w:szCs w:val="13"/>
              </w:rPr>
              <w:t>3、审查责任：对案件违法事实、证据、调查取证程序、法律适用、处罚种类和幅度、当事人陈述和申辩理由等方面进行审查，提出处理意见。</w:t>
            </w:r>
            <w:r>
              <w:rPr>
                <w:rFonts w:hint="eastAsia"/>
                <w:sz w:val="13"/>
                <w:szCs w:val="13"/>
              </w:rPr>
              <w:br w:type="textWrapping"/>
            </w:r>
            <w:r>
              <w:rPr>
                <w:rFonts w:hint="eastAsia"/>
                <w:sz w:val="13"/>
                <w:szCs w:val="13"/>
              </w:rPr>
              <w:t>4、告知责任：在做出行政处罚决定前，书面告知当事人拟作出处罚决定的事实、理由、依据、处罚内容，以及当事人享有的陈述权、申辩权或听证权。</w:t>
            </w:r>
            <w:r>
              <w:rPr>
                <w:rFonts w:hint="eastAsia"/>
                <w:sz w:val="13"/>
                <w:szCs w:val="13"/>
              </w:rPr>
              <w:br w:type="textWrapping"/>
            </w:r>
            <w:r>
              <w:rPr>
                <w:rFonts w:hint="eastAsia"/>
                <w:sz w:val="13"/>
                <w:szCs w:val="13"/>
              </w:rPr>
              <w:t>5、决定责任：依法需要给予行政处罚的，应制作《公安行政处罚决定书》，载明违法事实和证据、处罚依据和内容、申请行政复议或提起行政诉讼的途径和期限等内容。</w:t>
            </w:r>
            <w:r>
              <w:rPr>
                <w:rFonts w:hint="eastAsia"/>
                <w:sz w:val="13"/>
                <w:szCs w:val="13"/>
              </w:rPr>
              <w:br w:type="textWrapping"/>
            </w:r>
            <w:r>
              <w:rPr>
                <w:rFonts w:hint="eastAsia"/>
                <w:sz w:val="13"/>
                <w:szCs w:val="13"/>
              </w:rPr>
              <w:t>6、送达责任：行政处罚决定书在7日内送达当事人。</w:t>
            </w:r>
            <w:r>
              <w:rPr>
                <w:rFonts w:hint="eastAsia"/>
                <w:sz w:val="13"/>
                <w:szCs w:val="13"/>
              </w:rPr>
              <w:br w:type="textWrapping"/>
            </w:r>
            <w:r>
              <w:rPr>
                <w:rFonts w:hint="eastAsia"/>
                <w:sz w:val="13"/>
                <w:szCs w:val="13"/>
              </w:rPr>
              <w:t>7、执行责任：监督当事人在决定的期限内，履行生效的行政处罚决定。当事人在法定期限内不申请行政复议或提起行政诉讼，又不履行的，可依法采取强制执行或者申请人民法院强制执行。</w:t>
            </w:r>
            <w:r>
              <w:rPr>
                <w:rFonts w:hint="eastAsia"/>
                <w:sz w:val="13"/>
                <w:szCs w:val="13"/>
              </w:rPr>
              <w:br w:type="textWrapping"/>
            </w:r>
            <w:r>
              <w:rPr>
                <w:rFonts w:hint="eastAsia"/>
                <w:sz w:val="13"/>
                <w:szCs w:val="13"/>
              </w:rPr>
              <w:t>8、其他法律法规规章文件规定应履行的责任。</w:t>
            </w:r>
          </w:p>
        </w:tc>
        <w:tc>
          <w:tcPr>
            <w:tcW w:w="2370" w:type="dxa"/>
            <w:gridSpan w:val="4"/>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因不履行或不正确履行行政职责，有下列情形的，公安机关及相关工作人员应承担相应责任：               1、刑讯逼供、体罚、虐待、侮辱他人的；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2、超过询问查证的时间限制人身自由的；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3、不执行罚款决定与罚款收缴分离制度或者不按规定将罚没的财物上缴国库或者依法处理的；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4、私分、侵占、挪用、故意损毁收缴、扣押的财物的；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5、违反规定使用或者不及时返还被侵害人财物的；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6、违反规定不及时退还保证金的；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7、利用职务上的便利收受他人财物或者谋取其他利益的；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8、当场收缴罚款不出具罚款收据或者不如实填写罚款数额的；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9、接到要求制止违反治安管理行为的报警后，不及时出警的；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10、在查处电信业务经营者、互联网服务提供者未依照规定为公安机关、国家安全机关依法进行防范、调查恐怖活动提供技术接口和解密等技术支持和协助等的案件时，为违法犯罪行为人通风报信的；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11、有徇私舞弊、滥用职权，不依法履行法定职责的其他情形的。</w:t>
            </w:r>
          </w:p>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12、其他违反法律法规规章文件规定的行为。</w:t>
            </w:r>
          </w:p>
        </w:tc>
        <w:tc>
          <w:tcPr>
            <w:tcW w:w="1098" w:type="dxa"/>
            <w:gridSpan w:val="2"/>
          </w:tcPr>
          <w:p>
            <w:pPr>
              <w:widowControl/>
              <w:tabs>
                <w:tab w:val="left" w:pos="492"/>
              </w:tabs>
              <w:spacing w:line="240" w:lineRule="exac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8660" w:hRule="exact"/>
        </w:trPr>
        <w:tc>
          <w:tcPr>
            <w:tcW w:w="4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hint="default" w:eastAsia="仿宋_GB2312"/>
                <w:sz w:val="20"/>
                <w:szCs w:val="20"/>
                <w:lang w:val="en-US" w:eastAsia="zh-CN"/>
              </w:rPr>
            </w:pPr>
            <w:r>
              <w:rPr>
                <w:rFonts w:hint="eastAsia"/>
                <w:sz w:val="20"/>
                <w:szCs w:val="20"/>
                <w:lang w:val="en-US" w:eastAsia="zh-CN"/>
              </w:rPr>
              <w:t>35</w:t>
            </w:r>
          </w:p>
        </w:tc>
        <w:tc>
          <w:tcPr>
            <w:tcW w:w="58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sz w:val="20"/>
                <w:szCs w:val="20"/>
              </w:rPr>
            </w:pPr>
            <w:r>
              <w:rPr>
                <w:rFonts w:hint="eastAsia"/>
                <w:sz w:val="20"/>
                <w:szCs w:val="20"/>
              </w:rPr>
              <w:t>行政处罚</w:t>
            </w:r>
          </w:p>
        </w:tc>
        <w:tc>
          <w:tcPr>
            <w:tcW w:w="118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对违反《中华人民共和国出境入境管理法》的处罚</w:t>
            </w:r>
          </w:p>
        </w:tc>
        <w:tc>
          <w:tcPr>
            <w:tcW w:w="96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唐山市公安局开平分局出入境管理大队</w:t>
            </w:r>
          </w:p>
        </w:tc>
        <w:tc>
          <w:tcPr>
            <w:tcW w:w="5065"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《中华人民共和国出境入境管理法》（全文）</w:t>
            </w:r>
          </w:p>
        </w:tc>
        <w:tc>
          <w:tcPr>
            <w:tcW w:w="129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1、受案责任：日常工作中对发现或者接到报警投诉违反《中华人民共和国出境入境管理法》的行为或有关部门移送的此类违法案件，予以审查，决定是否受案。</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调查责任：对受案的案件，案件承办人员及时、全面、客观、公正地调查收集与案件有关的证据，查明事实，必要时可进行现场检查。与当事人有直接利害关系的予以回避。执法人员不得少于两人，调查时应出示执法证件（人民警察证），允许当事人辩解陈述。</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3、审查责任：对案件违法事实、证据、调查取证程序、法律适用、处罚种类和幅度、当事人陈述和申辩理由等方面进行审查，提出处理意见。</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4、告知责任：在做出行政处罚决定前，书面告知当事人拟作出处罚决定的事实、理由、依据、处罚内容，以及当事人享有的陈述权、申辩权或听证权。</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5、决定责任：依法需要给予行政处罚的，应制作《公安行政处罚决定书》，载明违法事实和证据、处罚依据和内容、申请行政复议或提起行政诉讼的途径和期限等内容。</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6、送达责任：行政处罚决定书在7日内送达当事人。</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7、执行责任：监督当事人在决定的期限内，履行生效的行政处罚决定。当事人在法定期限内不申请行政复议或提起行政诉讼，又不履行的，可依法采取强制执行或者申请人民法院强制执行。</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8、其他法律法规规章文件规定应履行的责任。</w:t>
            </w:r>
          </w:p>
        </w:tc>
        <w:tc>
          <w:tcPr>
            <w:tcW w:w="237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因不履行或不正确履行行政职责，有下列情形的，公安机关及相关工作人员应承担相应责任：</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1、没有法律或者事实依据实施行政处罚的；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2、未按法定程序实施行政处罚的；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3、不具备法定行政执法资格实施行政处罚的；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4、擅自设立处罚种类或者改变处罚幅度、范围的；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5、违反“罚缴分离”规定，擅自收取罚款的；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6、对当事人进行罚款、没收财物等行政处罚不使用法定单据的；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7、依法应当移送司法机关处理而不移送的；                               8、执法人员玩忽职守，对应当予以制止和处罚的违法行为不予制止、处罚，致使公民、法人或者其他组织的合法权益、公共利益和社会秩序遭受损害的；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9、在办理协助案件过程中发生腐败行为的；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 xml:space="preserve">10、其他违反法律法规规章文件规定的行为。  </w:t>
            </w:r>
          </w:p>
        </w:tc>
        <w:tc>
          <w:tcPr>
            <w:tcW w:w="1098" w:type="dxa"/>
            <w:gridSpan w:val="2"/>
            <w:tcBorders>
              <w:top w:val="single" w:color="auto" w:sz="4" w:space="0"/>
              <w:left w:val="single" w:color="auto" w:sz="4" w:space="0"/>
              <w:bottom w:val="single" w:color="auto" w:sz="4" w:space="0"/>
              <w:right w:val="single" w:color="auto" w:sz="4" w:space="0"/>
            </w:tcBorders>
          </w:tcPr>
          <w:p>
            <w:pPr>
              <w:widowControl/>
              <w:tabs>
                <w:tab w:val="left" w:pos="492"/>
              </w:tabs>
              <w:spacing w:line="240" w:lineRule="exac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6301" w:hRule="exact"/>
        </w:trPr>
        <w:tc>
          <w:tcPr>
            <w:tcW w:w="456" w:type="dxa"/>
            <w:vAlign w:val="center"/>
          </w:tcPr>
          <w:p>
            <w:pPr>
              <w:spacing w:line="240" w:lineRule="exact"/>
              <w:jc w:val="center"/>
              <w:textAlignment w:val="center"/>
              <w:rPr>
                <w:rFonts w:hint="default" w:eastAsia="仿宋_GB2312"/>
                <w:color w:val="auto"/>
                <w:sz w:val="20"/>
                <w:szCs w:val="20"/>
                <w:highlight w:val="none"/>
                <w:lang w:val="en-US" w:eastAsia="zh-CN"/>
              </w:rPr>
            </w:pPr>
            <w:r>
              <w:rPr>
                <w:rFonts w:hint="eastAsia"/>
                <w:color w:val="auto"/>
                <w:sz w:val="20"/>
                <w:szCs w:val="20"/>
                <w:highlight w:val="none"/>
                <w:lang w:val="en-US" w:eastAsia="zh-CN"/>
              </w:rPr>
              <w:t>36</w:t>
            </w:r>
          </w:p>
        </w:tc>
        <w:tc>
          <w:tcPr>
            <w:tcW w:w="1428" w:type="dxa"/>
            <w:gridSpan w:val="2"/>
            <w:vAlign w:val="center"/>
          </w:tcPr>
          <w:p>
            <w:pPr>
              <w:widowControl/>
              <w:tabs>
                <w:tab w:val="left" w:pos="492"/>
              </w:tabs>
              <w:spacing w:line="240" w:lineRule="exact"/>
              <w:textAlignment w:val="center"/>
              <w:rPr>
                <w:color w:val="auto"/>
                <w:sz w:val="20"/>
                <w:szCs w:val="20"/>
                <w:highlight w:val="none"/>
              </w:rPr>
            </w:pPr>
            <w:r>
              <w:rPr>
                <w:rFonts w:hint="eastAsia"/>
                <w:color w:val="auto"/>
                <w:sz w:val="20"/>
                <w:szCs w:val="20"/>
                <w:highlight w:val="none"/>
              </w:rPr>
              <w:t>行政处罚</w:t>
            </w:r>
          </w:p>
        </w:tc>
        <w:tc>
          <w:tcPr>
            <w:tcW w:w="1825" w:type="dxa"/>
            <w:gridSpan w:val="6"/>
            <w:vAlign w:val="center"/>
          </w:tcPr>
          <w:p>
            <w:pPr>
              <w:widowControl/>
              <w:tabs>
                <w:tab w:val="left" w:pos="492"/>
              </w:tabs>
              <w:spacing w:line="240" w:lineRule="exact"/>
              <w:textAlignment w:val="center"/>
              <w:rPr>
                <w:rFonts w:ascii="仿宋_GB2312" w:hAnsi="Arial" w:cs="Arial"/>
                <w:color w:val="auto"/>
                <w:kern w:val="0"/>
                <w:sz w:val="13"/>
                <w:szCs w:val="13"/>
                <w:highlight w:val="none"/>
              </w:rPr>
            </w:pPr>
            <w:r>
              <w:rPr>
                <w:rFonts w:hint="eastAsia" w:ascii="仿宋_GB2312" w:hAnsi="Arial" w:cs="Arial"/>
                <w:color w:val="auto"/>
                <w:kern w:val="0"/>
                <w:sz w:val="13"/>
                <w:szCs w:val="13"/>
                <w:highlight w:val="none"/>
              </w:rPr>
              <w:t>对违反《中华人民共和国治安管理处罚法》的处罚</w:t>
            </w:r>
          </w:p>
        </w:tc>
        <w:tc>
          <w:tcPr>
            <w:tcW w:w="1163" w:type="dxa"/>
            <w:gridSpan w:val="2"/>
            <w:vAlign w:val="center"/>
          </w:tcPr>
          <w:p>
            <w:pPr>
              <w:widowControl/>
              <w:tabs>
                <w:tab w:val="left" w:pos="492"/>
              </w:tabs>
              <w:spacing w:line="240" w:lineRule="exact"/>
              <w:textAlignment w:val="center"/>
              <w:rPr>
                <w:rFonts w:ascii="仿宋_GB2312" w:hAnsi="Arial" w:cs="Arial"/>
                <w:color w:val="auto"/>
                <w:kern w:val="0"/>
                <w:sz w:val="13"/>
                <w:szCs w:val="13"/>
                <w:highlight w:val="none"/>
              </w:rPr>
            </w:pPr>
            <w:r>
              <w:rPr>
                <w:rFonts w:hint="eastAsia" w:ascii="仿宋_GB2312" w:hAnsi="Arial" w:cs="Arial"/>
                <w:color w:val="auto"/>
                <w:kern w:val="0"/>
                <w:sz w:val="13"/>
                <w:szCs w:val="13"/>
                <w:highlight w:val="none"/>
              </w:rPr>
              <w:t>唐山市公安局开平分局环安大队</w:t>
            </w:r>
          </w:p>
        </w:tc>
        <w:tc>
          <w:tcPr>
            <w:tcW w:w="3392" w:type="dxa"/>
            <w:gridSpan w:val="3"/>
            <w:vAlign w:val="center"/>
          </w:tcPr>
          <w:p>
            <w:pPr>
              <w:widowControl/>
              <w:tabs>
                <w:tab w:val="left" w:pos="492"/>
              </w:tabs>
              <w:spacing w:line="240" w:lineRule="exact"/>
              <w:textAlignment w:val="center"/>
              <w:rPr>
                <w:rFonts w:ascii="仿宋_GB2312" w:hAnsi="Arial" w:cs="Arial"/>
                <w:color w:val="auto"/>
                <w:kern w:val="0"/>
                <w:sz w:val="13"/>
                <w:szCs w:val="13"/>
                <w:highlight w:val="none"/>
              </w:rPr>
            </w:pPr>
            <w:r>
              <w:rPr>
                <w:rFonts w:hint="eastAsia" w:ascii="仿宋_GB2312" w:hAnsi="Arial" w:cs="Arial"/>
                <w:color w:val="auto"/>
                <w:kern w:val="0"/>
                <w:sz w:val="13"/>
                <w:szCs w:val="13"/>
                <w:highlight w:val="none"/>
              </w:rPr>
              <w:t>《中华人民共和国治安管理处罚法》第三十条：违反国家规定，制造、买卖、储存、运输邮寄、携带、使用、提供、处置爆炸性、毒害性、放射性、腐蚀性物质或者传染病病原体等危险物质</w:t>
            </w:r>
          </w:p>
        </w:tc>
        <w:tc>
          <w:tcPr>
            <w:tcW w:w="988" w:type="dxa"/>
            <w:gridSpan w:val="2"/>
            <w:vAlign w:val="center"/>
          </w:tcPr>
          <w:p>
            <w:pPr>
              <w:widowControl/>
              <w:tabs>
                <w:tab w:val="left" w:pos="492"/>
              </w:tabs>
              <w:spacing w:line="240" w:lineRule="exact"/>
              <w:textAlignment w:val="center"/>
              <w:rPr>
                <w:rFonts w:ascii="仿宋_GB2312" w:hAnsi="Arial" w:cs="Arial"/>
                <w:color w:val="auto"/>
                <w:kern w:val="0"/>
                <w:sz w:val="13"/>
                <w:szCs w:val="13"/>
                <w:highlight w:val="none"/>
              </w:rPr>
            </w:pPr>
            <w:r>
              <w:rPr>
                <w:rFonts w:hint="eastAsia" w:ascii="仿宋_GB2312" w:hAnsi="Arial" w:cs="Arial"/>
                <w:color w:val="auto"/>
                <w:kern w:val="0"/>
                <w:sz w:val="13"/>
                <w:szCs w:val="13"/>
                <w:highlight w:val="none"/>
              </w:rPr>
              <w:t>1、受案责任：日常工作中对发现或者接到报警投诉违反《中华人民共和国治安管理处罚法》的行为或有关部门移送的此类违法案件，予以审查，决定是否受案。</w:t>
            </w:r>
            <w:r>
              <w:rPr>
                <w:rFonts w:hint="eastAsia" w:ascii="仿宋_GB2312" w:hAnsi="Arial" w:cs="Arial"/>
                <w:color w:val="auto"/>
                <w:kern w:val="0"/>
                <w:sz w:val="13"/>
                <w:szCs w:val="13"/>
                <w:highlight w:val="none"/>
              </w:rPr>
              <w:br w:type="textWrapping"/>
            </w:r>
            <w:r>
              <w:rPr>
                <w:rFonts w:hint="eastAsia" w:ascii="仿宋_GB2312" w:hAnsi="Arial" w:cs="Arial"/>
                <w:color w:val="auto"/>
                <w:kern w:val="0"/>
                <w:sz w:val="13"/>
                <w:szCs w:val="13"/>
                <w:highlight w:val="none"/>
              </w:rPr>
              <w:t>2、调查责任：对受案的案件，案件承办人员及时、全面、客观、公正地调查收集与案件有关的证据，查明事实，必要时可进行现场检查。与当事人有直接利害关系的予以回避。执法人员不得少于两人，调查时应出示执法证件（人民警察证），允许当事人辩解陈述。</w:t>
            </w:r>
            <w:r>
              <w:rPr>
                <w:rFonts w:hint="eastAsia" w:ascii="仿宋_GB2312" w:hAnsi="Arial" w:cs="Arial"/>
                <w:color w:val="auto"/>
                <w:kern w:val="0"/>
                <w:sz w:val="13"/>
                <w:szCs w:val="13"/>
                <w:highlight w:val="none"/>
              </w:rPr>
              <w:br w:type="textWrapping"/>
            </w:r>
            <w:r>
              <w:rPr>
                <w:rFonts w:hint="eastAsia" w:ascii="仿宋_GB2312" w:hAnsi="Arial" w:cs="Arial"/>
                <w:color w:val="auto"/>
                <w:kern w:val="0"/>
                <w:sz w:val="13"/>
                <w:szCs w:val="13"/>
                <w:highlight w:val="none"/>
              </w:rPr>
              <w:t>3、审查责任：对案件违法事实、证据、调查取证程序、法律适用、处罚种类和幅度、当事人陈述和申辩理由等方面进行审查，提出处理意见。</w:t>
            </w:r>
            <w:r>
              <w:rPr>
                <w:rFonts w:hint="eastAsia" w:ascii="仿宋_GB2312" w:hAnsi="Arial" w:cs="Arial"/>
                <w:color w:val="auto"/>
                <w:kern w:val="0"/>
                <w:sz w:val="13"/>
                <w:szCs w:val="13"/>
                <w:highlight w:val="none"/>
              </w:rPr>
              <w:br w:type="textWrapping"/>
            </w:r>
            <w:r>
              <w:rPr>
                <w:rFonts w:hint="eastAsia" w:ascii="仿宋_GB2312" w:hAnsi="Arial" w:cs="Arial"/>
                <w:color w:val="auto"/>
                <w:kern w:val="0"/>
                <w:sz w:val="13"/>
                <w:szCs w:val="13"/>
                <w:highlight w:val="none"/>
              </w:rPr>
              <w:t>4、告知责任：在做出行政处罚决定前，书面告知当事人拟作出处罚决定的事实、理由、依据、处罚内容，以及当事人享有的陈述权、申辩权或听证权。</w:t>
            </w:r>
            <w:r>
              <w:rPr>
                <w:rFonts w:hint="eastAsia" w:ascii="仿宋_GB2312" w:hAnsi="Arial" w:cs="Arial"/>
                <w:color w:val="auto"/>
                <w:kern w:val="0"/>
                <w:sz w:val="13"/>
                <w:szCs w:val="13"/>
                <w:highlight w:val="none"/>
              </w:rPr>
              <w:br w:type="textWrapping"/>
            </w:r>
            <w:r>
              <w:rPr>
                <w:rFonts w:hint="eastAsia" w:ascii="仿宋_GB2312" w:hAnsi="Arial" w:cs="Arial"/>
                <w:color w:val="auto"/>
                <w:kern w:val="0"/>
                <w:sz w:val="13"/>
                <w:szCs w:val="13"/>
                <w:highlight w:val="none"/>
              </w:rPr>
              <w:t>5、决定责任：依法需要给予行政处罚的，应制作《公安行政处罚决定书》，载明违法事实和证据、处罚依据和内容、申请行政复议或提起行政诉讼的途径和期限等内容。</w:t>
            </w:r>
            <w:r>
              <w:rPr>
                <w:rFonts w:hint="eastAsia" w:ascii="仿宋_GB2312" w:hAnsi="Arial" w:cs="Arial"/>
                <w:color w:val="auto"/>
                <w:kern w:val="0"/>
                <w:sz w:val="13"/>
                <w:szCs w:val="13"/>
                <w:highlight w:val="none"/>
              </w:rPr>
              <w:br w:type="textWrapping"/>
            </w:r>
            <w:r>
              <w:rPr>
                <w:rFonts w:hint="eastAsia" w:ascii="仿宋_GB2312" w:hAnsi="Arial" w:cs="Arial"/>
                <w:color w:val="auto"/>
                <w:kern w:val="0"/>
                <w:sz w:val="13"/>
                <w:szCs w:val="13"/>
                <w:highlight w:val="none"/>
              </w:rPr>
              <w:t>6、送达责任：行政处罚决定书在7日内送达当事人。</w:t>
            </w:r>
            <w:r>
              <w:rPr>
                <w:rFonts w:hint="eastAsia" w:ascii="仿宋_GB2312" w:hAnsi="Arial" w:cs="Arial"/>
                <w:color w:val="auto"/>
                <w:kern w:val="0"/>
                <w:sz w:val="13"/>
                <w:szCs w:val="13"/>
                <w:highlight w:val="none"/>
              </w:rPr>
              <w:br w:type="textWrapping"/>
            </w:r>
            <w:r>
              <w:rPr>
                <w:rFonts w:hint="eastAsia" w:ascii="仿宋_GB2312" w:hAnsi="Arial" w:cs="Arial"/>
                <w:color w:val="auto"/>
                <w:kern w:val="0"/>
                <w:sz w:val="13"/>
                <w:szCs w:val="13"/>
                <w:highlight w:val="none"/>
              </w:rPr>
              <w:t>7、执行责任：监督当事人在决定的期限内，履行生效的行政处罚决定。当事人在法定期限内不申请行政复议或提起行政诉讼，又不履行的，可依法采取强制执行或者申请人民法院强制执行。</w:t>
            </w:r>
            <w:r>
              <w:rPr>
                <w:rFonts w:hint="eastAsia" w:ascii="仿宋_GB2312" w:hAnsi="Arial" w:cs="Arial"/>
                <w:color w:val="auto"/>
                <w:kern w:val="0"/>
                <w:sz w:val="13"/>
                <w:szCs w:val="13"/>
                <w:highlight w:val="none"/>
              </w:rPr>
              <w:br w:type="textWrapping"/>
            </w:r>
            <w:r>
              <w:rPr>
                <w:rFonts w:hint="eastAsia" w:ascii="仿宋_GB2312" w:hAnsi="Arial" w:cs="Arial"/>
                <w:color w:val="auto"/>
                <w:kern w:val="0"/>
                <w:sz w:val="13"/>
                <w:szCs w:val="13"/>
                <w:highlight w:val="none"/>
              </w:rPr>
              <w:t>8、其他法律法规规章文件规定应履行的责任。</w:t>
            </w:r>
          </w:p>
        </w:tc>
        <w:tc>
          <w:tcPr>
            <w:tcW w:w="2249" w:type="dxa"/>
            <w:gridSpan w:val="4"/>
            <w:vAlign w:val="center"/>
          </w:tcPr>
          <w:p>
            <w:pPr>
              <w:widowControl/>
              <w:tabs>
                <w:tab w:val="left" w:pos="492"/>
              </w:tabs>
              <w:spacing w:line="240" w:lineRule="exact"/>
              <w:textAlignment w:val="center"/>
              <w:rPr>
                <w:rFonts w:ascii="仿宋_GB2312" w:hAnsi="Arial" w:cs="Arial"/>
                <w:color w:val="auto"/>
                <w:kern w:val="0"/>
                <w:sz w:val="13"/>
                <w:szCs w:val="13"/>
                <w:highlight w:val="none"/>
              </w:rPr>
            </w:pPr>
            <w:r>
              <w:rPr>
                <w:rFonts w:hint="eastAsia" w:ascii="仿宋_GB2312" w:hAnsi="Arial" w:cs="Arial"/>
                <w:color w:val="auto"/>
                <w:kern w:val="0"/>
                <w:sz w:val="13"/>
                <w:szCs w:val="13"/>
                <w:highlight w:val="none"/>
              </w:rPr>
              <w:t>因不履行或不正确履行行政职责，有下列情形的，公安机关及相关工作人员应承担相应责任：</w:t>
            </w:r>
            <w:r>
              <w:rPr>
                <w:rFonts w:hint="eastAsia" w:ascii="仿宋_GB2312" w:hAnsi="Arial" w:cs="Arial"/>
                <w:color w:val="auto"/>
                <w:kern w:val="0"/>
                <w:sz w:val="13"/>
                <w:szCs w:val="13"/>
                <w:highlight w:val="none"/>
              </w:rPr>
              <w:br w:type="textWrapping"/>
            </w:r>
            <w:r>
              <w:rPr>
                <w:rFonts w:hint="eastAsia" w:ascii="仿宋_GB2312" w:hAnsi="Arial" w:cs="Arial"/>
                <w:color w:val="auto"/>
                <w:kern w:val="0"/>
                <w:sz w:val="13"/>
                <w:szCs w:val="13"/>
                <w:highlight w:val="none"/>
              </w:rPr>
              <w:t>1、没有法律或者事实依据实施行政处罚的；</w:t>
            </w:r>
            <w:r>
              <w:rPr>
                <w:rFonts w:hint="eastAsia" w:ascii="仿宋_GB2312" w:hAnsi="Arial" w:cs="Arial"/>
                <w:color w:val="auto"/>
                <w:kern w:val="0"/>
                <w:sz w:val="13"/>
                <w:szCs w:val="13"/>
                <w:highlight w:val="none"/>
              </w:rPr>
              <w:br w:type="textWrapping"/>
            </w:r>
            <w:r>
              <w:rPr>
                <w:rFonts w:hint="eastAsia" w:ascii="仿宋_GB2312" w:hAnsi="Arial" w:cs="Arial"/>
                <w:color w:val="auto"/>
                <w:kern w:val="0"/>
                <w:sz w:val="13"/>
                <w:szCs w:val="13"/>
                <w:highlight w:val="none"/>
              </w:rPr>
              <w:t>2、未按法定程序实施行政处罚的；</w:t>
            </w:r>
            <w:r>
              <w:rPr>
                <w:rFonts w:hint="eastAsia" w:ascii="仿宋_GB2312" w:hAnsi="Arial" w:cs="Arial"/>
                <w:color w:val="auto"/>
                <w:kern w:val="0"/>
                <w:sz w:val="13"/>
                <w:szCs w:val="13"/>
                <w:highlight w:val="none"/>
              </w:rPr>
              <w:br w:type="textWrapping"/>
            </w:r>
            <w:r>
              <w:rPr>
                <w:rFonts w:hint="eastAsia" w:ascii="仿宋_GB2312" w:hAnsi="Arial" w:cs="Arial"/>
                <w:color w:val="auto"/>
                <w:kern w:val="0"/>
                <w:sz w:val="13"/>
                <w:szCs w:val="13"/>
                <w:highlight w:val="none"/>
              </w:rPr>
              <w:t>3、不具备法定行政执法资格实施行政处罚的；</w:t>
            </w:r>
            <w:r>
              <w:rPr>
                <w:rFonts w:hint="eastAsia" w:ascii="仿宋_GB2312" w:hAnsi="Arial" w:cs="Arial"/>
                <w:color w:val="auto"/>
                <w:kern w:val="0"/>
                <w:sz w:val="13"/>
                <w:szCs w:val="13"/>
                <w:highlight w:val="none"/>
              </w:rPr>
              <w:br w:type="textWrapping"/>
            </w:r>
            <w:r>
              <w:rPr>
                <w:rFonts w:hint="eastAsia" w:ascii="仿宋_GB2312" w:hAnsi="Arial" w:cs="Arial"/>
                <w:color w:val="auto"/>
                <w:kern w:val="0"/>
                <w:sz w:val="13"/>
                <w:szCs w:val="13"/>
                <w:highlight w:val="none"/>
              </w:rPr>
              <w:t>4、擅自设立处罚种类或者改变处罚幅度、范围的；</w:t>
            </w:r>
            <w:r>
              <w:rPr>
                <w:rFonts w:hint="eastAsia" w:ascii="仿宋_GB2312" w:hAnsi="Arial" w:cs="Arial"/>
                <w:color w:val="auto"/>
                <w:kern w:val="0"/>
                <w:sz w:val="13"/>
                <w:szCs w:val="13"/>
                <w:highlight w:val="none"/>
              </w:rPr>
              <w:br w:type="textWrapping"/>
            </w:r>
            <w:r>
              <w:rPr>
                <w:rFonts w:hint="eastAsia" w:ascii="仿宋_GB2312" w:hAnsi="Arial" w:cs="Arial"/>
                <w:color w:val="auto"/>
                <w:kern w:val="0"/>
                <w:sz w:val="13"/>
                <w:szCs w:val="13"/>
                <w:highlight w:val="none"/>
              </w:rPr>
              <w:t>5、违反“罚缴分离”规定，擅自收取罚款的；</w:t>
            </w:r>
            <w:r>
              <w:rPr>
                <w:rFonts w:hint="eastAsia" w:ascii="仿宋_GB2312" w:hAnsi="Arial" w:cs="Arial"/>
                <w:color w:val="auto"/>
                <w:kern w:val="0"/>
                <w:sz w:val="13"/>
                <w:szCs w:val="13"/>
                <w:highlight w:val="none"/>
              </w:rPr>
              <w:br w:type="textWrapping"/>
            </w:r>
            <w:r>
              <w:rPr>
                <w:rFonts w:hint="eastAsia" w:ascii="仿宋_GB2312" w:hAnsi="Arial" w:cs="Arial"/>
                <w:color w:val="auto"/>
                <w:kern w:val="0"/>
                <w:sz w:val="13"/>
                <w:szCs w:val="13"/>
                <w:highlight w:val="none"/>
              </w:rPr>
              <w:t>6、对当事人进行罚款、没收财物等行政处罚不使用法定单据的；</w:t>
            </w:r>
            <w:r>
              <w:rPr>
                <w:rFonts w:hint="eastAsia" w:ascii="仿宋_GB2312" w:hAnsi="Arial" w:cs="Arial"/>
                <w:color w:val="auto"/>
                <w:kern w:val="0"/>
                <w:sz w:val="13"/>
                <w:szCs w:val="13"/>
                <w:highlight w:val="none"/>
              </w:rPr>
              <w:br w:type="textWrapping"/>
            </w:r>
            <w:r>
              <w:rPr>
                <w:rFonts w:hint="eastAsia" w:ascii="仿宋_GB2312" w:hAnsi="Arial" w:cs="Arial"/>
                <w:color w:val="auto"/>
                <w:kern w:val="0"/>
                <w:sz w:val="13"/>
                <w:szCs w:val="13"/>
                <w:highlight w:val="none"/>
              </w:rPr>
              <w:t xml:space="preserve">7、依法应当移送司法机关处理而不移送的；                               </w:t>
            </w:r>
          </w:p>
          <w:p>
            <w:pPr>
              <w:widowControl/>
              <w:tabs>
                <w:tab w:val="left" w:pos="492"/>
              </w:tabs>
              <w:spacing w:line="240" w:lineRule="exact"/>
              <w:textAlignment w:val="center"/>
              <w:rPr>
                <w:rFonts w:ascii="仿宋_GB2312" w:hAnsi="Arial" w:cs="Arial"/>
                <w:color w:val="auto"/>
                <w:kern w:val="0"/>
                <w:sz w:val="13"/>
                <w:szCs w:val="13"/>
                <w:highlight w:val="none"/>
              </w:rPr>
            </w:pPr>
            <w:r>
              <w:rPr>
                <w:rFonts w:hint="eastAsia" w:ascii="仿宋_GB2312" w:hAnsi="Arial" w:cs="Arial"/>
                <w:color w:val="auto"/>
                <w:kern w:val="0"/>
                <w:sz w:val="13"/>
                <w:szCs w:val="13"/>
                <w:highlight w:val="none"/>
              </w:rPr>
              <w:t>8、执法人员玩忽职守，对应当予以制止和处罚的违法行为不予制止、处罚，致使公民、法人或者其他组织的合法权益、公共利益和社会秩序遭受损害的；</w:t>
            </w:r>
            <w:r>
              <w:rPr>
                <w:rFonts w:hint="eastAsia" w:ascii="仿宋_GB2312" w:hAnsi="Arial" w:cs="Arial"/>
                <w:color w:val="auto"/>
                <w:kern w:val="0"/>
                <w:sz w:val="13"/>
                <w:szCs w:val="13"/>
                <w:highlight w:val="none"/>
              </w:rPr>
              <w:br w:type="textWrapping"/>
            </w:r>
            <w:r>
              <w:rPr>
                <w:rFonts w:hint="eastAsia" w:ascii="仿宋_GB2312" w:hAnsi="Arial" w:cs="Arial"/>
                <w:color w:val="auto"/>
                <w:kern w:val="0"/>
                <w:sz w:val="13"/>
                <w:szCs w:val="13"/>
                <w:highlight w:val="none"/>
              </w:rPr>
              <w:t>9、在办理案件过程中发生腐败行为的；</w:t>
            </w:r>
            <w:r>
              <w:rPr>
                <w:rFonts w:hint="eastAsia" w:ascii="仿宋_GB2312" w:hAnsi="Arial" w:cs="Arial"/>
                <w:color w:val="auto"/>
                <w:kern w:val="0"/>
                <w:sz w:val="13"/>
                <w:szCs w:val="13"/>
                <w:highlight w:val="none"/>
              </w:rPr>
              <w:br w:type="textWrapping"/>
            </w:r>
            <w:r>
              <w:rPr>
                <w:rFonts w:hint="eastAsia" w:ascii="仿宋_GB2312" w:hAnsi="Arial" w:cs="Arial"/>
                <w:color w:val="auto"/>
                <w:kern w:val="0"/>
                <w:sz w:val="13"/>
                <w:szCs w:val="13"/>
                <w:highlight w:val="none"/>
              </w:rPr>
              <w:t xml:space="preserve">10、其他违反法律法规规章文件规定的行为。  </w:t>
            </w:r>
          </w:p>
        </w:tc>
        <w:tc>
          <w:tcPr>
            <w:tcW w:w="1525" w:type="dxa"/>
            <w:gridSpan w:val="3"/>
          </w:tcPr>
          <w:p>
            <w:pPr>
              <w:widowControl/>
              <w:tabs>
                <w:tab w:val="left" w:pos="492"/>
              </w:tabs>
              <w:spacing w:line="240" w:lineRule="exact"/>
              <w:textAlignment w:val="center"/>
              <w:rPr>
                <w:rFonts w:hint="eastAsia" w:ascii="仿宋_GB2312" w:hAnsi="Arial" w:cs="Arial"/>
                <w:color w:val="auto"/>
                <w:kern w:val="0"/>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7654" w:hRule="exact"/>
        </w:trPr>
        <w:tc>
          <w:tcPr>
            <w:tcW w:w="456" w:type="dxa"/>
            <w:vAlign w:val="center"/>
          </w:tcPr>
          <w:p>
            <w:pPr>
              <w:spacing w:line="240" w:lineRule="exact"/>
              <w:jc w:val="center"/>
              <w:textAlignment w:val="center"/>
              <w:rPr>
                <w:rFonts w:hint="default" w:eastAsia="仿宋_GB2312"/>
                <w:sz w:val="20"/>
                <w:szCs w:val="20"/>
                <w:lang w:val="en-US" w:eastAsia="zh-CN"/>
              </w:rPr>
            </w:pPr>
            <w:r>
              <w:rPr>
                <w:rFonts w:hint="eastAsia"/>
                <w:sz w:val="20"/>
                <w:szCs w:val="20"/>
                <w:lang w:val="en-US" w:eastAsia="zh-CN"/>
              </w:rPr>
              <w:t>37</w:t>
            </w:r>
          </w:p>
        </w:tc>
        <w:tc>
          <w:tcPr>
            <w:tcW w:w="589" w:type="dxa"/>
            <w:vAlign w:val="center"/>
          </w:tcPr>
          <w:p>
            <w:pPr>
              <w:tabs>
                <w:tab w:val="left" w:pos="7937"/>
              </w:tabs>
              <w:spacing w:line="240" w:lineRule="exact"/>
              <w:jc w:val="center"/>
              <w:rPr>
                <w:rFonts w:ascii="宋体" w:hAnsi="宋体" w:eastAsia="宋体"/>
                <w:sz w:val="18"/>
              </w:rPr>
            </w:pPr>
            <w:r>
              <w:rPr>
                <w:rFonts w:hint="eastAsia" w:ascii="宋体" w:hAnsi="宋体" w:eastAsia="宋体"/>
                <w:sz w:val="18"/>
                <w:szCs w:val="18"/>
              </w:rPr>
              <w:t>行政处罚</w:t>
            </w:r>
          </w:p>
        </w:tc>
        <w:tc>
          <w:tcPr>
            <w:tcW w:w="1189" w:type="dxa"/>
            <w:gridSpan w:val="2"/>
            <w:vAlign w:val="center"/>
          </w:tcPr>
          <w:p>
            <w:pPr>
              <w:tabs>
                <w:tab w:val="left" w:pos="7937"/>
              </w:tabs>
              <w:spacing w:line="240" w:lineRule="exact"/>
              <w:jc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非法种植罂粟不满五百株或者其他少量毒品原植物</w:t>
            </w:r>
          </w:p>
        </w:tc>
        <w:tc>
          <w:tcPr>
            <w:tcW w:w="965" w:type="dxa"/>
            <w:gridSpan w:val="2"/>
            <w:vAlign w:val="center"/>
          </w:tcPr>
          <w:p>
            <w:pPr>
              <w:tabs>
                <w:tab w:val="left" w:pos="7937"/>
              </w:tabs>
              <w:spacing w:line="240" w:lineRule="exact"/>
              <w:jc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唐山市公安局开平分局刑警大队、</w:t>
            </w:r>
            <w:r>
              <w:rPr>
                <w:rFonts w:ascii="仿宋_GB2312" w:hAnsi="Arial" w:cs="Arial"/>
                <w:color w:val="000000" w:themeColor="text1"/>
                <w:kern w:val="0"/>
                <w:sz w:val="13"/>
                <w:szCs w:val="13"/>
              </w:rPr>
              <w:t>各派出所</w:t>
            </w:r>
          </w:p>
        </w:tc>
        <w:tc>
          <w:tcPr>
            <w:tcW w:w="5065" w:type="dxa"/>
            <w:gridSpan w:val="8"/>
            <w:vAlign w:val="center"/>
          </w:tcPr>
          <w:p>
            <w:pPr>
              <w:tabs>
                <w:tab w:val="left" w:pos="7937"/>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中华人民共和国治安管理处罚法》第71条：有下列行为之一的，处十日以上十五日以下拘留，可以并处三千元以下罚款；情节较轻的，处五日以下拘留或者五百元以下罚款：（一）非法种植罂粟不满五百株或者其他少量毒品原植物的；（二）非法买卖、运输、携带、持有少量未经灭活的罂粟等毒品原植物种子或者幼苗的；（三）非法运输、买卖、储存、使用少量罂粟壳的。有前款第一项行为，在成熟前自行铲除的，不予处罚。</w:t>
            </w:r>
          </w:p>
        </w:tc>
        <w:tc>
          <w:tcPr>
            <w:tcW w:w="1294" w:type="dxa"/>
            <w:gridSpan w:val="3"/>
            <w:vAlign w:val="center"/>
          </w:tcPr>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1、受案责任：发现该项违法行为，决定是否受案。</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2、调查取证责任：公安机关对受案的案件，及时组织调查取证，办案民警不得少于两人，与当事人有直接利害关系的应当回避。</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3、告知责任：作出行政处罚决定前，应制作《行政处罚告知书》送达当事人，告知违法事实及其享有的陈述、申辩等权利。</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4、决定责任：制作行政处罚决定书，载明行政处罚告知、当事人陈述申辩或者听证情况等内容。</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5、送达责任：行政处罚决定书按法律规定的方式送达当事人。</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6、执行责任：依照生效的行政处罚决定，依法予以执行。</w:t>
            </w:r>
          </w:p>
          <w:p>
            <w:pPr>
              <w:tabs>
                <w:tab w:val="left" w:pos="7937"/>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7、其他法律法规规章文件规定应履行的责任。</w:t>
            </w:r>
          </w:p>
        </w:tc>
        <w:tc>
          <w:tcPr>
            <w:tcW w:w="2370" w:type="dxa"/>
            <w:gridSpan w:val="4"/>
            <w:vAlign w:val="center"/>
          </w:tcPr>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因不履行或不正确履行行政职责，有下列情形的，行政机关及相关工作人员应承担相应责任：</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1、没有法律和事实依据实施行政处罚的；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2、行政处罚显失公正的；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3、执法人员玩忽职守，对应当予以制止和处罚的违法行为不予制止、处罚；</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4、应当依法追究刑事责任，而未追究刑事责任的；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5、擅自改变行政处罚种类、幅度的；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6、违反法定的行政处罚程序的；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7、在行政处罚过程中发生腐败行为的；</w:t>
            </w:r>
          </w:p>
          <w:p>
            <w:pPr>
              <w:tabs>
                <w:tab w:val="left" w:pos="7937"/>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8、其他违反法律法规规章文件规定的行为。</w:t>
            </w:r>
          </w:p>
        </w:tc>
        <w:tc>
          <w:tcPr>
            <w:tcW w:w="1098" w:type="dxa"/>
            <w:gridSpan w:val="2"/>
          </w:tcPr>
          <w:p>
            <w:pPr>
              <w:spacing w:line="240" w:lineRule="exact"/>
              <w:textAlignment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8509" w:hRule="exact"/>
        </w:trPr>
        <w:tc>
          <w:tcPr>
            <w:tcW w:w="456" w:type="dxa"/>
            <w:vAlign w:val="center"/>
          </w:tcPr>
          <w:p>
            <w:pPr>
              <w:spacing w:line="240" w:lineRule="exact"/>
              <w:jc w:val="center"/>
              <w:textAlignment w:val="center"/>
              <w:rPr>
                <w:rFonts w:hint="default" w:eastAsia="仿宋_GB2312"/>
                <w:sz w:val="20"/>
                <w:szCs w:val="20"/>
                <w:lang w:val="en-US" w:eastAsia="zh-CN"/>
              </w:rPr>
            </w:pPr>
            <w:r>
              <w:rPr>
                <w:rFonts w:hint="eastAsia"/>
                <w:sz w:val="20"/>
                <w:szCs w:val="20"/>
                <w:lang w:val="en-US" w:eastAsia="zh-CN"/>
              </w:rPr>
              <w:t>38</w:t>
            </w:r>
          </w:p>
        </w:tc>
        <w:tc>
          <w:tcPr>
            <w:tcW w:w="589" w:type="dxa"/>
            <w:vAlign w:val="center"/>
          </w:tcPr>
          <w:p>
            <w:pPr>
              <w:tabs>
                <w:tab w:val="left" w:pos="7937"/>
              </w:tabs>
              <w:spacing w:line="240" w:lineRule="exact"/>
              <w:jc w:val="center"/>
              <w:rPr>
                <w:rFonts w:ascii="宋体" w:hAnsi="宋体" w:eastAsia="宋体"/>
                <w:sz w:val="18"/>
                <w:szCs w:val="18"/>
              </w:rPr>
            </w:pPr>
            <w:r>
              <w:rPr>
                <w:rFonts w:hint="eastAsia" w:ascii="宋体" w:hAnsi="宋体" w:eastAsia="宋体"/>
                <w:sz w:val="18"/>
                <w:szCs w:val="18"/>
              </w:rPr>
              <w:t>行政处罚</w:t>
            </w:r>
          </w:p>
        </w:tc>
        <w:tc>
          <w:tcPr>
            <w:tcW w:w="1189" w:type="dxa"/>
            <w:gridSpan w:val="2"/>
            <w:vAlign w:val="center"/>
          </w:tcPr>
          <w:p>
            <w:pPr>
              <w:tabs>
                <w:tab w:val="left" w:pos="7937"/>
              </w:tabs>
              <w:spacing w:line="240" w:lineRule="exact"/>
              <w:jc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非法买卖、运输、携带、持有少量未经灭活的罂粟等毒品原植物种子或者幼苗</w:t>
            </w:r>
          </w:p>
        </w:tc>
        <w:tc>
          <w:tcPr>
            <w:tcW w:w="965" w:type="dxa"/>
            <w:gridSpan w:val="2"/>
            <w:vAlign w:val="center"/>
          </w:tcPr>
          <w:p>
            <w:pPr>
              <w:tabs>
                <w:tab w:val="left" w:pos="7937"/>
              </w:tabs>
              <w:spacing w:line="240" w:lineRule="exact"/>
              <w:jc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唐山市公安局开平分局刑警大队、</w:t>
            </w:r>
            <w:r>
              <w:rPr>
                <w:rFonts w:ascii="仿宋_GB2312" w:hAnsi="Arial" w:cs="Arial"/>
                <w:color w:val="000000" w:themeColor="text1"/>
                <w:kern w:val="0"/>
                <w:sz w:val="13"/>
                <w:szCs w:val="13"/>
              </w:rPr>
              <w:t>各派出所</w:t>
            </w:r>
          </w:p>
        </w:tc>
        <w:tc>
          <w:tcPr>
            <w:tcW w:w="5065" w:type="dxa"/>
            <w:gridSpan w:val="8"/>
            <w:vAlign w:val="center"/>
          </w:tcPr>
          <w:p>
            <w:pPr>
              <w:tabs>
                <w:tab w:val="left" w:pos="7937"/>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中华人民共和国治安管理处罚法》第71条：有下列行为之一的，处十日以上十五日以下拘留，可以并处三千元以下罚款；情节较轻的，处五日以下拘留或者五百元以下罚款：（一）非法种植罂粟不满五百株或者其他少量毒品原植物的；（二）非法买卖、运输、携带、持有少量未经灭活的罂粟等毒品原植物种子或者幼苗的；（三）非法运输、买卖、储存、使用少量罂粟壳的。有前款第一项行为，在成熟前自行铲除的，不予处罚。</w:t>
            </w:r>
          </w:p>
        </w:tc>
        <w:tc>
          <w:tcPr>
            <w:tcW w:w="1294" w:type="dxa"/>
            <w:gridSpan w:val="3"/>
            <w:vAlign w:val="center"/>
          </w:tcPr>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1、受案责任：发现该项违法行为，决定是否受案。</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2、调查取证责任：公安机关对受案的案件，及时组织调查取证，办案民警不得少于两人，与当事人有直接利害关系的应当回避。</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3、告知责任：作出行政处罚决定前，应制作《行政处罚告知书》送达当事人，告知违法事实及其享有的陈述、申辩等权利。</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4、决定责任：制作行政处罚决定书，载明行政处罚告知、当事人陈述申辩或者听证情况等内容。</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5、送达责任：行政处罚决定书按法律规定的方式送达当事人。</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6、执行责任：依照生效的行政处罚决定，依法予以执行。</w:t>
            </w:r>
          </w:p>
          <w:p>
            <w:pPr>
              <w:tabs>
                <w:tab w:val="left" w:pos="7937"/>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7、其他法律法规规章文件规定应履行的责任。</w:t>
            </w:r>
          </w:p>
        </w:tc>
        <w:tc>
          <w:tcPr>
            <w:tcW w:w="2370" w:type="dxa"/>
            <w:gridSpan w:val="4"/>
            <w:vAlign w:val="center"/>
          </w:tcPr>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因不履行或不正确履行行政职责，有下列情形的，行政机关及相关工作人员应承担相应责任：</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1、没有法律和事实依据实施行政处罚的；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2、行政处罚显失公正的；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3、执法人员玩忽职守，对应当予以制止和处罚的违法行为不予制止、处罚；</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4、应当依法追究刑事责任，而未追究刑事责任的；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5、擅自改变行政处罚种类、幅度的；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6、违反法定的行政处罚程序的；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7、在行政处罚过程中发生腐败行为的；</w:t>
            </w:r>
          </w:p>
          <w:p>
            <w:pPr>
              <w:tabs>
                <w:tab w:val="left" w:pos="7937"/>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8、其他违反法律法规规章文件规定的行为。</w:t>
            </w:r>
          </w:p>
        </w:tc>
        <w:tc>
          <w:tcPr>
            <w:tcW w:w="1098" w:type="dxa"/>
            <w:gridSpan w:val="2"/>
          </w:tcPr>
          <w:p>
            <w:pPr>
              <w:widowControl/>
              <w:tabs>
                <w:tab w:val="left" w:pos="492"/>
              </w:tabs>
              <w:spacing w:line="240" w:lineRule="exact"/>
              <w:textAlignment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8225" w:hRule="exact"/>
        </w:trPr>
        <w:tc>
          <w:tcPr>
            <w:tcW w:w="456" w:type="dxa"/>
            <w:vAlign w:val="center"/>
          </w:tcPr>
          <w:p>
            <w:pPr>
              <w:spacing w:line="240" w:lineRule="exact"/>
              <w:jc w:val="center"/>
              <w:textAlignment w:val="center"/>
              <w:rPr>
                <w:rFonts w:hint="default" w:eastAsia="仿宋_GB2312"/>
                <w:sz w:val="20"/>
                <w:szCs w:val="20"/>
                <w:lang w:val="en-US" w:eastAsia="zh-CN"/>
              </w:rPr>
            </w:pPr>
            <w:r>
              <w:rPr>
                <w:rFonts w:hint="eastAsia"/>
                <w:sz w:val="20"/>
                <w:szCs w:val="20"/>
                <w:lang w:val="en-US" w:eastAsia="zh-CN"/>
              </w:rPr>
              <w:t>39</w:t>
            </w:r>
          </w:p>
        </w:tc>
        <w:tc>
          <w:tcPr>
            <w:tcW w:w="589" w:type="dxa"/>
            <w:vAlign w:val="center"/>
          </w:tcPr>
          <w:p>
            <w:pPr>
              <w:tabs>
                <w:tab w:val="left" w:pos="7937"/>
              </w:tabs>
              <w:spacing w:line="240" w:lineRule="exact"/>
              <w:jc w:val="center"/>
              <w:rPr>
                <w:rFonts w:ascii="宋体" w:hAnsi="宋体" w:eastAsia="宋体"/>
                <w:sz w:val="18"/>
                <w:szCs w:val="18"/>
              </w:rPr>
            </w:pPr>
            <w:r>
              <w:rPr>
                <w:rFonts w:hint="eastAsia" w:ascii="宋体" w:hAnsi="宋体" w:eastAsia="宋体"/>
                <w:sz w:val="18"/>
                <w:szCs w:val="18"/>
              </w:rPr>
              <w:t>行政处罚</w:t>
            </w:r>
          </w:p>
        </w:tc>
        <w:tc>
          <w:tcPr>
            <w:tcW w:w="1189" w:type="dxa"/>
            <w:gridSpan w:val="2"/>
            <w:vAlign w:val="center"/>
          </w:tcPr>
          <w:p>
            <w:pPr>
              <w:tabs>
                <w:tab w:val="left" w:pos="7937"/>
              </w:tabs>
              <w:spacing w:line="240" w:lineRule="exact"/>
              <w:jc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非法运输、买卖、储存、使用少量罂粟壳</w:t>
            </w:r>
          </w:p>
        </w:tc>
        <w:tc>
          <w:tcPr>
            <w:tcW w:w="965" w:type="dxa"/>
            <w:gridSpan w:val="2"/>
            <w:vAlign w:val="center"/>
          </w:tcPr>
          <w:p>
            <w:pPr>
              <w:tabs>
                <w:tab w:val="left" w:pos="7937"/>
              </w:tabs>
              <w:spacing w:line="240" w:lineRule="exact"/>
              <w:jc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唐山市公安局开平分局刑警大队、</w:t>
            </w:r>
            <w:r>
              <w:rPr>
                <w:rFonts w:ascii="仿宋_GB2312" w:hAnsi="Arial" w:cs="Arial"/>
                <w:color w:val="000000" w:themeColor="text1"/>
                <w:kern w:val="0"/>
                <w:sz w:val="13"/>
                <w:szCs w:val="13"/>
              </w:rPr>
              <w:t>各派出所</w:t>
            </w:r>
          </w:p>
        </w:tc>
        <w:tc>
          <w:tcPr>
            <w:tcW w:w="5065" w:type="dxa"/>
            <w:gridSpan w:val="8"/>
            <w:vAlign w:val="center"/>
          </w:tcPr>
          <w:p>
            <w:pPr>
              <w:tabs>
                <w:tab w:val="left" w:pos="7937"/>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中华人民共和国治安管理处罚法》第71条：有下列行为之一的，处十日以上十五日以下拘留，可以并处三千元以下罚款；情节较轻的，处五日以下拘留或者五百元以下罚款：（一）非法种植罂粟不满五百株或者其他少量毒品原植物的；（二）非法买卖、运输、携带、持有少量未经灭活的罂粟等毒品原植物种子或者幼苗的；（三）非法运输、买卖、储存、使用少量罂粟壳的。有前款第一项行为，在成熟前自行铲除的，不予处罚。</w:t>
            </w:r>
          </w:p>
        </w:tc>
        <w:tc>
          <w:tcPr>
            <w:tcW w:w="1294" w:type="dxa"/>
            <w:gridSpan w:val="3"/>
            <w:vAlign w:val="center"/>
          </w:tcPr>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1、受案责任：发现该项违法行为，决定是否受案。</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2、调查取证责任：公安机关对受案的案件，及时组织调查取证，办案民警不得少于两人，与当事人有直接利害关系的应当回避。</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3、告知责任：作出行政处罚决定前，应制作《行政处罚告知书》送达当事人，告知违法事实及其享有的陈述、申辩等权利。</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4、决定责任：制作行政处罚决定书，载明行政处罚告知、当事人陈述申辩或者听证情况等内容。</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5、送达责任：行政处罚决定书按法律规定的方式送达当事人。</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6、执行责任：依照生效的行政处罚决定，依法予以执行。</w:t>
            </w:r>
          </w:p>
          <w:p>
            <w:pPr>
              <w:tabs>
                <w:tab w:val="left" w:pos="7937"/>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7、其他法律法规规章文件规定应履行的责任。</w:t>
            </w:r>
          </w:p>
        </w:tc>
        <w:tc>
          <w:tcPr>
            <w:tcW w:w="2370" w:type="dxa"/>
            <w:gridSpan w:val="4"/>
            <w:vAlign w:val="center"/>
          </w:tcPr>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因不履行或不正确履行行政职责，有下列情形的，行政机关及相关工作人员应承担相应责任：</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1、没有法律和事实依据实施行政处罚的；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2、行政处罚显失公正的；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3、执法人员玩忽职守，对应当予以制止和处罚的违法行为不予制止、处罚；</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4、应当依法追究刑事责任，而未追究刑事责任的；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5、擅自改变行政处罚种类、幅度的；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6、违反法定的行政处罚程序的；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7、在行政处罚过程中发生腐败行为的；</w:t>
            </w:r>
          </w:p>
          <w:p>
            <w:pPr>
              <w:tabs>
                <w:tab w:val="left" w:pos="7937"/>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8、其他违反法律法规规章文件规定的行为。</w:t>
            </w:r>
          </w:p>
        </w:tc>
        <w:tc>
          <w:tcPr>
            <w:tcW w:w="1098" w:type="dxa"/>
            <w:gridSpan w:val="2"/>
          </w:tcPr>
          <w:p>
            <w:pPr>
              <w:widowControl/>
              <w:tabs>
                <w:tab w:val="left" w:pos="492"/>
              </w:tabs>
              <w:spacing w:line="240" w:lineRule="exact"/>
              <w:textAlignment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8367" w:hRule="exact"/>
        </w:trPr>
        <w:tc>
          <w:tcPr>
            <w:tcW w:w="456" w:type="dxa"/>
            <w:vAlign w:val="center"/>
          </w:tcPr>
          <w:p>
            <w:pPr>
              <w:spacing w:line="240" w:lineRule="exact"/>
              <w:jc w:val="center"/>
              <w:textAlignment w:val="center"/>
              <w:rPr>
                <w:rFonts w:hint="default" w:eastAsia="仿宋_GB2312"/>
                <w:sz w:val="20"/>
                <w:szCs w:val="20"/>
                <w:lang w:val="en-US" w:eastAsia="zh-CN"/>
              </w:rPr>
            </w:pPr>
            <w:r>
              <w:rPr>
                <w:rFonts w:hint="eastAsia"/>
                <w:sz w:val="20"/>
                <w:szCs w:val="20"/>
                <w:lang w:val="en-US" w:eastAsia="zh-CN"/>
              </w:rPr>
              <w:t>40</w:t>
            </w:r>
          </w:p>
        </w:tc>
        <w:tc>
          <w:tcPr>
            <w:tcW w:w="589" w:type="dxa"/>
            <w:vAlign w:val="center"/>
          </w:tcPr>
          <w:p>
            <w:pPr>
              <w:tabs>
                <w:tab w:val="left" w:pos="7937"/>
              </w:tabs>
              <w:spacing w:line="240" w:lineRule="exact"/>
              <w:jc w:val="center"/>
              <w:rPr>
                <w:rFonts w:ascii="宋体" w:hAnsi="宋体" w:eastAsia="宋体"/>
                <w:sz w:val="18"/>
                <w:szCs w:val="18"/>
              </w:rPr>
            </w:pPr>
            <w:r>
              <w:rPr>
                <w:rFonts w:hint="eastAsia" w:ascii="宋体" w:hAnsi="宋体" w:eastAsia="宋体"/>
                <w:sz w:val="18"/>
                <w:szCs w:val="18"/>
              </w:rPr>
              <w:t>行政处罚</w:t>
            </w:r>
          </w:p>
        </w:tc>
        <w:tc>
          <w:tcPr>
            <w:tcW w:w="1189" w:type="dxa"/>
            <w:gridSpan w:val="2"/>
            <w:vAlign w:val="center"/>
          </w:tcPr>
          <w:p>
            <w:pPr>
              <w:tabs>
                <w:tab w:val="left" w:pos="7937"/>
              </w:tabs>
              <w:spacing w:line="240" w:lineRule="exact"/>
              <w:jc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非法持有鸦片不满二百克、海洛因或者甲基苯丙胺不满十克或者其他少量毒品</w:t>
            </w:r>
          </w:p>
        </w:tc>
        <w:tc>
          <w:tcPr>
            <w:tcW w:w="965" w:type="dxa"/>
            <w:gridSpan w:val="2"/>
            <w:vAlign w:val="center"/>
          </w:tcPr>
          <w:p>
            <w:pPr>
              <w:tabs>
                <w:tab w:val="left" w:pos="7937"/>
              </w:tabs>
              <w:spacing w:line="240" w:lineRule="exact"/>
              <w:jc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唐山市公安局开平分局刑警大队、</w:t>
            </w:r>
            <w:r>
              <w:rPr>
                <w:rFonts w:ascii="仿宋_GB2312" w:hAnsi="Arial" w:cs="Arial"/>
                <w:color w:val="000000" w:themeColor="text1"/>
                <w:kern w:val="0"/>
                <w:sz w:val="13"/>
                <w:szCs w:val="13"/>
              </w:rPr>
              <w:t>各派出所</w:t>
            </w:r>
          </w:p>
        </w:tc>
        <w:tc>
          <w:tcPr>
            <w:tcW w:w="5065" w:type="dxa"/>
            <w:gridSpan w:val="8"/>
            <w:vAlign w:val="center"/>
          </w:tcPr>
          <w:p>
            <w:pPr>
              <w:tabs>
                <w:tab w:val="left" w:pos="7937"/>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中华人民共和国治安管理处罚法》第72条：有下列行为之一的，处十日以上十五日以下拘留，可以并处二千元以下罚款；情节较轻的，处五日以下拘留或者五百元以下罚款：（一）非法持有鸦片不满二百克、海洛因或者甲基苯丙胺不满十克或者其他少量毒品的；（二）向他人提供毒品的；（三）吸食、注射毒品的；（四）胁迫、欺骗医务人员开具麻醉药品、精神药品的。</w:t>
            </w:r>
          </w:p>
        </w:tc>
        <w:tc>
          <w:tcPr>
            <w:tcW w:w="1294" w:type="dxa"/>
            <w:gridSpan w:val="3"/>
            <w:vAlign w:val="center"/>
          </w:tcPr>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1、受案责任：发现该项违法行为，决定是否受案。</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2、调查取证责任：公安机关对受案的案件，及时组织调查取证，办案民警不得少于两人，与当事人有直接利害关系的应当回避。</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3、告知责任：作出行政处罚决定前，应制作《行政处罚告知书》送达当事人，告知违法事实及其享有的陈述、申辩等权利。</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4、决定责任：制作行政处罚决定书，载明行政处罚告知、当事人陈述申辩或者听证情况等内容。</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5、送达责任：行政处罚决定书按法律规定的方式送达当事人。</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6、执行责任：依照生效的行政处罚决定，依法予以执行。</w:t>
            </w:r>
          </w:p>
          <w:p>
            <w:pPr>
              <w:tabs>
                <w:tab w:val="left" w:pos="7937"/>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7、其他法律法规规章文件规定应履行的责任。</w:t>
            </w:r>
          </w:p>
        </w:tc>
        <w:tc>
          <w:tcPr>
            <w:tcW w:w="2370" w:type="dxa"/>
            <w:gridSpan w:val="4"/>
            <w:vAlign w:val="center"/>
          </w:tcPr>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因不履行或不正确履行行政职责，有下列情形的，行政机关及相关工作人员应承担相应责任：</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1、没有法律和事实依据实施行政处罚的；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2、行政处罚显失公正的；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3、执法人员玩忽职守，对应当予以制止和处罚的违法行为不予制止、处罚；</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4、应当依法追究刑事责任，而未追究刑事责任的；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5、擅自改变行政处罚种类、幅度的；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6、违反法定的行政处罚程序的；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7、在行政处罚过程中发生腐败行为的；</w:t>
            </w:r>
          </w:p>
          <w:p>
            <w:pPr>
              <w:tabs>
                <w:tab w:val="left" w:pos="7937"/>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8、其他违反法律法规规章文件规定的行为。</w:t>
            </w:r>
          </w:p>
        </w:tc>
        <w:tc>
          <w:tcPr>
            <w:tcW w:w="1098" w:type="dxa"/>
            <w:gridSpan w:val="2"/>
          </w:tcPr>
          <w:p>
            <w:pPr>
              <w:widowControl/>
              <w:tabs>
                <w:tab w:val="left" w:pos="492"/>
              </w:tabs>
              <w:spacing w:line="240" w:lineRule="exact"/>
              <w:textAlignment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8363" w:hRule="exact"/>
        </w:trPr>
        <w:tc>
          <w:tcPr>
            <w:tcW w:w="456" w:type="dxa"/>
            <w:vAlign w:val="center"/>
          </w:tcPr>
          <w:p>
            <w:pPr>
              <w:spacing w:line="240" w:lineRule="exact"/>
              <w:jc w:val="center"/>
              <w:textAlignment w:val="center"/>
              <w:rPr>
                <w:rFonts w:hint="default" w:eastAsia="仿宋_GB2312"/>
                <w:sz w:val="20"/>
                <w:szCs w:val="20"/>
                <w:lang w:val="en-US" w:eastAsia="zh-CN"/>
              </w:rPr>
            </w:pPr>
            <w:r>
              <w:rPr>
                <w:rFonts w:hint="eastAsia"/>
                <w:sz w:val="20"/>
                <w:szCs w:val="20"/>
                <w:lang w:val="en-US" w:eastAsia="zh-CN"/>
              </w:rPr>
              <w:t>41</w:t>
            </w:r>
          </w:p>
        </w:tc>
        <w:tc>
          <w:tcPr>
            <w:tcW w:w="589" w:type="dxa"/>
            <w:vAlign w:val="center"/>
          </w:tcPr>
          <w:p>
            <w:pPr>
              <w:tabs>
                <w:tab w:val="left" w:pos="7937"/>
              </w:tabs>
              <w:spacing w:line="240" w:lineRule="exact"/>
              <w:jc w:val="center"/>
              <w:rPr>
                <w:rFonts w:ascii="宋体" w:hAnsi="宋体" w:eastAsia="宋体"/>
                <w:sz w:val="18"/>
                <w:szCs w:val="18"/>
              </w:rPr>
            </w:pPr>
            <w:r>
              <w:rPr>
                <w:rFonts w:hint="eastAsia" w:ascii="宋体" w:hAnsi="宋体" w:eastAsia="宋体"/>
                <w:sz w:val="18"/>
                <w:szCs w:val="18"/>
              </w:rPr>
              <w:t>行政处罚</w:t>
            </w:r>
          </w:p>
        </w:tc>
        <w:tc>
          <w:tcPr>
            <w:tcW w:w="1189" w:type="dxa"/>
            <w:gridSpan w:val="2"/>
            <w:vAlign w:val="center"/>
          </w:tcPr>
          <w:p>
            <w:pPr>
              <w:tabs>
                <w:tab w:val="left" w:pos="7937"/>
              </w:tabs>
              <w:spacing w:line="240" w:lineRule="exact"/>
              <w:jc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向他人提供毒品</w:t>
            </w:r>
          </w:p>
        </w:tc>
        <w:tc>
          <w:tcPr>
            <w:tcW w:w="965" w:type="dxa"/>
            <w:gridSpan w:val="2"/>
            <w:vAlign w:val="center"/>
          </w:tcPr>
          <w:p>
            <w:pPr>
              <w:tabs>
                <w:tab w:val="left" w:pos="7937"/>
              </w:tabs>
              <w:spacing w:line="240" w:lineRule="exact"/>
              <w:jc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唐山市公安局开平分局刑警大队、</w:t>
            </w:r>
            <w:r>
              <w:rPr>
                <w:rFonts w:ascii="仿宋_GB2312" w:hAnsi="Arial" w:cs="Arial"/>
                <w:color w:val="000000" w:themeColor="text1"/>
                <w:kern w:val="0"/>
                <w:sz w:val="13"/>
                <w:szCs w:val="13"/>
              </w:rPr>
              <w:t>各派出所</w:t>
            </w:r>
          </w:p>
        </w:tc>
        <w:tc>
          <w:tcPr>
            <w:tcW w:w="5065" w:type="dxa"/>
            <w:gridSpan w:val="8"/>
            <w:vAlign w:val="center"/>
          </w:tcPr>
          <w:p>
            <w:pPr>
              <w:tabs>
                <w:tab w:val="left" w:pos="7937"/>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中华人民共和国治安管理处罚法》第72条：有下列行为之一的，处十日以上十五日以下拘留，可以并处二千元以下罚款；情节较轻的，处五日以下拘留或者五百元以下罚款：（一）非法持有鸦片不满二百克、海洛因或者甲基苯丙胺不满十克或者其他少量毒品的；（二）向他人提供毒品的；（三）吸食、注射毒品的；（四）胁迫、欺骗医务人员开具麻醉药品、精神药品的。</w:t>
            </w:r>
          </w:p>
        </w:tc>
        <w:tc>
          <w:tcPr>
            <w:tcW w:w="1294" w:type="dxa"/>
            <w:gridSpan w:val="3"/>
            <w:vAlign w:val="center"/>
          </w:tcPr>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1、受案责任：发现该项违法行为，决定是否受案。</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2、调查取证责任：公安机关对受案的案件，及时组织调查取证，办案民警不得少于两人，与当事人有直接利害关系的应当回避。</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3、告知责任：作出行政处罚决定前，应制作《行政处罚告知书》送达当事人，告知违法事实及其享有的陈述、申辩等权利。</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4、决定责任：制作行政处罚决定书，载明行政处罚告知、当事人陈述申辩或者听证情况等内容。</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5、送达责任：行政处罚决定书按法律规定的方式送达当事人。</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6、执行责任：依照生效的行政处罚决定，依法予以执行。</w:t>
            </w:r>
          </w:p>
          <w:p>
            <w:pPr>
              <w:tabs>
                <w:tab w:val="left" w:pos="7937"/>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7、其他法律法规规章文件规定应履行的责任。</w:t>
            </w:r>
          </w:p>
        </w:tc>
        <w:tc>
          <w:tcPr>
            <w:tcW w:w="2370" w:type="dxa"/>
            <w:gridSpan w:val="4"/>
            <w:vAlign w:val="center"/>
          </w:tcPr>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因不履行或不正确履行行政职责，有下列情形的，行政机关及相关工作人员应承担相应责任：</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1、没有法律和事实依据实施行政处罚的；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2、行政处罚显失公正的；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3、执法人员玩忽职守，对应当予以制止和处罚的违法行为不予制止、处罚；</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4、应当依法追究刑事责任，而未追究刑事责任的；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5、擅自改变行政处罚种类、幅度的；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6、违反法定的行政处罚程序的；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7、在行政处罚过程中发生腐败行为的；</w:t>
            </w:r>
          </w:p>
          <w:p>
            <w:pPr>
              <w:tabs>
                <w:tab w:val="left" w:pos="7937"/>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8、其他违反法律法规规章文件规定的行为。</w:t>
            </w:r>
          </w:p>
        </w:tc>
        <w:tc>
          <w:tcPr>
            <w:tcW w:w="1098" w:type="dxa"/>
            <w:gridSpan w:val="2"/>
          </w:tcPr>
          <w:p>
            <w:pPr>
              <w:widowControl/>
              <w:tabs>
                <w:tab w:val="left" w:pos="492"/>
              </w:tabs>
              <w:spacing w:line="240" w:lineRule="exact"/>
              <w:textAlignment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8363" w:hRule="exact"/>
        </w:trPr>
        <w:tc>
          <w:tcPr>
            <w:tcW w:w="456" w:type="dxa"/>
            <w:vAlign w:val="center"/>
          </w:tcPr>
          <w:p>
            <w:pPr>
              <w:spacing w:line="240" w:lineRule="exact"/>
              <w:jc w:val="center"/>
              <w:textAlignment w:val="center"/>
              <w:rPr>
                <w:rFonts w:hint="default" w:eastAsia="仿宋_GB2312"/>
                <w:sz w:val="20"/>
                <w:szCs w:val="20"/>
                <w:lang w:val="en-US" w:eastAsia="zh-CN"/>
              </w:rPr>
            </w:pPr>
            <w:r>
              <w:rPr>
                <w:rFonts w:hint="eastAsia"/>
                <w:sz w:val="20"/>
                <w:szCs w:val="20"/>
                <w:lang w:val="en-US" w:eastAsia="zh-CN"/>
              </w:rPr>
              <w:t>42</w:t>
            </w:r>
          </w:p>
        </w:tc>
        <w:tc>
          <w:tcPr>
            <w:tcW w:w="589" w:type="dxa"/>
            <w:vAlign w:val="center"/>
          </w:tcPr>
          <w:p>
            <w:pPr>
              <w:tabs>
                <w:tab w:val="left" w:pos="7937"/>
              </w:tabs>
              <w:spacing w:line="240" w:lineRule="exact"/>
              <w:jc w:val="center"/>
              <w:rPr>
                <w:rFonts w:ascii="宋体" w:hAnsi="宋体" w:eastAsia="宋体"/>
                <w:sz w:val="18"/>
              </w:rPr>
            </w:pPr>
            <w:r>
              <w:rPr>
                <w:rFonts w:hint="eastAsia" w:ascii="宋体" w:hAnsi="宋体" w:eastAsia="宋体"/>
                <w:sz w:val="18"/>
                <w:szCs w:val="18"/>
              </w:rPr>
              <w:t>行政处罚</w:t>
            </w:r>
          </w:p>
        </w:tc>
        <w:tc>
          <w:tcPr>
            <w:tcW w:w="1189" w:type="dxa"/>
            <w:gridSpan w:val="2"/>
            <w:vAlign w:val="center"/>
          </w:tcPr>
          <w:p>
            <w:pPr>
              <w:tabs>
                <w:tab w:val="left" w:pos="7937"/>
              </w:tabs>
              <w:spacing w:line="240" w:lineRule="exact"/>
              <w:jc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吸食、注射毒品</w:t>
            </w:r>
          </w:p>
        </w:tc>
        <w:tc>
          <w:tcPr>
            <w:tcW w:w="965" w:type="dxa"/>
            <w:gridSpan w:val="2"/>
            <w:vAlign w:val="center"/>
          </w:tcPr>
          <w:p>
            <w:pPr>
              <w:tabs>
                <w:tab w:val="left" w:pos="7937"/>
              </w:tabs>
              <w:spacing w:line="240" w:lineRule="exact"/>
              <w:jc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唐山市公安局开平分局刑警大队、</w:t>
            </w:r>
            <w:r>
              <w:rPr>
                <w:rFonts w:ascii="仿宋_GB2312" w:hAnsi="Arial" w:cs="Arial"/>
                <w:color w:val="000000" w:themeColor="text1"/>
                <w:kern w:val="0"/>
                <w:sz w:val="13"/>
                <w:szCs w:val="13"/>
              </w:rPr>
              <w:t>各派出所</w:t>
            </w:r>
          </w:p>
        </w:tc>
        <w:tc>
          <w:tcPr>
            <w:tcW w:w="5065" w:type="dxa"/>
            <w:gridSpan w:val="8"/>
            <w:vAlign w:val="center"/>
          </w:tcPr>
          <w:p>
            <w:pPr>
              <w:tabs>
                <w:tab w:val="left" w:pos="7937"/>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中华人民共和国治安管理处罚法》第72条：有下列行为之一的，处十日以上十五日以下拘留，可以并处二千元以下罚款；情节较轻的，处五日以下拘留或者五百元以下罚款：（一）非法持有鸦片不满二百克、海洛因或者甲基苯丙胺不满十克或者其他少量毒品的；（二）向他人提供毒品的；（三）吸食、注射毒品的；（四）胁迫、欺骗医务人员开具麻醉药品、精神药品的。</w:t>
            </w:r>
          </w:p>
        </w:tc>
        <w:tc>
          <w:tcPr>
            <w:tcW w:w="1294" w:type="dxa"/>
            <w:gridSpan w:val="3"/>
            <w:vAlign w:val="center"/>
          </w:tcPr>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1、受案责任：发现该项违法行为，决定是否受案。</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2、调查取证责任：公安机关对受案的案件，及时组织调查取证，办案民警不得少于两人，与当事人有直接利害关系的应当回避。</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3、告知责任：作出行政处罚决定前，应制作《行政处罚告知书》送达当事人，告知违法事实及其享有的陈述、申辩等权利。</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4、决定责任：制作行政处罚决定书，载明行政处罚告知、当事人陈述申辩或者听证情况等内容。</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5、送达责任：行政处罚决定书按法律规定的方式送达当事人。</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6、执行责任：依照生效的行政处罚决定，依法予以执行。</w:t>
            </w:r>
          </w:p>
          <w:p>
            <w:pPr>
              <w:tabs>
                <w:tab w:val="left" w:pos="7937"/>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7、其他法律法规规章文件规定应履行的责任。</w:t>
            </w:r>
          </w:p>
        </w:tc>
        <w:tc>
          <w:tcPr>
            <w:tcW w:w="2370" w:type="dxa"/>
            <w:gridSpan w:val="4"/>
            <w:vAlign w:val="center"/>
          </w:tcPr>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因不履行或不正确履行行政职责，有下列情形的，行政机关及相关工作人员应承担相应责任：</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1、没有法律和事实依据实施行政处罚的；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2、行政处罚显失公正的；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3、执法人员玩忽职守，对应当予以制止和处罚的违法行为不予制止、处罚；</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4、应当依法追究刑事责任，而未追究刑事责任的；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5、擅自改变行政处罚种类、幅度的；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6、违反法定的行政处罚程序的；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7、在行政处罚过程中发生腐败行为的；</w:t>
            </w:r>
          </w:p>
          <w:p>
            <w:pPr>
              <w:tabs>
                <w:tab w:val="left" w:pos="7937"/>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8、其他违反法律法规规章文件规定的行为。</w:t>
            </w:r>
          </w:p>
        </w:tc>
        <w:tc>
          <w:tcPr>
            <w:tcW w:w="1098" w:type="dxa"/>
            <w:gridSpan w:val="2"/>
          </w:tcPr>
          <w:p>
            <w:pPr>
              <w:widowControl/>
              <w:tabs>
                <w:tab w:val="left" w:pos="492"/>
              </w:tabs>
              <w:spacing w:line="240" w:lineRule="exact"/>
              <w:textAlignment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6301" w:hRule="exact"/>
        </w:trPr>
        <w:tc>
          <w:tcPr>
            <w:tcW w:w="456" w:type="dxa"/>
            <w:vAlign w:val="center"/>
          </w:tcPr>
          <w:p>
            <w:pPr>
              <w:autoSpaceDN w:val="0"/>
              <w:spacing w:line="300" w:lineRule="exact"/>
              <w:jc w:val="center"/>
              <w:textAlignment w:val="center"/>
              <w:rPr>
                <w:rFonts w:hint="default" w:ascii="仿宋_GB2312" w:hAnsi="仿宋_GB2312" w:eastAsia="仿宋_GB2312"/>
                <w:color w:val="000000"/>
                <w:sz w:val="20"/>
                <w:szCs w:val="20"/>
                <w:lang w:val="en-US" w:eastAsia="zh-CN"/>
              </w:rPr>
            </w:pPr>
            <w:r>
              <w:rPr>
                <w:rFonts w:hint="eastAsia" w:ascii="仿宋_GB2312" w:hAnsi="仿宋_GB2312"/>
                <w:color w:val="000000"/>
                <w:sz w:val="20"/>
                <w:szCs w:val="20"/>
                <w:lang w:val="en-US" w:eastAsia="zh-CN"/>
              </w:rPr>
              <w:t>43</w:t>
            </w:r>
          </w:p>
        </w:tc>
        <w:tc>
          <w:tcPr>
            <w:tcW w:w="589" w:type="dxa"/>
            <w:vAlign w:val="center"/>
          </w:tcPr>
          <w:p>
            <w:pPr>
              <w:tabs>
                <w:tab w:val="left" w:pos="7937"/>
              </w:tabs>
              <w:spacing w:line="240" w:lineRule="exact"/>
              <w:jc w:val="center"/>
              <w:rPr>
                <w:rFonts w:ascii="宋体" w:hAnsi="宋体" w:eastAsia="宋体"/>
                <w:sz w:val="18"/>
              </w:rPr>
            </w:pPr>
            <w:r>
              <w:rPr>
                <w:rFonts w:hint="eastAsia" w:ascii="宋体" w:hAnsi="宋体" w:eastAsia="宋体"/>
                <w:sz w:val="18"/>
                <w:szCs w:val="18"/>
              </w:rPr>
              <w:t>行政处罚</w:t>
            </w:r>
          </w:p>
        </w:tc>
        <w:tc>
          <w:tcPr>
            <w:tcW w:w="1189" w:type="dxa"/>
            <w:gridSpan w:val="2"/>
            <w:vAlign w:val="center"/>
          </w:tcPr>
          <w:p>
            <w:pPr>
              <w:tabs>
                <w:tab w:val="left" w:pos="7937"/>
              </w:tabs>
              <w:spacing w:line="240" w:lineRule="exact"/>
              <w:jc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胁迫、欺骗医务人员开具麻醉药品、精神药品</w:t>
            </w:r>
          </w:p>
        </w:tc>
        <w:tc>
          <w:tcPr>
            <w:tcW w:w="965" w:type="dxa"/>
            <w:gridSpan w:val="2"/>
            <w:vAlign w:val="center"/>
          </w:tcPr>
          <w:p>
            <w:pPr>
              <w:tabs>
                <w:tab w:val="left" w:pos="7937"/>
              </w:tabs>
              <w:spacing w:line="240" w:lineRule="exact"/>
              <w:jc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唐山市公安局开平分局刑警大队、</w:t>
            </w:r>
            <w:r>
              <w:rPr>
                <w:rFonts w:ascii="仿宋_GB2312" w:hAnsi="Arial" w:cs="Arial"/>
                <w:color w:val="000000" w:themeColor="text1"/>
                <w:kern w:val="0"/>
                <w:sz w:val="13"/>
                <w:szCs w:val="13"/>
              </w:rPr>
              <w:t>各派出所</w:t>
            </w:r>
          </w:p>
        </w:tc>
        <w:tc>
          <w:tcPr>
            <w:tcW w:w="5065" w:type="dxa"/>
            <w:gridSpan w:val="8"/>
            <w:vAlign w:val="center"/>
          </w:tcPr>
          <w:p>
            <w:pPr>
              <w:tabs>
                <w:tab w:val="left" w:pos="7937"/>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中华人民共和国治安管理处罚法》第72条：有下列行为之一的，处十日以上十五日以下拘留，可以并处二千元以下罚款；情节较轻的，处五日以下拘留或者五百元以下罚款：（一）非法持有鸦片不满二百克、海洛因或者甲基苯丙胺不满十克或者其他少量毒品的；（二）向他人提供毒品的；（三）吸食、注射毒品的；（四）胁迫、欺骗医务人员开具麻醉药品、精神药品的。</w:t>
            </w:r>
          </w:p>
        </w:tc>
        <w:tc>
          <w:tcPr>
            <w:tcW w:w="1294" w:type="dxa"/>
            <w:gridSpan w:val="3"/>
            <w:vAlign w:val="center"/>
          </w:tcPr>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1、受案责任：发现该项违法行为，决定是否受案。</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2、调查取证责任：公安机关对受案的案件，及时组织调查取证，办案民警不得少于两人，与当事人有直接利害关系的应当回避。</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3、告知责任：作出行政处罚决定前，应制作《行政处罚告知书》送达当事人，告知违法事实及其享有的陈述、申辩等权利。</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4、决定责任：制作行政处罚决定书，载明行政处罚告知、当事人陈述申辩或者听证情况等内容。</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5、送达责任：行政处罚决定书按法律规定的方式送达当事人。</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6、执行责任：依照生效的行政处罚决定，依法予以执行。</w:t>
            </w:r>
          </w:p>
          <w:p>
            <w:pPr>
              <w:tabs>
                <w:tab w:val="left" w:pos="7937"/>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7、其他法律法规规章文件规定应履行的责任。</w:t>
            </w:r>
          </w:p>
        </w:tc>
        <w:tc>
          <w:tcPr>
            <w:tcW w:w="2370" w:type="dxa"/>
            <w:gridSpan w:val="4"/>
            <w:vAlign w:val="center"/>
          </w:tcPr>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因不履行或不正确履行行政职责，有下列情形的，行政机关及相关工作人员应承担相应责任：</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1、没有法律和事实依据实施行政处罚的；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2、行政处罚显失公正的；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3、执法人员玩忽职守，对应当予以制止和处罚的违法行为不予制止、处罚；</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4、应当依法追究刑事责任，而未追究刑事责任的；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5、擅自改变行政处罚种类、幅度的；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6、违反法定的行政处罚程序的；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7、在行政处罚过程中发生腐败行为的；</w:t>
            </w:r>
          </w:p>
          <w:p>
            <w:pPr>
              <w:tabs>
                <w:tab w:val="left" w:pos="7937"/>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8、其他违反法律法规规章文件规定的行为。</w:t>
            </w:r>
          </w:p>
        </w:tc>
        <w:tc>
          <w:tcPr>
            <w:tcW w:w="1098" w:type="dxa"/>
            <w:gridSpan w:val="2"/>
          </w:tcPr>
          <w:p>
            <w:pPr>
              <w:tabs>
                <w:tab w:val="left" w:pos="7937"/>
              </w:tabs>
              <w:spacing w:line="280" w:lineRule="exact"/>
              <w:rPr>
                <w:rFonts w:hint="eastAsia" w:ascii="仿宋_GB2312" w:hAnsi="Arial" w:cs="Arial"/>
                <w:color w:val="000000" w:themeColor="text1"/>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6301" w:hRule="exact"/>
        </w:trPr>
        <w:tc>
          <w:tcPr>
            <w:tcW w:w="456" w:type="dxa"/>
            <w:vAlign w:val="center"/>
          </w:tcPr>
          <w:p>
            <w:pPr>
              <w:tabs>
                <w:tab w:val="left" w:pos="7937"/>
              </w:tabs>
              <w:spacing w:line="240" w:lineRule="exact"/>
              <w:jc w:val="center"/>
              <w:rPr>
                <w:rFonts w:hint="default" w:ascii="宋体" w:hAnsi="宋体" w:eastAsia="宋体"/>
                <w:sz w:val="18"/>
                <w:lang w:val="en-US" w:eastAsia="zh-CN"/>
              </w:rPr>
            </w:pPr>
            <w:r>
              <w:rPr>
                <w:rFonts w:hint="eastAsia" w:ascii="宋体" w:hAnsi="宋体" w:eastAsia="宋体"/>
                <w:sz w:val="18"/>
                <w:lang w:val="en-US" w:eastAsia="zh-CN"/>
              </w:rPr>
              <w:t>44</w:t>
            </w:r>
          </w:p>
        </w:tc>
        <w:tc>
          <w:tcPr>
            <w:tcW w:w="589" w:type="dxa"/>
            <w:vAlign w:val="center"/>
          </w:tcPr>
          <w:p>
            <w:pPr>
              <w:tabs>
                <w:tab w:val="left" w:pos="7937"/>
              </w:tabs>
              <w:spacing w:line="240" w:lineRule="exact"/>
              <w:jc w:val="center"/>
              <w:rPr>
                <w:rFonts w:ascii="宋体" w:hAnsi="宋体" w:eastAsia="宋体"/>
                <w:sz w:val="18"/>
              </w:rPr>
            </w:pPr>
            <w:r>
              <w:rPr>
                <w:rFonts w:hint="eastAsia" w:ascii="宋体" w:hAnsi="宋体" w:eastAsia="宋体"/>
                <w:sz w:val="18"/>
                <w:szCs w:val="18"/>
              </w:rPr>
              <w:t>行政处罚</w:t>
            </w:r>
          </w:p>
        </w:tc>
        <w:tc>
          <w:tcPr>
            <w:tcW w:w="1189" w:type="dxa"/>
            <w:gridSpan w:val="2"/>
            <w:vAlign w:val="center"/>
          </w:tcPr>
          <w:p>
            <w:pPr>
              <w:tabs>
                <w:tab w:val="left" w:pos="7937"/>
              </w:tabs>
              <w:spacing w:line="240" w:lineRule="exact"/>
              <w:jc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教唆、引诱、欺骗他人吸食、注射毒品</w:t>
            </w:r>
          </w:p>
        </w:tc>
        <w:tc>
          <w:tcPr>
            <w:tcW w:w="965" w:type="dxa"/>
            <w:gridSpan w:val="2"/>
            <w:vAlign w:val="center"/>
          </w:tcPr>
          <w:p>
            <w:pPr>
              <w:tabs>
                <w:tab w:val="left" w:pos="7937"/>
              </w:tabs>
              <w:spacing w:line="240" w:lineRule="exact"/>
              <w:jc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唐山市公安局开平分局刑警大队、</w:t>
            </w:r>
            <w:r>
              <w:rPr>
                <w:rFonts w:ascii="仿宋_GB2312" w:hAnsi="Arial" w:cs="Arial"/>
                <w:color w:val="000000" w:themeColor="text1"/>
                <w:kern w:val="0"/>
                <w:sz w:val="13"/>
                <w:szCs w:val="13"/>
              </w:rPr>
              <w:t>各派出所</w:t>
            </w:r>
          </w:p>
        </w:tc>
        <w:tc>
          <w:tcPr>
            <w:tcW w:w="5065" w:type="dxa"/>
            <w:gridSpan w:val="8"/>
            <w:vAlign w:val="center"/>
          </w:tcPr>
          <w:p>
            <w:pPr>
              <w:tabs>
                <w:tab w:val="left" w:pos="7937"/>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《中华人民共和国治安管理处罚法》第73条：教唆、引诱、欺骗他人吸食、注射毒品的，处十日以上十五日以下拘留，并处五百元以上二千元以下罚款。</w:t>
            </w:r>
          </w:p>
        </w:tc>
        <w:tc>
          <w:tcPr>
            <w:tcW w:w="1294" w:type="dxa"/>
            <w:gridSpan w:val="3"/>
            <w:vAlign w:val="center"/>
          </w:tcPr>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1、受案责任：发现该项违法行为，决定是否受案。</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2、调查取证责任：公安机关对受案的案件，及时组织调查取证，办案民警不得少于两人，与当事人有直接利害关系的应当回避。</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3、告知责任：作出行政处罚决定前，应制作《行政处罚告知书》送达当事人，告知违法事实及其享有的陈述、申辩等权利。</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4、决定责任：制作行政处罚决定书，载明行政处罚告知、当事人陈述申辩或者听证情况等内容。</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5、送达责任：行政处罚决定书按法律规定的方式送达当事人。</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6、执行责任：依照生效的行政处罚决定，依法予以执行。</w:t>
            </w:r>
          </w:p>
          <w:p>
            <w:pPr>
              <w:tabs>
                <w:tab w:val="left" w:pos="7937"/>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7、其他法律法规规章文件规定应履行的责任。</w:t>
            </w:r>
          </w:p>
        </w:tc>
        <w:tc>
          <w:tcPr>
            <w:tcW w:w="2370" w:type="dxa"/>
            <w:gridSpan w:val="4"/>
            <w:vAlign w:val="center"/>
          </w:tcPr>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因不履行或不正确履行行政职责，有下列情形的，行政机关及相关工作人员应承担相应责任：</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1、没有法律和事实依据实施行政处罚的；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2、行政处罚显失公正的；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3、执法人员玩忽职守，对应当予以制止和处罚的违法行为不予制止、处罚；</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4、应当依法追究刑事责任，而未追究刑事责任的；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5、擅自改变行政处罚种类、幅度的；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6、违反法定的行政处罚程序的；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7、在行政处罚过程中发生腐败行为的；</w:t>
            </w:r>
          </w:p>
          <w:p>
            <w:pPr>
              <w:tabs>
                <w:tab w:val="left" w:pos="7937"/>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8、其他违反法律法规规章文件规定的行为。</w:t>
            </w:r>
          </w:p>
        </w:tc>
        <w:tc>
          <w:tcPr>
            <w:tcW w:w="1098" w:type="dxa"/>
            <w:gridSpan w:val="2"/>
          </w:tcPr>
          <w:p>
            <w:pPr>
              <w:tabs>
                <w:tab w:val="left" w:pos="7937"/>
              </w:tabs>
              <w:spacing w:line="280" w:lineRule="exact"/>
              <w:rPr>
                <w:rFonts w:hint="eastAsia" w:ascii="仿宋_GB2312" w:hAnsi="Arial" w:cs="Arial"/>
                <w:color w:val="000000" w:themeColor="text1"/>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6301" w:hRule="exact"/>
        </w:trPr>
        <w:tc>
          <w:tcPr>
            <w:tcW w:w="456" w:type="dxa"/>
            <w:vAlign w:val="center"/>
          </w:tcPr>
          <w:p>
            <w:pPr>
              <w:tabs>
                <w:tab w:val="left" w:pos="7937"/>
              </w:tabs>
              <w:spacing w:line="240" w:lineRule="exact"/>
              <w:jc w:val="center"/>
              <w:rPr>
                <w:rFonts w:hint="default" w:ascii="宋体" w:hAnsi="宋体" w:eastAsia="宋体"/>
                <w:sz w:val="18"/>
                <w:lang w:val="en-US" w:eastAsia="zh-CN"/>
              </w:rPr>
            </w:pPr>
            <w:r>
              <w:rPr>
                <w:rFonts w:hint="eastAsia" w:ascii="宋体" w:hAnsi="宋体" w:eastAsia="宋体"/>
                <w:sz w:val="18"/>
                <w:lang w:val="en-US" w:eastAsia="zh-CN"/>
              </w:rPr>
              <w:t>45</w:t>
            </w:r>
          </w:p>
        </w:tc>
        <w:tc>
          <w:tcPr>
            <w:tcW w:w="589" w:type="dxa"/>
            <w:vAlign w:val="center"/>
          </w:tcPr>
          <w:p>
            <w:pPr>
              <w:tabs>
                <w:tab w:val="left" w:pos="7937"/>
              </w:tabs>
              <w:spacing w:line="240" w:lineRule="exact"/>
              <w:jc w:val="center"/>
              <w:rPr>
                <w:rFonts w:ascii="宋体" w:hAnsi="宋体" w:eastAsia="宋体"/>
                <w:sz w:val="18"/>
              </w:rPr>
            </w:pPr>
            <w:r>
              <w:rPr>
                <w:rFonts w:hint="eastAsia" w:ascii="宋体" w:hAnsi="宋体" w:eastAsia="宋体"/>
                <w:sz w:val="18"/>
              </w:rPr>
              <w:t>行政处罚</w:t>
            </w:r>
          </w:p>
        </w:tc>
        <w:tc>
          <w:tcPr>
            <w:tcW w:w="1189" w:type="dxa"/>
            <w:gridSpan w:val="2"/>
            <w:vAlign w:val="center"/>
          </w:tcPr>
          <w:p>
            <w:pPr>
              <w:tabs>
                <w:tab w:val="left" w:pos="7937"/>
              </w:tabs>
              <w:spacing w:line="240" w:lineRule="exact"/>
              <w:jc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易制毒化学品生产、经营、购买、运输或者进口、出口单位未按规定建立安全管理制度的</w:t>
            </w:r>
          </w:p>
        </w:tc>
        <w:tc>
          <w:tcPr>
            <w:tcW w:w="965" w:type="dxa"/>
            <w:gridSpan w:val="2"/>
            <w:vAlign w:val="center"/>
          </w:tcPr>
          <w:p>
            <w:pPr>
              <w:tabs>
                <w:tab w:val="left" w:pos="7937"/>
              </w:tabs>
              <w:spacing w:line="240" w:lineRule="exact"/>
              <w:jc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唐山市公安局开平分局刑警大队</w:t>
            </w:r>
          </w:p>
        </w:tc>
        <w:tc>
          <w:tcPr>
            <w:tcW w:w="5065" w:type="dxa"/>
            <w:gridSpan w:val="8"/>
            <w:vAlign w:val="center"/>
          </w:tcPr>
          <w:p>
            <w:pPr>
              <w:tabs>
                <w:tab w:val="left" w:pos="7937"/>
              </w:tabs>
              <w:spacing w:line="240" w:lineRule="exact"/>
              <w:rPr>
                <w:rFonts w:ascii="仿宋_GB2312" w:hAnsi="Arial" w:cs="Arial"/>
                <w:color w:val="000000" w:themeColor="text1"/>
                <w:kern w:val="0"/>
                <w:sz w:val="11"/>
                <w:szCs w:val="13"/>
              </w:rPr>
            </w:pPr>
            <w:r>
              <w:rPr>
                <w:rFonts w:hint="eastAsia" w:ascii="仿宋_GB2312" w:hAnsi="Arial" w:cs="Arial"/>
                <w:color w:val="000000" w:themeColor="text1"/>
                <w:kern w:val="0"/>
                <w:sz w:val="11"/>
                <w:szCs w:val="13"/>
              </w:rPr>
              <w:t>易制毒化学品管理条例（2018年9月18日修正版）第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pPr>
              <w:tabs>
                <w:tab w:val="left" w:pos="7937"/>
              </w:tabs>
              <w:spacing w:line="240" w:lineRule="exact"/>
              <w:rPr>
                <w:rFonts w:ascii="仿宋_GB2312" w:hAnsi="Arial" w:cs="Arial"/>
                <w:color w:val="000000" w:themeColor="text1"/>
                <w:kern w:val="0"/>
                <w:sz w:val="11"/>
                <w:szCs w:val="13"/>
              </w:rPr>
            </w:pPr>
            <w:r>
              <w:rPr>
                <w:rFonts w:hint="eastAsia" w:ascii="仿宋_GB2312" w:hAnsi="Arial" w:cs="Arial"/>
                <w:color w:val="000000" w:themeColor="text1"/>
                <w:kern w:val="0"/>
                <w:sz w:val="11"/>
                <w:szCs w:val="13"/>
              </w:rPr>
              <w:t>(一)易制毒化学品生产、经营、购买、运输或者进口、出口单位未按规定建立安全管理制度的;</w:t>
            </w:r>
          </w:p>
          <w:p>
            <w:pPr>
              <w:tabs>
                <w:tab w:val="left" w:pos="7937"/>
              </w:tabs>
              <w:spacing w:line="240" w:lineRule="exact"/>
              <w:rPr>
                <w:rFonts w:ascii="仿宋_GB2312" w:hAnsi="Arial" w:cs="Arial"/>
                <w:color w:val="000000" w:themeColor="text1"/>
                <w:kern w:val="0"/>
                <w:sz w:val="11"/>
                <w:szCs w:val="13"/>
              </w:rPr>
            </w:pPr>
            <w:r>
              <w:rPr>
                <w:rFonts w:hint="eastAsia" w:ascii="仿宋_GB2312" w:hAnsi="Arial" w:cs="Arial"/>
                <w:color w:val="000000" w:themeColor="text1"/>
                <w:kern w:val="0"/>
                <w:sz w:val="11"/>
                <w:szCs w:val="13"/>
              </w:rPr>
              <w:t>(二)将许可证或者备案证明转借他人使用的;</w:t>
            </w:r>
          </w:p>
          <w:p>
            <w:pPr>
              <w:tabs>
                <w:tab w:val="left" w:pos="7937"/>
              </w:tabs>
              <w:spacing w:line="240" w:lineRule="exact"/>
              <w:rPr>
                <w:rFonts w:ascii="仿宋_GB2312" w:hAnsi="Arial" w:cs="Arial"/>
                <w:color w:val="000000" w:themeColor="text1"/>
                <w:kern w:val="0"/>
                <w:sz w:val="11"/>
                <w:szCs w:val="13"/>
              </w:rPr>
            </w:pPr>
            <w:r>
              <w:rPr>
                <w:rFonts w:hint="eastAsia" w:ascii="仿宋_GB2312" w:hAnsi="Arial" w:cs="Arial"/>
                <w:color w:val="000000" w:themeColor="text1"/>
                <w:kern w:val="0"/>
                <w:sz w:val="11"/>
                <w:szCs w:val="13"/>
              </w:rPr>
              <w:t>(三)超出许可的品种、数量生产、经营、购买易制毒化学品的;</w:t>
            </w:r>
          </w:p>
          <w:p>
            <w:pPr>
              <w:tabs>
                <w:tab w:val="left" w:pos="7937"/>
              </w:tabs>
              <w:spacing w:line="240" w:lineRule="exact"/>
              <w:rPr>
                <w:rFonts w:ascii="仿宋_GB2312" w:hAnsi="Arial" w:cs="Arial"/>
                <w:color w:val="000000" w:themeColor="text1"/>
                <w:kern w:val="0"/>
                <w:sz w:val="11"/>
                <w:szCs w:val="13"/>
              </w:rPr>
            </w:pPr>
            <w:r>
              <w:rPr>
                <w:rFonts w:hint="eastAsia" w:ascii="仿宋_GB2312" w:hAnsi="Arial" w:cs="Arial"/>
                <w:color w:val="000000" w:themeColor="text1"/>
                <w:kern w:val="0"/>
                <w:sz w:val="11"/>
                <w:szCs w:val="13"/>
              </w:rPr>
              <w:t>(四)生产、经营、购买单位不记录或者不如实记录交易情况、不按规定保存交易记录或者不如实、不及时向公安机关和有关行政主管部门备案销售情况的;</w:t>
            </w:r>
          </w:p>
          <w:p>
            <w:pPr>
              <w:tabs>
                <w:tab w:val="left" w:pos="7937"/>
              </w:tabs>
              <w:spacing w:line="240" w:lineRule="exact"/>
              <w:rPr>
                <w:rFonts w:ascii="仿宋_GB2312" w:hAnsi="Arial" w:cs="Arial"/>
                <w:color w:val="000000" w:themeColor="text1"/>
                <w:kern w:val="0"/>
                <w:sz w:val="11"/>
                <w:szCs w:val="13"/>
              </w:rPr>
            </w:pPr>
            <w:r>
              <w:rPr>
                <w:rFonts w:hint="eastAsia" w:ascii="仿宋_GB2312" w:hAnsi="Arial" w:cs="Arial"/>
                <w:color w:val="000000" w:themeColor="text1"/>
                <w:kern w:val="0"/>
                <w:sz w:val="11"/>
                <w:szCs w:val="13"/>
              </w:rPr>
              <w:t>(五)易制毒化学品丢失、被盗、被抢后未及时报告,造成严重后果的;</w:t>
            </w:r>
          </w:p>
          <w:p>
            <w:pPr>
              <w:tabs>
                <w:tab w:val="left" w:pos="7937"/>
              </w:tabs>
              <w:spacing w:line="240" w:lineRule="exact"/>
              <w:rPr>
                <w:rFonts w:ascii="仿宋_GB2312" w:hAnsi="Arial" w:cs="Arial"/>
                <w:color w:val="000000" w:themeColor="text1"/>
                <w:kern w:val="0"/>
                <w:sz w:val="11"/>
                <w:szCs w:val="13"/>
              </w:rPr>
            </w:pPr>
            <w:r>
              <w:rPr>
                <w:rFonts w:hint="eastAsia" w:ascii="仿宋_GB2312" w:hAnsi="Arial" w:cs="Arial"/>
                <w:color w:val="000000" w:themeColor="text1"/>
                <w:kern w:val="0"/>
                <w:sz w:val="11"/>
                <w:szCs w:val="13"/>
              </w:rPr>
              <w:t>(六)除个人合法购买第一类中的药品类易制毒化学品药品制剂以及第三类易制毒化学品外,使用现金或者实物进行易制毒化学品交易的;</w:t>
            </w:r>
          </w:p>
          <w:p>
            <w:pPr>
              <w:tabs>
                <w:tab w:val="left" w:pos="7937"/>
              </w:tabs>
              <w:spacing w:line="240" w:lineRule="exact"/>
              <w:rPr>
                <w:rFonts w:ascii="仿宋_GB2312" w:hAnsi="Arial" w:cs="Arial"/>
                <w:color w:val="000000" w:themeColor="text1"/>
                <w:kern w:val="0"/>
                <w:sz w:val="11"/>
                <w:szCs w:val="13"/>
              </w:rPr>
            </w:pPr>
            <w:r>
              <w:rPr>
                <w:rFonts w:hint="eastAsia" w:ascii="仿宋_GB2312" w:hAnsi="Arial" w:cs="Arial"/>
                <w:color w:val="000000" w:themeColor="text1"/>
                <w:kern w:val="0"/>
                <w:sz w:val="11"/>
                <w:szCs w:val="13"/>
              </w:rPr>
              <w:t>(七)易制毒化学品的产品包装和使用说明书不符合本条例规定要求的;</w:t>
            </w:r>
          </w:p>
          <w:p>
            <w:pPr>
              <w:tabs>
                <w:tab w:val="left" w:pos="7937"/>
              </w:tabs>
              <w:spacing w:line="240" w:lineRule="exact"/>
              <w:rPr>
                <w:rFonts w:ascii="仿宋_GB2312" w:hAnsi="Arial" w:cs="Arial"/>
                <w:color w:val="000000" w:themeColor="text1"/>
                <w:kern w:val="0"/>
                <w:sz w:val="11"/>
                <w:szCs w:val="13"/>
              </w:rPr>
            </w:pPr>
            <w:r>
              <w:rPr>
                <w:rFonts w:hint="eastAsia" w:ascii="仿宋_GB2312" w:hAnsi="Arial" w:cs="Arial"/>
                <w:color w:val="000000" w:themeColor="text1"/>
                <w:kern w:val="0"/>
                <w:sz w:val="11"/>
                <w:szCs w:val="13"/>
              </w:rPr>
              <w:t>(八)生产、经营易制毒化学品的单位不如实或者不按时向有关行政主管部门和公安机关报告年度生产、经销和库存等情况的。</w:t>
            </w:r>
          </w:p>
          <w:p>
            <w:pPr>
              <w:tabs>
                <w:tab w:val="left" w:pos="7937"/>
              </w:tabs>
              <w:spacing w:line="240" w:lineRule="exact"/>
              <w:rPr>
                <w:rFonts w:ascii="仿宋_GB2312" w:hAnsi="Arial" w:cs="Arial"/>
                <w:color w:val="000000" w:themeColor="text1"/>
                <w:kern w:val="0"/>
                <w:sz w:val="11"/>
                <w:szCs w:val="13"/>
              </w:rPr>
            </w:pPr>
            <w:r>
              <w:rPr>
                <w:rFonts w:hint="eastAsia" w:ascii="仿宋_GB2312" w:hAnsi="Arial" w:cs="Arial"/>
                <w:color w:val="000000" w:themeColor="text1"/>
                <w:kern w:val="0"/>
                <w:sz w:val="11"/>
                <w:szCs w:val="13"/>
              </w:rPr>
              <w:t>企业的易制毒化学品生产经营许可被依法吊销后,未及时到市场监督管理部门办理经营范围变更或者企业注销登记的,依照前款规定,对易制毒化学品予以没收,并处罚款。</w:t>
            </w:r>
          </w:p>
        </w:tc>
        <w:tc>
          <w:tcPr>
            <w:tcW w:w="1294" w:type="dxa"/>
            <w:gridSpan w:val="3"/>
            <w:vAlign w:val="center"/>
          </w:tcPr>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1、受案责任：发现该项违法行为，决定是否受案。</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2、调查取证责任：公安机关对受案的案件，及时组织调查取证，办案民警不得少于两人，与当事人有直接利害关系的应当回避。</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3、告知责任：作出行政处罚决定前，应制作《行政处罚告知书》送达当事人，告知违法事实及其享有的陈述、申辩等权利。</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4、决定责任：制作行政处罚决定书，载明行政处罚告知、当事人陈述申辩或者听证情况等内容。</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5、送达责任：行政处罚决定书按法律规定的方式送达当事人。</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6、执行责任：依照生效的行政处罚决定，依法予以执行。</w:t>
            </w:r>
          </w:p>
          <w:p>
            <w:pPr>
              <w:tabs>
                <w:tab w:val="left" w:pos="7937"/>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7、其他法律法规规章文件规定应履行的责任。</w:t>
            </w:r>
          </w:p>
        </w:tc>
        <w:tc>
          <w:tcPr>
            <w:tcW w:w="2370" w:type="dxa"/>
            <w:gridSpan w:val="4"/>
            <w:vAlign w:val="center"/>
          </w:tcPr>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因不履行或不正确履行行政职责，有下列情形的，行政机关及相关工作人员应承担相应责任：</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1、没有法律和事实依据实施行政处罚的；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2、行政处罚显失公正的；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3、执法人员玩忽职守，对应当予以制止和处罚的违法行为不予制止、处罚；</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4、应当依法追究刑事责任，而未追究刑事责任的；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5、擅自改变行政处罚种类、幅度的；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6、违反法定的行政处罚程序的；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7、在行政处罚过程中发生腐败行为的；</w:t>
            </w:r>
          </w:p>
          <w:p>
            <w:pPr>
              <w:tabs>
                <w:tab w:val="left" w:pos="7937"/>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8、其他违反法律法规规章文件规定的行为。</w:t>
            </w:r>
          </w:p>
        </w:tc>
        <w:tc>
          <w:tcPr>
            <w:tcW w:w="1098" w:type="dxa"/>
            <w:gridSpan w:val="2"/>
          </w:tcPr>
          <w:p>
            <w:pPr>
              <w:tabs>
                <w:tab w:val="left" w:pos="7937"/>
              </w:tabs>
              <w:spacing w:line="280" w:lineRule="exact"/>
              <w:rPr>
                <w:rFonts w:hint="eastAsia" w:ascii="仿宋_GB2312" w:hAnsi="Arial" w:cs="Arial"/>
                <w:color w:val="000000" w:themeColor="text1"/>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6301" w:hRule="exact"/>
        </w:trPr>
        <w:tc>
          <w:tcPr>
            <w:tcW w:w="456" w:type="dxa"/>
            <w:vAlign w:val="center"/>
          </w:tcPr>
          <w:p>
            <w:pPr>
              <w:tabs>
                <w:tab w:val="left" w:pos="7937"/>
              </w:tabs>
              <w:spacing w:line="240" w:lineRule="exact"/>
              <w:jc w:val="center"/>
              <w:rPr>
                <w:rFonts w:hint="default" w:ascii="宋体" w:hAnsi="宋体" w:eastAsia="宋体"/>
                <w:sz w:val="18"/>
                <w:lang w:val="en-US" w:eastAsia="zh-CN"/>
              </w:rPr>
            </w:pPr>
            <w:r>
              <w:rPr>
                <w:rFonts w:hint="eastAsia" w:ascii="宋体" w:hAnsi="宋体" w:eastAsia="宋体"/>
                <w:sz w:val="18"/>
                <w:lang w:val="en-US" w:eastAsia="zh-CN"/>
              </w:rPr>
              <w:t>46</w:t>
            </w:r>
          </w:p>
        </w:tc>
        <w:tc>
          <w:tcPr>
            <w:tcW w:w="589" w:type="dxa"/>
            <w:vAlign w:val="center"/>
          </w:tcPr>
          <w:p>
            <w:pPr>
              <w:tabs>
                <w:tab w:val="left" w:pos="7937"/>
              </w:tabs>
              <w:spacing w:line="240" w:lineRule="exact"/>
              <w:jc w:val="center"/>
              <w:rPr>
                <w:rFonts w:ascii="宋体" w:hAnsi="宋体" w:eastAsia="宋体"/>
                <w:sz w:val="18"/>
              </w:rPr>
            </w:pPr>
            <w:r>
              <w:rPr>
                <w:rFonts w:hint="eastAsia" w:ascii="宋体" w:hAnsi="宋体" w:eastAsia="宋体"/>
                <w:sz w:val="18"/>
              </w:rPr>
              <w:t>行政处罚</w:t>
            </w:r>
          </w:p>
        </w:tc>
        <w:tc>
          <w:tcPr>
            <w:tcW w:w="1189" w:type="dxa"/>
            <w:gridSpan w:val="2"/>
            <w:vAlign w:val="center"/>
          </w:tcPr>
          <w:p>
            <w:pPr>
              <w:tabs>
                <w:tab w:val="left" w:pos="7937"/>
              </w:tabs>
              <w:spacing w:line="240" w:lineRule="exact"/>
              <w:jc w:val="lef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易制毒化学品生产、经营、购买、运输或者进口、出口单位将许可证或者备案证明转借他人使用的</w:t>
            </w:r>
          </w:p>
        </w:tc>
        <w:tc>
          <w:tcPr>
            <w:tcW w:w="965" w:type="dxa"/>
            <w:gridSpan w:val="2"/>
            <w:vAlign w:val="center"/>
          </w:tcPr>
          <w:p>
            <w:pPr>
              <w:tabs>
                <w:tab w:val="left" w:pos="7937"/>
              </w:tabs>
              <w:spacing w:line="240" w:lineRule="exact"/>
              <w:jc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唐山市公安局开平分局刑警大队</w:t>
            </w:r>
          </w:p>
        </w:tc>
        <w:tc>
          <w:tcPr>
            <w:tcW w:w="5065" w:type="dxa"/>
            <w:gridSpan w:val="8"/>
            <w:vAlign w:val="center"/>
          </w:tcPr>
          <w:p>
            <w:pPr>
              <w:tabs>
                <w:tab w:val="left" w:pos="7937"/>
              </w:tabs>
              <w:spacing w:line="240" w:lineRule="exact"/>
              <w:rPr>
                <w:rFonts w:ascii="仿宋_GB2312" w:hAnsi="Arial" w:cs="Arial"/>
                <w:color w:val="000000" w:themeColor="text1"/>
                <w:kern w:val="0"/>
                <w:sz w:val="11"/>
                <w:szCs w:val="13"/>
              </w:rPr>
            </w:pPr>
            <w:r>
              <w:rPr>
                <w:rFonts w:hint="eastAsia" w:ascii="仿宋_GB2312" w:hAnsi="Arial" w:cs="Arial"/>
                <w:color w:val="000000" w:themeColor="text1"/>
                <w:kern w:val="0"/>
                <w:sz w:val="11"/>
                <w:szCs w:val="13"/>
              </w:rPr>
              <w:t>易制毒化学品管理条例（2018年9月18日修正版）第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pPr>
              <w:tabs>
                <w:tab w:val="left" w:pos="7937"/>
              </w:tabs>
              <w:spacing w:line="240" w:lineRule="exact"/>
              <w:rPr>
                <w:rFonts w:ascii="仿宋_GB2312" w:hAnsi="Arial" w:cs="Arial"/>
                <w:color w:val="000000" w:themeColor="text1"/>
                <w:kern w:val="0"/>
                <w:sz w:val="11"/>
                <w:szCs w:val="13"/>
              </w:rPr>
            </w:pPr>
            <w:r>
              <w:rPr>
                <w:rFonts w:hint="eastAsia" w:ascii="仿宋_GB2312" w:hAnsi="Arial" w:cs="Arial"/>
                <w:color w:val="000000" w:themeColor="text1"/>
                <w:kern w:val="0"/>
                <w:sz w:val="11"/>
                <w:szCs w:val="13"/>
              </w:rPr>
              <w:t>(一)易制毒化学品生产、经营、购买、运输或者进口、出口单位未按规定建立安全管理制度的;</w:t>
            </w:r>
          </w:p>
          <w:p>
            <w:pPr>
              <w:tabs>
                <w:tab w:val="left" w:pos="7937"/>
              </w:tabs>
              <w:spacing w:line="240" w:lineRule="exact"/>
              <w:rPr>
                <w:rFonts w:ascii="仿宋_GB2312" w:hAnsi="Arial" w:cs="Arial"/>
                <w:color w:val="000000" w:themeColor="text1"/>
                <w:kern w:val="0"/>
                <w:sz w:val="11"/>
                <w:szCs w:val="13"/>
              </w:rPr>
            </w:pPr>
            <w:r>
              <w:rPr>
                <w:rFonts w:hint="eastAsia" w:ascii="仿宋_GB2312" w:hAnsi="Arial" w:cs="Arial"/>
                <w:color w:val="000000" w:themeColor="text1"/>
                <w:kern w:val="0"/>
                <w:sz w:val="11"/>
                <w:szCs w:val="13"/>
              </w:rPr>
              <w:t>(二)将许可证或者备案证明转借他人使用的;</w:t>
            </w:r>
          </w:p>
          <w:p>
            <w:pPr>
              <w:tabs>
                <w:tab w:val="left" w:pos="7937"/>
              </w:tabs>
              <w:spacing w:line="240" w:lineRule="exact"/>
              <w:rPr>
                <w:rFonts w:ascii="仿宋_GB2312" w:hAnsi="Arial" w:cs="Arial"/>
                <w:color w:val="000000" w:themeColor="text1"/>
                <w:kern w:val="0"/>
                <w:sz w:val="11"/>
                <w:szCs w:val="13"/>
              </w:rPr>
            </w:pPr>
            <w:r>
              <w:rPr>
                <w:rFonts w:hint="eastAsia" w:ascii="仿宋_GB2312" w:hAnsi="Arial" w:cs="Arial"/>
                <w:color w:val="000000" w:themeColor="text1"/>
                <w:kern w:val="0"/>
                <w:sz w:val="11"/>
                <w:szCs w:val="13"/>
              </w:rPr>
              <w:t>(三)超出许可的品种、数量生产、经营、购买易制毒化学品的;</w:t>
            </w:r>
          </w:p>
          <w:p>
            <w:pPr>
              <w:tabs>
                <w:tab w:val="left" w:pos="7937"/>
              </w:tabs>
              <w:spacing w:line="240" w:lineRule="exact"/>
              <w:rPr>
                <w:rFonts w:ascii="仿宋_GB2312" w:hAnsi="Arial" w:cs="Arial"/>
                <w:color w:val="000000" w:themeColor="text1"/>
                <w:kern w:val="0"/>
                <w:sz w:val="11"/>
                <w:szCs w:val="13"/>
              </w:rPr>
            </w:pPr>
            <w:r>
              <w:rPr>
                <w:rFonts w:hint="eastAsia" w:ascii="仿宋_GB2312" w:hAnsi="Arial" w:cs="Arial"/>
                <w:color w:val="000000" w:themeColor="text1"/>
                <w:kern w:val="0"/>
                <w:sz w:val="11"/>
                <w:szCs w:val="13"/>
              </w:rPr>
              <w:t>(四)生产、经营、购买单位不记录或者不如实记录交易情况、不按规定保存交易记录或者不如实、不及时向公安机关和有关行政主管部门备案销售情况的;</w:t>
            </w:r>
          </w:p>
          <w:p>
            <w:pPr>
              <w:tabs>
                <w:tab w:val="left" w:pos="7937"/>
              </w:tabs>
              <w:spacing w:line="240" w:lineRule="exact"/>
              <w:rPr>
                <w:rFonts w:ascii="仿宋_GB2312" w:hAnsi="Arial" w:cs="Arial"/>
                <w:color w:val="000000" w:themeColor="text1"/>
                <w:kern w:val="0"/>
                <w:sz w:val="11"/>
                <w:szCs w:val="13"/>
              </w:rPr>
            </w:pPr>
            <w:r>
              <w:rPr>
                <w:rFonts w:hint="eastAsia" w:ascii="仿宋_GB2312" w:hAnsi="Arial" w:cs="Arial"/>
                <w:color w:val="000000" w:themeColor="text1"/>
                <w:kern w:val="0"/>
                <w:sz w:val="11"/>
                <w:szCs w:val="13"/>
              </w:rPr>
              <w:t>(五)易制毒化学品丢失、被盗、被抢后未及时报告,造成严重后果的;</w:t>
            </w:r>
          </w:p>
          <w:p>
            <w:pPr>
              <w:tabs>
                <w:tab w:val="left" w:pos="7937"/>
              </w:tabs>
              <w:spacing w:line="240" w:lineRule="exact"/>
              <w:rPr>
                <w:rFonts w:ascii="仿宋_GB2312" w:hAnsi="Arial" w:cs="Arial"/>
                <w:color w:val="000000" w:themeColor="text1"/>
                <w:kern w:val="0"/>
                <w:sz w:val="11"/>
                <w:szCs w:val="13"/>
              </w:rPr>
            </w:pPr>
            <w:r>
              <w:rPr>
                <w:rFonts w:hint="eastAsia" w:ascii="仿宋_GB2312" w:hAnsi="Arial" w:cs="Arial"/>
                <w:color w:val="000000" w:themeColor="text1"/>
                <w:kern w:val="0"/>
                <w:sz w:val="11"/>
                <w:szCs w:val="13"/>
              </w:rPr>
              <w:t>(六)除个人合法购买第一类中的药品类易制毒化学品药品制剂以及第三类易制毒化学品外,使用现金或者实物进行易制毒化学品交易的;</w:t>
            </w:r>
          </w:p>
          <w:p>
            <w:pPr>
              <w:tabs>
                <w:tab w:val="left" w:pos="7937"/>
              </w:tabs>
              <w:spacing w:line="240" w:lineRule="exact"/>
              <w:rPr>
                <w:rFonts w:ascii="仿宋_GB2312" w:hAnsi="Arial" w:cs="Arial"/>
                <w:color w:val="000000" w:themeColor="text1"/>
                <w:kern w:val="0"/>
                <w:sz w:val="11"/>
                <w:szCs w:val="13"/>
              </w:rPr>
            </w:pPr>
            <w:r>
              <w:rPr>
                <w:rFonts w:hint="eastAsia" w:ascii="仿宋_GB2312" w:hAnsi="Arial" w:cs="Arial"/>
                <w:color w:val="000000" w:themeColor="text1"/>
                <w:kern w:val="0"/>
                <w:sz w:val="11"/>
                <w:szCs w:val="13"/>
              </w:rPr>
              <w:t>(七)易制毒化学品的产品包装和使用说明书不符合本条例规定要求的;</w:t>
            </w:r>
          </w:p>
          <w:p>
            <w:pPr>
              <w:tabs>
                <w:tab w:val="left" w:pos="7937"/>
              </w:tabs>
              <w:spacing w:line="240" w:lineRule="exact"/>
              <w:rPr>
                <w:rFonts w:ascii="仿宋_GB2312" w:hAnsi="Arial" w:cs="Arial"/>
                <w:color w:val="000000" w:themeColor="text1"/>
                <w:kern w:val="0"/>
                <w:sz w:val="11"/>
                <w:szCs w:val="13"/>
              </w:rPr>
            </w:pPr>
            <w:r>
              <w:rPr>
                <w:rFonts w:hint="eastAsia" w:ascii="仿宋_GB2312" w:hAnsi="Arial" w:cs="Arial"/>
                <w:color w:val="000000" w:themeColor="text1"/>
                <w:kern w:val="0"/>
                <w:sz w:val="11"/>
                <w:szCs w:val="13"/>
              </w:rPr>
              <w:t>(八)生产、经营易制毒化学品的单位不如实或者不按时向有关行政主管部门和公安机关报告年度生产、经销和库存等情况的。</w:t>
            </w:r>
          </w:p>
          <w:p>
            <w:pPr>
              <w:tabs>
                <w:tab w:val="left" w:pos="7937"/>
              </w:tabs>
              <w:spacing w:line="240" w:lineRule="exact"/>
              <w:rPr>
                <w:rFonts w:ascii="仿宋_GB2312" w:hAnsi="Arial" w:cs="Arial"/>
                <w:color w:val="000000" w:themeColor="text1"/>
                <w:kern w:val="0"/>
                <w:sz w:val="11"/>
                <w:szCs w:val="13"/>
              </w:rPr>
            </w:pPr>
            <w:r>
              <w:rPr>
                <w:rFonts w:hint="eastAsia" w:ascii="仿宋_GB2312" w:hAnsi="Arial" w:cs="Arial"/>
                <w:color w:val="000000" w:themeColor="text1"/>
                <w:kern w:val="0"/>
                <w:sz w:val="11"/>
                <w:szCs w:val="13"/>
              </w:rPr>
              <w:t>企业的易制毒化学品生产经营许可被依法吊销后,未及时到市场监督管理部门办理经营范围变更或者企业注销登记的,依照前款规定,对易制毒化学品予以没收,并处罚款。</w:t>
            </w:r>
          </w:p>
        </w:tc>
        <w:tc>
          <w:tcPr>
            <w:tcW w:w="1294" w:type="dxa"/>
            <w:gridSpan w:val="3"/>
            <w:vAlign w:val="center"/>
          </w:tcPr>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1、受案责任：发现该项违法行为，决定是否受案。</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2、调查取证责任：公安机关对受案的案件，及时组织调查取证，办案民警不得少于两人，与当事人有直接利害关系的应当回避。</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3、告知责任：作出行政处罚决定前，应制作《行政处罚告知书》送达当事人，告知违法事实及其享有的陈述、申辩等权利。</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4、决定责任：制作行政处罚决定书，载明行政处罚告知、当事人陈述申辩或者听证情况等内容。</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5、送达责任：行政处罚决定书按法律规定的方式送达当事人。</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6、执行责任：依照生效的行政处罚决定，依法予以执行。</w:t>
            </w:r>
          </w:p>
          <w:p>
            <w:pPr>
              <w:tabs>
                <w:tab w:val="left" w:pos="7937"/>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7、其他法律法规规章文件规定应履行的责任。</w:t>
            </w:r>
          </w:p>
        </w:tc>
        <w:tc>
          <w:tcPr>
            <w:tcW w:w="2370" w:type="dxa"/>
            <w:gridSpan w:val="4"/>
            <w:vAlign w:val="center"/>
          </w:tcPr>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因不履行或不正确履行行政职责，有下列情形的，行政机关及相关工作人员应承担相应责任：</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1、没有法律和事实依据实施行政处罚的；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2、行政处罚显失公正的；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3、执法人员玩忽职守，对应当予以制止和处罚的违法行为不予制止、处罚；</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4、应当依法追究刑事责任，而未追究刑事责任的；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5、擅自改变行政处罚种类、幅度的；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6、违反法定的行政处罚程序的；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7、在行政处罚过程中发生腐败行为的；</w:t>
            </w:r>
          </w:p>
          <w:p>
            <w:pPr>
              <w:tabs>
                <w:tab w:val="left" w:pos="7937"/>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8、其他违反法律法规规章文件规定的行为。</w:t>
            </w:r>
          </w:p>
        </w:tc>
        <w:tc>
          <w:tcPr>
            <w:tcW w:w="1098" w:type="dxa"/>
            <w:gridSpan w:val="2"/>
          </w:tcPr>
          <w:p>
            <w:pPr>
              <w:tabs>
                <w:tab w:val="left" w:pos="7937"/>
              </w:tabs>
              <w:spacing w:line="280" w:lineRule="exact"/>
              <w:rPr>
                <w:rFonts w:hint="eastAsia" w:ascii="仿宋_GB2312" w:hAnsi="Arial" w:cs="Arial"/>
                <w:color w:val="000000" w:themeColor="text1"/>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6301" w:hRule="exact"/>
        </w:trPr>
        <w:tc>
          <w:tcPr>
            <w:tcW w:w="456" w:type="dxa"/>
            <w:vAlign w:val="center"/>
          </w:tcPr>
          <w:p>
            <w:pPr>
              <w:tabs>
                <w:tab w:val="left" w:pos="7937"/>
              </w:tabs>
              <w:spacing w:line="240" w:lineRule="exact"/>
              <w:jc w:val="center"/>
              <w:rPr>
                <w:rFonts w:hint="default" w:ascii="宋体" w:hAnsi="宋体" w:eastAsia="宋体"/>
                <w:sz w:val="18"/>
                <w:lang w:val="en-US" w:eastAsia="zh-CN"/>
              </w:rPr>
            </w:pPr>
            <w:r>
              <w:rPr>
                <w:rFonts w:hint="eastAsia" w:ascii="宋体" w:hAnsi="宋体" w:eastAsia="宋体"/>
                <w:sz w:val="18"/>
                <w:lang w:val="en-US" w:eastAsia="zh-CN"/>
              </w:rPr>
              <w:t>47</w:t>
            </w:r>
          </w:p>
        </w:tc>
        <w:tc>
          <w:tcPr>
            <w:tcW w:w="589" w:type="dxa"/>
            <w:vAlign w:val="center"/>
          </w:tcPr>
          <w:p>
            <w:pPr>
              <w:tabs>
                <w:tab w:val="left" w:pos="7937"/>
              </w:tabs>
              <w:spacing w:line="240" w:lineRule="exact"/>
              <w:jc w:val="center"/>
              <w:rPr>
                <w:rFonts w:ascii="宋体" w:hAnsi="宋体" w:eastAsia="宋体"/>
                <w:sz w:val="18"/>
              </w:rPr>
            </w:pPr>
            <w:r>
              <w:rPr>
                <w:rFonts w:hint="eastAsia" w:ascii="宋体" w:hAnsi="宋体" w:eastAsia="宋体"/>
                <w:sz w:val="18"/>
              </w:rPr>
              <w:t>行政处罚</w:t>
            </w:r>
          </w:p>
        </w:tc>
        <w:tc>
          <w:tcPr>
            <w:tcW w:w="1189" w:type="dxa"/>
            <w:gridSpan w:val="2"/>
            <w:vAlign w:val="center"/>
          </w:tcPr>
          <w:p>
            <w:pPr>
              <w:tabs>
                <w:tab w:val="left" w:pos="7937"/>
              </w:tabs>
              <w:spacing w:line="240" w:lineRule="exact"/>
              <w:jc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易制毒化学品生产、经营、购买、运输或者进口、出口单位超出许可的品种、数量生产、经营、购买易制毒化学品的</w:t>
            </w:r>
          </w:p>
        </w:tc>
        <w:tc>
          <w:tcPr>
            <w:tcW w:w="965" w:type="dxa"/>
            <w:gridSpan w:val="2"/>
            <w:vAlign w:val="center"/>
          </w:tcPr>
          <w:p>
            <w:pPr>
              <w:tabs>
                <w:tab w:val="left" w:pos="7937"/>
              </w:tabs>
              <w:spacing w:line="240" w:lineRule="exact"/>
              <w:jc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唐山市公安局开平分局刑警大队</w:t>
            </w:r>
          </w:p>
        </w:tc>
        <w:tc>
          <w:tcPr>
            <w:tcW w:w="5065" w:type="dxa"/>
            <w:gridSpan w:val="8"/>
            <w:vAlign w:val="center"/>
          </w:tcPr>
          <w:p>
            <w:pPr>
              <w:tabs>
                <w:tab w:val="left" w:pos="7937"/>
              </w:tabs>
              <w:spacing w:line="240" w:lineRule="exact"/>
              <w:rPr>
                <w:rFonts w:ascii="仿宋_GB2312" w:hAnsi="Arial" w:cs="Arial"/>
                <w:color w:val="000000" w:themeColor="text1"/>
                <w:kern w:val="0"/>
                <w:sz w:val="11"/>
                <w:szCs w:val="13"/>
              </w:rPr>
            </w:pPr>
            <w:r>
              <w:rPr>
                <w:rFonts w:hint="eastAsia" w:ascii="仿宋_GB2312" w:hAnsi="Arial" w:cs="Arial"/>
                <w:color w:val="000000" w:themeColor="text1"/>
                <w:kern w:val="0"/>
                <w:sz w:val="11"/>
                <w:szCs w:val="13"/>
              </w:rPr>
              <w:t>易制毒化学品管理条例（2018年9月18日修正版）第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pPr>
              <w:tabs>
                <w:tab w:val="left" w:pos="7937"/>
              </w:tabs>
              <w:spacing w:line="240" w:lineRule="exact"/>
              <w:rPr>
                <w:rFonts w:ascii="仿宋_GB2312" w:hAnsi="Arial" w:cs="Arial"/>
                <w:color w:val="000000" w:themeColor="text1"/>
                <w:kern w:val="0"/>
                <w:sz w:val="11"/>
                <w:szCs w:val="13"/>
              </w:rPr>
            </w:pPr>
            <w:r>
              <w:rPr>
                <w:rFonts w:hint="eastAsia" w:ascii="仿宋_GB2312" w:hAnsi="Arial" w:cs="Arial"/>
                <w:color w:val="000000" w:themeColor="text1"/>
                <w:kern w:val="0"/>
                <w:sz w:val="11"/>
                <w:szCs w:val="13"/>
              </w:rPr>
              <w:t>(一)易制毒化学品生产、经营、购买、运输或者进口、出口单位未按规定建立安全管理制度的;</w:t>
            </w:r>
          </w:p>
          <w:p>
            <w:pPr>
              <w:tabs>
                <w:tab w:val="left" w:pos="7937"/>
              </w:tabs>
              <w:spacing w:line="240" w:lineRule="exact"/>
              <w:rPr>
                <w:rFonts w:ascii="仿宋_GB2312" w:hAnsi="Arial" w:cs="Arial"/>
                <w:color w:val="000000" w:themeColor="text1"/>
                <w:kern w:val="0"/>
                <w:sz w:val="11"/>
                <w:szCs w:val="13"/>
              </w:rPr>
            </w:pPr>
            <w:r>
              <w:rPr>
                <w:rFonts w:hint="eastAsia" w:ascii="仿宋_GB2312" w:hAnsi="Arial" w:cs="Arial"/>
                <w:color w:val="000000" w:themeColor="text1"/>
                <w:kern w:val="0"/>
                <w:sz w:val="11"/>
                <w:szCs w:val="13"/>
              </w:rPr>
              <w:t>(二)将许可证或者备案证明转借他人使用的;</w:t>
            </w:r>
          </w:p>
          <w:p>
            <w:pPr>
              <w:tabs>
                <w:tab w:val="left" w:pos="7937"/>
              </w:tabs>
              <w:spacing w:line="240" w:lineRule="exact"/>
              <w:rPr>
                <w:rFonts w:ascii="仿宋_GB2312" w:hAnsi="Arial" w:cs="Arial"/>
                <w:color w:val="000000" w:themeColor="text1"/>
                <w:kern w:val="0"/>
                <w:sz w:val="11"/>
                <w:szCs w:val="13"/>
              </w:rPr>
            </w:pPr>
            <w:r>
              <w:rPr>
                <w:rFonts w:hint="eastAsia" w:ascii="仿宋_GB2312" w:hAnsi="Arial" w:cs="Arial"/>
                <w:color w:val="000000" w:themeColor="text1"/>
                <w:kern w:val="0"/>
                <w:sz w:val="11"/>
                <w:szCs w:val="13"/>
              </w:rPr>
              <w:t>(三)超出许可的品种、数量生产、经营、购买易制毒化学品的;</w:t>
            </w:r>
          </w:p>
          <w:p>
            <w:pPr>
              <w:tabs>
                <w:tab w:val="left" w:pos="7937"/>
              </w:tabs>
              <w:spacing w:line="240" w:lineRule="exact"/>
              <w:rPr>
                <w:rFonts w:ascii="仿宋_GB2312" w:hAnsi="Arial" w:cs="Arial"/>
                <w:color w:val="000000" w:themeColor="text1"/>
                <w:kern w:val="0"/>
                <w:sz w:val="11"/>
                <w:szCs w:val="13"/>
              </w:rPr>
            </w:pPr>
            <w:r>
              <w:rPr>
                <w:rFonts w:hint="eastAsia" w:ascii="仿宋_GB2312" w:hAnsi="Arial" w:cs="Arial"/>
                <w:color w:val="000000" w:themeColor="text1"/>
                <w:kern w:val="0"/>
                <w:sz w:val="11"/>
                <w:szCs w:val="13"/>
              </w:rPr>
              <w:t>(四)生产、经营、购买单位不记录或者不如实记录交易情况、不按规定保存交易记录或者不如实、不及时向公安机关和有关行政主管部门备案销售情况的;</w:t>
            </w:r>
          </w:p>
          <w:p>
            <w:pPr>
              <w:tabs>
                <w:tab w:val="left" w:pos="7937"/>
              </w:tabs>
              <w:spacing w:line="240" w:lineRule="exact"/>
              <w:rPr>
                <w:rFonts w:ascii="仿宋_GB2312" w:hAnsi="Arial" w:cs="Arial"/>
                <w:color w:val="000000" w:themeColor="text1"/>
                <w:kern w:val="0"/>
                <w:sz w:val="11"/>
                <w:szCs w:val="13"/>
              </w:rPr>
            </w:pPr>
            <w:r>
              <w:rPr>
                <w:rFonts w:hint="eastAsia" w:ascii="仿宋_GB2312" w:hAnsi="Arial" w:cs="Arial"/>
                <w:color w:val="000000" w:themeColor="text1"/>
                <w:kern w:val="0"/>
                <w:sz w:val="11"/>
                <w:szCs w:val="13"/>
              </w:rPr>
              <w:t>(五)易制毒化学品丢失、被盗、被抢后未及时报告,造成严重后果的;</w:t>
            </w:r>
          </w:p>
          <w:p>
            <w:pPr>
              <w:tabs>
                <w:tab w:val="left" w:pos="7937"/>
              </w:tabs>
              <w:spacing w:line="240" w:lineRule="exact"/>
              <w:rPr>
                <w:rFonts w:ascii="仿宋_GB2312" w:hAnsi="Arial" w:cs="Arial"/>
                <w:color w:val="000000" w:themeColor="text1"/>
                <w:kern w:val="0"/>
                <w:sz w:val="11"/>
                <w:szCs w:val="13"/>
              </w:rPr>
            </w:pPr>
            <w:r>
              <w:rPr>
                <w:rFonts w:hint="eastAsia" w:ascii="仿宋_GB2312" w:hAnsi="Arial" w:cs="Arial"/>
                <w:color w:val="000000" w:themeColor="text1"/>
                <w:kern w:val="0"/>
                <w:sz w:val="11"/>
                <w:szCs w:val="13"/>
              </w:rPr>
              <w:t>(六)除个人合法购买第一类中的药品类易制毒化学品药品制剂以及第三类易制毒化学品外,使用现金或者实物进行易制毒化学品交易的;</w:t>
            </w:r>
          </w:p>
          <w:p>
            <w:pPr>
              <w:tabs>
                <w:tab w:val="left" w:pos="7937"/>
              </w:tabs>
              <w:spacing w:line="240" w:lineRule="exact"/>
              <w:rPr>
                <w:rFonts w:ascii="仿宋_GB2312" w:hAnsi="Arial" w:cs="Arial"/>
                <w:color w:val="000000" w:themeColor="text1"/>
                <w:kern w:val="0"/>
                <w:sz w:val="11"/>
                <w:szCs w:val="13"/>
              </w:rPr>
            </w:pPr>
            <w:r>
              <w:rPr>
                <w:rFonts w:hint="eastAsia" w:ascii="仿宋_GB2312" w:hAnsi="Arial" w:cs="Arial"/>
                <w:color w:val="000000" w:themeColor="text1"/>
                <w:kern w:val="0"/>
                <w:sz w:val="11"/>
                <w:szCs w:val="13"/>
              </w:rPr>
              <w:t>(七)易制毒化学品的产品包装和使用说明书不符合本条例规定要求的;</w:t>
            </w:r>
          </w:p>
          <w:p>
            <w:pPr>
              <w:tabs>
                <w:tab w:val="left" w:pos="7937"/>
              </w:tabs>
              <w:spacing w:line="240" w:lineRule="exact"/>
              <w:rPr>
                <w:rFonts w:ascii="仿宋_GB2312" w:hAnsi="Arial" w:cs="Arial"/>
                <w:color w:val="000000" w:themeColor="text1"/>
                <w:kern w:val="0"/>
                <w:sz w:val="11"/>
                <w:szCs w:val="13"/>
              </w:rPr>
            </w:pPr>
            <w:r>
              <w:rPr>
                <w:rFonts w:hint="eastAsia" w:ascii="仿宋_GB2312" w:hAnsi="Arial" w:cs="Arial"/>
                <w:color w:val="000000" w:themeColor="text1"/>
                <w:kern w:val="0"/>
                <w:sz w:val="11"/>
                <w:szCs w:val="13"/>
              </w:rPr>
              <w:t>(八)生产、经营易制毒化学品的单位不如实或者不按时向有关行政主管部门和公安机关报告年度生产、经销和库存等情况的。</w:t>
            </w:r>
          </w:p>
          <w:p>
            <w:pPr>
              <w:tabs>
                <w:tab w:val="left" w:pos="7937"/>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1"/>
                <w:szCs w:val="13"/>
              </w:rPr>
              <w:t>企业的易制毒化学品生产经营许可被依法吊销后,未及时到市场监督管理部门办理经营范围变更或者企业注销登记的,依照前款规定,对易制毒化学品予以没收,并处罚款。</w:t>
            </w:r>
          </w:p>
        </w:tc>
        <w:tc>
          <w:tcPr>
            <w:tcW w:w="1294" w:type="dxa"/>
            <w:gridSpan w:val="3"/>
            <w:vAlign w:val="center"/>
          </w:tcPr>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1、受案责任：发现该项违法行为，决定是否受案。</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2、调查取证责任：公安机关对受案的案件，及时组织调查取证，办案民警不得少于两人，与当事人有直接利害关系的应当回避。</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3、告知责任：作出行政处罚决定前，应制作《行政处罚告知书》送达当事人，告知违法事实及其享有的陈述、申辩等权利。</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4、决定责任：制作行政处罚决定书，载明行政处罚告知、当事人陈述申辩或者听证情况等内容。</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5、送达责任：行政处罚决定书按法律规定的方式送达当事人。</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6、执行责任：依照生效的行政处罚决定，依法予以执行。</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7、其他法律法规规章文件规定应履行的责任。</w:t>
            </w:r>
          </w:p>
        </w:tc>
        <w:tc>
          <w:tcPr>
            <w:tcW w:w="2370" w:type="dxa"/>
            <w:gridSpan w:val="4"/>
            <w:vAlign w:val="center"/>
          </w:tcPr>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因不履行或不正确履行行政职责，有下列情形的，行政机关及相关工作人员应承担相应责任：</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1、没有法律和事实依据实施行政处罚的；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2、行政处罚显失公正的；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3、执法人员玩忽职守，对应当予以制止和处罚的违法行为不予制止、处罚；</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4、应当依法追究刑事责任，而未追究刑事责任的；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5、擅自改变行政处罚种类、幅度的；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6、违反法定的行政处罚程序的；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7、在行政处罚过程中发生腐败行为的；</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8、其他违反法律法规规章文件规定的行为。</w:t>
            </w:r>
          </w:p>
        </w:tc>
        <w:tc>
          <w:tcPr>
            <w:tcW w:w="1098" w:type="dxa"/>
            <w:gridSpan w:val="2"/>
          </w:tcPr>
          <w:p>
            <w:pPr>
              <w:tabs>
                <w:tab w:val="left" w:pos="7937"/>
              </w:tabs>
              <w:spacing w:line="280" w:lineRule="exact"/>
              <w:rPr>
                <w:rFonts w:hint="eastAsia" w:ascii="仿宋_GB2312" w:hAnsi="Arial" w:cs="Arial"/>
                <w:color w:val="000000" w:themeColor="text1"/>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8225" w:hRule="exact"/>
        </w:trPr>
        <w:tc>
          <w:tcPr>
            <w:tcW w:w="4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hint="default" w:eastAsia="仿宋_GB2312"/>
                <w:sz w:val="20"/>
                <w:szCs w:val="20"/>
                <w:lang w:val="en-US" w:eastAsia="zh-CN"/>
              </w:rPr>
            </w:pPr>
            <w:r>
              <w:rPr>
                <w:rFonts w:hint="eastAsia"/>
                <w:sz w:val="20"/>
                <w:szCs w:val="20"/>
                <w:lang w:val="en-US" w:eastAsia="zh-CN"/>
              </w:rPr>
              <w:t>48</w:t>
            </w:r>
          </w:p>
        </w:tc>
        <w:tc>
          <w:tcPr>
            <w:tcW w:w="58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sz w:val="20"/>
                <w:szCs w:val="20"/>
              </w:rPr>
            </w:pPr>
            <w:r>
              <w:rPr>
                <w:rFonts w:hint="eastAsia"/>
                <w:sz w:val="20"/>
                <w:szCs w:val="20"/>
              </w:rPr>
              <w:t>行政处罚</w:t>
            </w:r>
          </w:p>
        </w:tc>
        <w:tc>
          <w:tcPr>
            <w:tcW w:w="118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易制毒化学品生产、经营、购买单位不记录或者不如实记录交易情况、不按规定保存交易记录或者不如实、不及时向公安机关和有关行政主管部门备案销售情况的</w:t>
            </w:r>
          </w:p>
        </w:tc>
        <w:tc>
          <w:tcPr>
            <w:tcW w:w="96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唐山市公安局开平分局刑警大队</w:t>
            </w:r>
          </w:p>
        </w:tc>
        <w:tc>
          <w:tcPr>
            <w:tcW w:w="5065"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易制毒化学品管理条例（2018年9月18日修正版）第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(一)易制毒化学品生产、经营、购买、运输或者进口、出口单位未按规定建立安全管理制度的;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(二)将许可证或者备案证明转借他人使用的;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(三)超出许可的品种、数量生产、经营、购买易制毒化学品的;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(四)生产、经营、购买单位不记录或者不如实记录交易情况、不按规定保存交易记录或者不如实、不及时向公安机关和有关行政主管部门备案销售情况的;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(五)易制毒化学品丢失、被盗、被抢后未及时报告,造成严重后果的;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(六)除个人合法购买第一类中的药品类易制毒化学品药品制剂以及第三类易制毒化学品外,使用现金或者实物进行易制毒化学品交易的;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(七)易制毒化学品的产品包装和使用说明书不符合本条例规定要求的;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(八)生产、经营易制毒化学品的单位不如实或者不按时向有关行政主管部门和公安机关报告年度生产、经销和库存等情况的。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企业的易制毒化学品生产经营许可被依法吊销后,未及时到市场监督管理部门办理经营范围变更或者企业注销登记的,依照前款规定,对易制毒化学品予以没收,并处罚款。</w:t>
            </w:r>
          </w:p>
        </w:tc>
        <w:tc>
          <w:tcPr>
            <w:tcW w:w="129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1、受案责任：发现该项违法行为，决定是否受案。</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2、调查取证责任：公安机关对受案的案件，及时组织调查取证，办案民警不得少于两人，与当事人有直接利害关系的应当回避。</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3、告知责任：作出行政处罚决定前，应制作《行政处罚告知书》送达当事人，告知违法事实及其享有的陈述、申辩等权利。</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4、决定责任：制作行政处罚决定书，载明行政处罚告知、当事人陈述申辩或者听证情况等内容。</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5、送达责任：行政处罚决定书按法律规定的方式送达当事人。</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6、执行责任：依照生效的行政处罚决定，依法予以执行。</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7、其他法律法规规章文件规定应履行的责任。</w:t>
            </w:r>
          </w:p>
        </w:tc>
        <w:tc>
          <w:tcPr>
            <w:tcW w:w="237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因不履行或不正确履行行政职责，有下列情形的，行政机关及相关工作人员应承担相应责任：</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1、没有法律和事实依据实施行政处罚的；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2、行政处罚显失公正的；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3、执法人员玩忽职守，对应当予以制止和处罚的违法行为不予制止、处罚；</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4、应当依法追究刑事责任，而未追究刑事责任的；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5、擅自改变行政处罚种类、幅度的；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6、违反法定的行政处罚程序的；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7、在行政处罚过程中发生腐败行为的；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8、其他违反法律法规规章文件规定的行为。</w:t>
            </w:r>
          </w:p>
        </w:tc>
        <w:tc>
          <w:tcPr>
            <w:tcW w:w="1098" w:type="dxa"/>
            <w:gridSpan w:val="2"/>
            <w:tcBorders>
              <w:top w:val="single" w:color="auto" w:sz="4" w:space="0"/>
              <w:left w:val="single" w:color="auto" w:sz="4" w:space="0"/>
              <w:bottom w:val="single" w:color="auto" w:sz="4" w:space="0"/>
              <w:right w:val="single" w:color="auto" w:sz="4" w:space="0"/>
            </w:tcBorders>
          </w:tcPr>
          <w:p>
            <w:pPr>
              <w:spacing w:line="240" w:lineRule="exact"/>
              <w:textAlignment w:val="center"/>
              <w:rPr>
                <w:rFonts w:ascii="仿宋_GB2312" w:hAnsi="Arial" w:cs="Arial"/>
                <w:color w:val="000000" w:themeColor="text1"/>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8225" w:hRule="exact"/>
        </w:trPr>
        <w:tc>
          <w:tcPr>
            <w:tcW w:w="4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hint="default" w:eastAsia="仿宋_GB2312"/>
                <w:sz w:val="20"/>
                <w:szCs w:val="20"/>
                <w:lang w:val="en-US" w:eastAsia="zh-CN"/>
              </w:rPr>
            </w:pPr>
            <w:r>
              <w:rPr>
                <w:rFonts w:hint="eastAsia"/>
                <w:sz w:val="20"/>
                <w:szCs w:val="20"/>
                <w:lang w:val="en-US" w:eastAsia="zh-CN"/>
              </w:rPr>
              <w:t>49</w:t>
            </w:r>
          </w:p>
        </w:tc>
        <w:tc>
          <w:tcPr>
            <w:tcW w:w="58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sz w:val="20"/>
                <w:szCs w:val="20"/>
              </w:rPr>
            </w:pPr>
            <w:r>
              <w:rPr>
                <w:rFonts w:hint="eastAsia"/>
                <w:sz w:val="20"/>
                <w:szCs w:val="20"/>
              </w:rPr>
              <w:t>行政处罚</w:t>
            </w:r>
          </w:p>
        </w:tc>
        <w:tc>
          <w:tcPr>
            <w:tcW w:w="118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易制毒化学品生产、经营、购买、运输或者进口、出口单位易制毒化学品丢失、被盗、被抢后未及时报告,造成严重后果的</w:t>
            </w:r>
          </w:p>
        </w:tc>
        <w:tc>
          <w:tcPr>
            <w:tcW w:w="96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唐山市公安局开平分局刑警大队</w:t>
            </w:r>
          </w:p>
        </w:tc>
        <w:tc>
          <w:tcPr>
            <w:tcW w:w="5065"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易制毒化学品管理条例（2018年9月18日修正版）第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(一)易制毒化学品生产、经营、购买、运输或者进口、出口单位未按规定建立安全管理制度的;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(二)将许可证或者备案证明转借他人使用的;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(三)超出许可的品种、数量生产、经营、购买易制毒化学品的;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(四)生产、经营、购买单位不记录或者不如实记录交易情况、不按规定保存交易记录或者不如实、不及时向公安机关和有关行政主管部门备案销售情况的;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(五)易制毒化学品丢失、被盗、被抢后未及时报告,造成严重后果的;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(六)除个人合法购买第一类中的药品类易制毒化学品药品制剂以及第三类易制毒化学品外,使用现金或者实物进行易制毒化学品交易的;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(七)易制毒化学品的产品包装和使用说明书不符合本条例规定要求的;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(八)生产、经营易制毒化学品的单位不如实或者不按时向有关行政主管部门和公安机关报告年度生产、经销和库存等情况的。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企业的易制毒化学品生产经营许可被依法吊销后,未及时到市场监督管理部门办理经营范围变更或者企业注销登记的,依照前款规定,对易制毒化学品予以没收,并处罚款。</w:t>
            </w:r>
          </w:p>
        </w:tc>
        <w:tc>
          <w:tcPr>
            <w:tcW w:w="129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1、受案责任：发现该项违法行为，决定是否受案。</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2、调查取证责任：公安机关对受案的案件，及时组织调查取证，办案民警不得少于两人，与当事人有直接利害关系的应当回避。</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3、告知责任：作出行政处罚决定前，应制作《行政处罚告知书》送达当事人，告知违法事实及其享有的陈述、申辩等权利。</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4、决定责任：制作行政处罚决定书，载明行政处罚告知、当事人陈述申辩或者听证情况等内容。</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5、送达责任：行政处罚决定书按法律规定的方式送达当事人。</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6、执行责任：依照生效的行政处罚决定，依法予以执行。</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7、其他法律法规规章文件规定应履行的责任。</w:t>
            </w:r>
          </w:p>
        </w:tc>
        <w:tc>
          <w:tcPr>
            <w:tcW w:w="237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因不履行或不正确履行行政职责，有下列情形的，行政机关及相关工作人员应承担相应责任：</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1、没有法律和事实依据实施行政处罚的；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2、行政处罚显失公正的；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3、执法人员玩忽职守，对应当予以制止和处罚的违法行为不予制止、处罚；</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4、应当依法追究刑事责任，而未追究刑事责任的；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5、擅自改变行政处罚种类、幅度的；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6、违反法定的行政处罚程序的；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7、在行政处罚过程中发生腐败行为的；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8、其他违反法律法规规章文件规定的行为。</w:t>
            </w:r>
          </w:p>
        </w:tc>
        <w:tc>
          <w:tcPr>
            <w:tcW w:w="1098" w:type="dxa"/>
            <w:gridSpan w:val="2"/>
            <w:tcBorders>
              <w:top w:val="single" w:color="auto" w:sz="4" w:space="0"/>
              <w:left w:val="single" w:color="auto" w:sz="4" w:space="0"/>
              <w:bottom w:val="single" w:color="auto" w:sz="4" w:space="0"/>
              <w:right w:val="single" w:color="auto" w:sz="4" w:space="0"/>
            </w:tcBorders>
          </w:tcPr>
          <w:p>
            <w:pPr>
              <w:spacing w:line="240" w:lineRule="exact"/>
              <w:textAlignment w:val="center"/>
              <w:rPr>
                <w:rFonts w:ascii="仿宋_GB2312" w:hAnsi="Arial" w:cs="Arial"/>
                <w:color w:val="000000" w:themeColor="text1"/>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8225" w:hRule="exact"/>
        </w:trPr>
        <w:tc>
          <w:tcPr>
            <w:tcW w:w="4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hint="default" w:eastAsia="仿宋_GB2312"/>
                <w:sz w:val="20"/>
                <w:szCs w:val="20"/>
                <w:lang w:val="en-US" w:eastAsia="zh-CN"/>
              </w:rPr>
            </w:pPr>
            <w:r>
              <w:rPr>
                <w:rFonts w:hint="eastAsia"/>
                <w:sz w:val="20"/>
                <w:szCs w:val="20"/>
                <w:lang w:val="en-US" w:eastAsia="zh-CN"/>
              </w:rPr>
              <w:t>50</w:t>
            </w:r>
          </w:p>
        </w:tc>
        <w:tc>
          <w:tcPr>
            <w:tcW w:w="58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sz w:val="20"/>
                <w:szCs w:val="20"/>
              </w:rPr>
            </w:pPr>
            <w:r>
              <w:rPr>
                <w:rFonts w:hint="eastAsia"/>
                <w:sz w:val="20"/>
                <w:szCs w:val="20"/>
              </w:rPr>
              <w:t>行政处罚</w:t>
            </w:r>
          </w:p>
        </w:tc>
        <w:tc>
          <w:tcPr>
            <w:tcW w:w="118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除个人合法购买第一类中的药品类易制毒化学品药品制剂以及第三类易制毒化学品外,使用现金或者实物进行易制毒化学品交易的</w:t>
            </w:r>
          </w:p>
        </w:tc>
        <w:tc>
          <w:tcPr>
            <w:tcW w:w="96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唐山市公安局开平分局刑警大队</w:t>
            </w:r>
          </w:p>
        </w:tc>
        <w:tc>
          <w:tcPr>
            <w:tcW w:w="5065"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易制毒化学品管理条例（2018年9月18日修正版）第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(一)易制毒化学品生产、经营、购买、运输或者进口、出口单位未按规定建立安全管理制度的;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(二)将许可证或者备案证明转借他人使用的;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(三)超出许可的品种、数量生产、经营、购买易制毒化学品的;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(四)生产、经营、购买单位不记录或者不如实记录交易情况、不按规定保存交易记录或者不如实、不及时向公安机关和有关行政主管部门备案销售情况的;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(五)易制毒化学品丢失、被盗、被抢后未及时报告,造成严重后果的;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(六)除个人合法购买第一类中的药品类易制毒化学品药品制剂以及第三类易制毒化学品外,使用现金或者实物进行易制毒化学品交易的;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(七)易制毒化学品的产品包装和使用说明书不符合本条例规定要求的;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(八)生产、经营易制毒化学品的单位不如实或者不按时向有关行政主管部门和公安机关报告年度生产、经销和库存等情况的。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企业的易制毒化学品生产经营许可被依法吊销后,未及时到市场监督管理部门办理经营范围变更或者企业注销登记的,依照前款规定,对易制毒化学品予以没收,并处罚款。</w:t>
            </w:r>
          </w:p>
        </w:tc>
        <w:tc>
          <w:tcPr>
            <w:tcW w:w="129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1、受案责任：发现该项违法行为，决定是否受案。</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2、调查取证责任：公安机关对受案的案件，及时组织调查取证，办案民警不得少于两人，与当事人有直接利害关系的应当回避。</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3、告知责任：作出行政处罚决定前，应制作《行政处罚告知书》送达当事人，告知违法事实及其享有的陈述、申辩等权利。</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4、决定责任：制作行政处罚决定书，载明行政处罚告知、当事人陈述申辩或者听证情况等内容。</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5、送达责任：行政处罚决定书按法律规定的方式送达当事人。</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6、执行责任：依照生效的行政处罚决定，依法予以执行。</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7、其他法律法规规章文件规定应履行的责任。</w:t>
            </w:r>
          </w:p>
        </w:tc>
        <w:tc>
          <w:tcPr>
            <w:tcW w:w="237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因不履行或不正确履行行政职责，有下列情形的，行政机关及相关工作人员应承担相应责任：</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1、没有法律和事实依据实施行政处罚的；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2、行政处罚显失公正的；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3、执法人员玩忽职守，对应当予以制止和处罚的违法行为不予制止、处罚；</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4、应当依法追究刑事责任，而未追究刑事责任的；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5、擅自改变行政处罚种类、幅度的；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6、违反法定的行政处罚程序的；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7、在行政处罚过程中发生腐败行为的；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8、其他违反法律法规规章文件规定的行为。</w:t>
            </w:r>
          </w:p>
        </w:tc>
        <w:tc>
          <w:tcPr>
            <w:tcW w:w="1098" w:type="dxa"/>
            <w:gridSpan w:val="2"/>
            <w:tcBorders>
              <w:top w:val="single" w:color="auto" w:sz="4" w:space="0"/>
              <w:left w:val="single" w:color="auto" w:sz="4" w:space="0"/>
              <w:bottom w:val="single" w:color="auto" w:sz="4" w:space="0"/>
              <w:right w:val="single" w:color="auto" w:sz="4" w:space="0"/>
            </w:tcBorders>
          </w:tcPr>
          <w:p>
            <w:pPr>
              <w:spacing w:line="240" w:lineRule="exact"/>
              <w:textAlignment w:val="center"/>
              <w:rPr>
                <w:rFonts w:ascii="仿宋_GB2312" w:hAnsi="Arial" w:cs="Arial"/>
                <w:color w:val="000000" w:themeColor="text1"/>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8225" w:hRule="exact"/>
        </w:trPr>
        <w:tc>
          <w:tcPr>
            <w:tcW w:w="4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hint="default" w:eastAsia="仿宋_GB2312"/>
                <w:sz w:val="20"/>
                <w:szCs w:val="20"/>
                <w:lang w:val="en-US" w:eastAsia="zh-CN"/>
              </w:rPr>
            </w:pPr>
            <w:r>
              <w:rPr>
                <w:rFonts w:hint="eastAsia"/>
                <w:sz w:val="20"/>
                <w:szCs w:val="20"/>
                <w:lang w:val="en-US" w:eastAsia="zh-CN"/>
              </w:rPr>
              <w:t>51</w:t>
            </w:r>
          </w:p>
        </w:tc>
        <w:tc>
          <w:tcPr>
            <w:tcW w:w="58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sz w:val="20"/>
                <w:szCs w:val="20"/>
              </w:rPr>
            </w:pPr>
            <w:r>
              <w:rPr>
                <w:rFonts w:hint="eastAsia"/>
                <w:sz w:val="20"/>
                <w:szCs w:val="20"/>
              </w:rPr>
              <w:t>行政处罚</w:t>
            </w:r>
          </w:p>
        </w:tc>
        <w:tc>
          <w:tcPr>
            <w:tcW w:w="118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易制毒化学品生产、经营、购买、运输或者进口、出口单位的易制毒化学品的产品包装和使用说明书不符合本条例规定要求的</w:t>
            </w:r>
          </w:p>
        </w:tc>
        <w:tc>
          <w:tcPr>
            <w:tcW w:w="96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唐山市公安局开平分局刑警大队</w:t>
            </w:r>
          </w:p>
        </w:tc>
        <w:tc>
          <w:tcPr>
            <w:tcW w:w="5065"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易制毒化学品管理条例（2018年9月18日修正版）第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(一)易制毒化学品生产、经营、购买、运输或者进口、出口单位未按规定建立安全管理制度的;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(二)将许可证或者备案证明转借他人使用的;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(三)超出许可的品种、数量生产、经营、购买易制毒化学品的;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(四)生产、经营、购买单位不记录或者不如实记录交易情况、不按规定保存交易记录或者不如实、不及时向公安机关和有关行政主管部门备案销售情况的;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(五)易制毒化学品丢失、被盗、被抢后未及时报告,造成严重后果的;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(六)除个人合法购买第一类中的药品类易制毒化学品药品制剂以及第三类易制毒化学品外,使用现金或者实物进行易制毒化学品交易的;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(七)易制毒化学品的产品包装和使用说明书不符合本条例规定要求的;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(八)生产、经营易制毒化学品的单位不如实或者不按时向有关行政主管部门和公安机关报告年度生产、经销和库存等情况的。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企业的易制毒化学品生产经营许可被依法吊销后,未及时到市场监督管理部门办理经营范围变更或者企业注销登记的,依照前款规定,对易制毒化学品予以没收,并处罚款。</w:t>
            </w:r>
          </w:p>
        </w:tc>
        <w:tc>
          <w:tcPr>
            <w:tcW w:w="129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1、受案责任：发现该项违法行为，决定是否受案。</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2、调查取证责任：公安机关对受案的案件，及时组织调查取证，办案民警不得少于两人，与当事人有直接利害关系的应当回避。</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3、告知责任：作出行政处罚决定前，应制作《行政处罚告知书》送达当事人，告知违法事实及其享有的陈述、申辩等权利。</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4、决定责任：制作行政处罚决定书，载明行政处罚告知、当事人陈述申辩或者听证情况等内容。</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5、送达责任：行政处罚决定书按法律规定的方式送达当事人。</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6、执行责任：依照生效的行政处罚决定，依法予以执行。</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7、其他法律法规规章文件规定应履行的责任。</w:t>
            </w:r>
          </w:p>
        </w:tc>
        <w:tc>
          <w:tcPr>
            <w:tcW w:w="237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因不履行或不正确履行行政职责，有下列情形的，行政机关及相关工作人员应承担相应责任：</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1、没有法律和事实依据实施行政处罚的；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2、行政处罚显失公正的；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3、执法人员玩忽职守，对应当予以制止和处罚的违法行为不予制止、处罚；</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4、应当依法追究刑事责任，而未追究刑事责任的；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5、擅自改变行政处罚种类、幅度的；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6、违反法定的行政处罚程序的；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7、在行政处罚过程中发生腐败行为的；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8、其他违反法律法规规章文件规定的行为。</w:t>
            </w:r>
          </w:p>
        </w:tc>
        <w:tc>
          <w:tcPr>
            <w:tcW w:w="1098" w:type="dxa"/>
            <w:gridSpan w:val="2"/>
            <w:tcBorders>
              <w:top w:val="single" w:color="auto" w:sz="4" w:space="0"/>
              <w:left w:val="single" w:color="auto" w:sz="4" w:space="0"/>
              <w:bottom w:val="single" w:color="auto" w:sz="4" w:space="0"/>
              <w:right w:val="single" w:color="auto" w:sz="4" w:space="0"/>
            </w:tcBorders>
          </w:tcPr>
          <w:p>
            <w:pPr>
              <w:spacing w:line="240" w:lineRule="exact"/>
              <w:textAlignment w:val="center"/>
              <w:rPr>
                <w:rFonts w:ascii="仿宋_GB2312" w:hAnsi="Arial" w:cs="Arial"/>
                <w:color w:val="000000" w:themeColor="text1"/>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8225" w:hRule="exact"/>
        </w:trPr>
        <w:tc>
          <w:tcPr>
            <w:tcW w:w="4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hint="default" w:eastAsia="仿宋_GB2312"/>
                <w:sz w:val="20"/>
                <w:szCs w:val="20"/>
                <w:lang w:val="en-US" w:eastAsia="zh-CN"/>
              </w:rPr>
            </w:pPr>
            <w:r>
              <w:rPr>
                <w:rFonts w:hint="eastAsia"/>
                <w:sz w:val="20"/>
                <w:szCs w:val="20"/>
                <w:lang w:val="en-US" w:eastAsia="zh-CN"/>
              </w:rPr>
              <w:t>52</w:t>
            </w:r>
          </w:p>
        </w:tc>
        <w:tc>
          <w:tcPr>
            <w:tcW w:w="58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sz w:val="20"/>
                <w:szCs w:val="20"/>
              </w:rPr>
            </w:pPr>
            <w:r>
              <w:rPr>
                <w:rFonts w:hint="eastAsia"/>
                <w:sz w:val="20"/>
                <w:szCs w:val="20"/>
              </w:rPr>
              <w:t>行政处罚</w:t>
            </w:r>
          </w:p>
        </w:tc>
        <w:tc>
          <w:tcPr>
            <w:tcW w:w="118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生产、经营易制毒化学品的单位不如实或者不按时向有关行政主管部门和公安机关报告年度生产、经销和库存等情况的</w:t>
            </w:r>
          </w:p>
        </w:tc>
        <w:tc>
          <w:tcPr>
            <w:tcW w:w="96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仿宋_GB2312" w:hAnsi="Arial" w:cs="Arial"/>
                <w:color w:val="000000" w:themeColor="text1"/>
                <w:kern w:val="0"/>
                <w:sz w:val="8"/>
                <w:szCs w:val="13"/>
              </w:rPr>
            </w:pPr>
            <w:r>
              <w:rPr>
                <w:rFonts w:hint="eastAsia" w:ascii="仿宋_GB2312" w:hAnsi="Arial" w:cs="Arial"/>
                <w:color w:val="000000" w:themeColor="text1"/>
                <w:kern w:val="0"/>
                <w:sz w:val="13"/>
                <w:szCs w:val="13"/>
              </w:rPr>
              <w:t>唐山市公安局开平分局刑警大队</w:t>
            </w:r>
          </w:p>
        </w:tc>
        <w:tc>
          <w:tcPr>
            <w:tcW w:w="5065"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易制毒化学品管理条例（2018年9月18日修正版）第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(一)易制毒化学品生产、经营、购买、运输或者进口、出口单位未按规定建立安全管理制度的;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(二)将许可证或者备案证明转借他人使用的;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(三)超出许可的品种、数量生产、经营、购买易制毒化学品的;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(四)生产、经营、购买单位不记录或者不如实记录交易情况、不按规定保存交易记录或者不如实、不及时向公安机关和有关行政主管部门备案销售情况的;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(五)易制毒化学品丢失、被盗、被抢后未及时报告,造成严重后果的;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(六)除个人合法购买第一类中的药品类易制毒化学品药品制剂以及第三类易制毒化学品外,使用现金或者实物进行易制毒化学品交易的;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(七)易制毒化学品的产品包装和使用说明书不符合本条例规定要求的;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(八)生产、经营易制毒化学品的单位不如实或者不按时向有关行政主管部门和公安机关报告年度生产、经销和库存等情况的。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企业的易制毒化学品生产经营许可被依法吊销后,未及时到市场监督管理部门办理经营范围变更或者企业注销登记的,依照前款规定,对易制毒化学品予以没收,并处罚款。</w:t>
            </w:r>
          </w:p>
        </w:tc>
        <w:tc>
          <w:tcPr>
            <w:tcW w:w="129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1、受案责任：发现该项违法行为，决定是否受案。</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2、调查取证责任：公安机关对受案的案件，及时组织调查取证，办案民警不得少于两人，与当事人有直接利害关系的应当回避。</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3、告知责任：作出行政处罚决定前，应制作《行政处罚告知书》送达当事人，告知违法事实及其享有的陈述、申辩等权利。</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4、决定责任：制作行政处罚决定书，载明行政处罚告知、当事人陈述申辩或者听证情况等内容。</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5、送达责任：行政处罚决定书按法律规定的方式送达当事人。</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6、执行责任：依照生效的行政处罚决定，依法予以执行。</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7、其他法律法规规章文件规定应履行的责任。</w:t>
            </w:r>
          </w:p>
        </w:tc>
        <w:tc>
          <w:tcPr>
            <w:tcW w:w="237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因不履行或不正确履行行政职责，有下列情形的，行政机关及相关工作人员应承担相应责任：</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1、没有法律和事实依据实施行政处罚的；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2、行政处罚显失公正的；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3、执法人员玩忽职守，对应当予以制止和处罚的违法行为不予制止、处罚；</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4、应当依法追究刑事责任，而未追究刑事责任的；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5、擅自改变行政处罚种类、幅度的；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6、违反法定的行政处罚程序的；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7、在行政处罚过程中发生腐败行为的；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8、其他违反法律法规规章文件规定的行为。</w:t>
            </w:r>
          </w:p>
        </w:tc>
        <w:tc>
          <w:tcPr>
            <w:tcW w:w="1098" w:type="dxa"/>
            <w:gridSpan w:val="2"/>
            <w:tcBorders>
              <w:top w:val="single" w:color="auto" w:sz="4" w:space="0"/>
              <w:left w:val="single" w:color="auto" w:sz="4" w:space="0"/>
              <w:bottom w:val="single" w:color="auto" w:sz="4" w:space="0"/>
              <w:right w:val="single" w:color="auto" w:sz="4" w:space="0"/>
            </w:tcBorders>
          </w:tcPr>
          <w:p>
            <w:pPr>
              <w:spacing w:line="240" w:lineRule="exact"/>
              <w:textAlignment w:val="center"/>
              <w:rPr>
                <w:rFonts w:ascii="仿宋_GB2312" w:hAnsi="Arial" w:cs="Arial"/>
                <w:color w:val="000000" w:themeColor="text1"/>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8225" w:hRule="exact"/>
        </w:trPr>
        <w:tc>
          <w:tcPr>
            <w:tcW w:w="4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hint="default" w:eastAsia="仿宋_GB2312"/>
                <w:sz w:val="20"/>
                <w:szCs w:val="20"/>
                <w:lang w:val="en-US" w:eastAsia="zh-CN"/>
              </w:rPr>
            </w:pPr>
            <w:r>
              <w:rPr>
                <w:rFonts w:hint="eastAsia"/>
                <w:sz w:val="20"/>
                <w:szCs w:val="20"/>
                <w:lang w:val="en-US" w:eastAsia="zh-CN"/>
              </w:rPr>
              <w:t>53</w:t>
            </w:r>
          </w:p>
        </w:tc>
        <w:tc>
          <w:tcPr>
            <w:tcW w:w="58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sz w:val="20"/>
                <w:szCs w:val="20"/>
              </w:rPr>
            </w:pPr>
            <w:r>
              <w:rPr>
                <w:rFonts w:hint="eastAsia"/>
                <w:sz w:val="20"/>
                <w:szCs w:val="20"/>
              </w:rPr>
              <w:t>行政处罚</w:t>
            </w:r>
          </w:p>
        </w:tc>
        <w:tc>
          <w:tcPr>
            <w:tcW w:w="118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运输的易制毒化学品与易制毒化学品运输许可证或者备案证明载明的品种、数量、运入地、货主及收货人、承运人等情况不符,运输许可证种类不当,或者运输人员未全程携带运输许可证或者备案证明的</w:t>
            </w:r>
          </w:p>
        </w:tc>
        <w:tc>
          <w:tcPr>
            <w:tcW w:w="96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唐山市公安局开平分局刑警大队</w:t>
            </w:r>
          </w:p>
        </w:tc>
        <w:tc>
          <w:tcPr>
            <w:tcW w:w="5065"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易制毒化学品管理条例（2018年9月18日修正版）第四十一条：运输的易制毒化学品与易制毒化学品运输许可证或者备案证明载明的品种、数量、运入地、货主及收货人、承运人等情况不符,运输许可证种类不当,或者运输人员未全程携带运输许可证或者备案证明的,由公安机关责令停运整改,处5000元以上5万元以下的罚款;有危险物品运输资质的,运输主管部门可以依法吊销其运输资质。</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个人携带易制毒化学品不符合品种、数量规定的,没收易制毒化学品,处1000元以上5000元以下的罚款。</w:t>
            </w:r>
          </w:p>
        </w:tc>
        <w:tc>
          <w:tcPr>
            <w:tcW w:w="129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1、受案责任：发现该项违法行为，决定是否受案。</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2、调查取证责任：公安机关对受案的案件，及时组织调查取证，办案民警不得少于两人，与当事人有直接利害关系的应当回避。</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3、告知责任：作出行政处罚决定前，应制作《行政处罚告知书》送达当事人，告知违法事实及其享有的陈述、申辩等权利。</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4、决定责任：制作行政处罚决定书，载明行政处罚告知、当事人陈述申辩或者听证情况等内容。</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5、送达责任：行政处罚决定书按法律规定的方式送达当事人。</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6、执行责任：依照生效的行政处罚决定，依法予以执行。</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7、其他法律法规规章文件规定应履行的责任。</w:t>
            </w:r>
          </w:p>
        </w:tc>
        <w:tc>
          <w:tcPr>
            <w:tcW w:w="237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因不履行或不正确履行行政职责，有下列情形的，行政机关及相关工作人员应承担相应责任：</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1、没有法律和事实依据实施行政处罚的；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2、行政处罚显失公正的；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3、执法人员玩忽职守，对应当予以制止和处罚的违法行为不予制止、处罚；</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4、应当依法追究刑事责任，而未追究刑事责任的；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5、擅自改变行政处罚种类、幅度的；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6、违反法定的行政处罚程序的；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7、在行政处罚过程中发生腐败行为的；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8、其他违反法律法规规章文件规定的行为。</w:t>
            </w:r>
          </w:p>
        </w:tc>
        <w:tc>
          <w:tcPr>
            <w:tcW w:w="1098" w:type="dxa"/>
            <w:gridSpan w:val="2"/>
            <w:tcBorders>
              <w:top w:val="single" w:color="auto" w:sz="4" w:space="0"/>
              <w:left w:val="single" w:color="auto" w:sz="4" w:space="0"/>
              <w:bottom w:val="single" w:color="auto" w:sz="4" w:space="0"/>
              <w:right w:val="single" w:color="auto" w:sz="4" w:space="0"/>
            </w:tcBorders>
          </w:tcPr>
          <w:p>
            <w:pPr>
              <w:spacing w:line="240" w:lineRule="exact"/>
              <w:textAlignment w:val="center"/>
              <w:rPr>
                <w:rFonts w:ascii="仿宋_GB2312" w:hAnsi="Arial" w:cs="Arial"/>
                <w:color w:val="000000" w:themeColor="text1"/>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8225" w:hRule="exact"/>
        </w:trPr>
        <w:tc>
          <w:tcPr>
            <w:tcW w:w="4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hint="default" w:eastAsia="仿宋_GB2312"/>
                <w:sz w:val="20"/>
                <w:szCs w:val="20"/>
                <w:lang w:val="en-US" w:eastAsia="zh-CN"/>
              </w:rPr>
            </w:pPr>
            <w:r>
              <w:rPr>
                <w:rFonts w:hint="eastAsia"/>
                <w:sz w:val="20"/>
                <w:szCs w:val="20"/>
                <w:lang w:val="en-US" w:eastAsia="zh-CN"/>
              </w:rPr>
              <w:t>54</w:t>
            </w:r>
          </w:p>
        </w:tc>
        <w:tc>
          <w:tcPr>
            <w:tcW w:w="58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sz w:val="20"/>
                <w:szCs w:val="20"/>
              </w:rPr>
            </w:pPr>
            <w:r>
              <w:rPr>
                <w:rFonts w:hint="eastAsia"/>
                <w:sz w:val="20"/>
                <w:szCs w:val="20"/>
              </w:rPr>
              <w:t>行政处罚</w:t>
            </w:r>
          </w:p>
        </w:tc>
        <w:tc>
          <w:tcPr>
            <w:tcW w:w="118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生产、经营、购买、运输或者进口、出口易制毒化学品的单位或者个人拒不接受有关行政主管部门监督检查的</w:t>
            </w:r>
          </w:p>
        </w:tc>
        <w:tc>
          <w:tcPr>
            <w:tcW w:w="96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唐山市公安局开平分局刑警大队</w:t>
            </w:r>
          </w:p>
        </w:tc>
        <w:tc>
          <w:tcPr>
            <w:tcW w:w="5065"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易制毒化学品管理条例（2018年9月18日修正版）第四十二条：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p>
        </w:tc>
        <w:tc>
          <w:tcPr>
            <w:tcW w:w="129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1、受案责任：发现该项违法行为，决定是否受案。</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2、调查取证责任：公安机关对受案的案件，及时组织调查取证，办案民警不得少于两人，与当事人有直接利害关系的应当回避。</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3、告知责任：作出行政处罚决定前，应制作《行政处罚告知书》送达当事人，告知违法事实及其享有的陈述、申辩等权利。</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4、决定责任：制作行政处罚决定书，载明行政处罚告知、当事人陈述申辩或者听证情况等内容。</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5、送达责任：行政处罚决定书按法律规定的方式送达当事人。</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6、执行责任：依照生效的行政处罚决定，依法予以执行。</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7、其他法律法规规章文件规定应履行的责任。</w:t>
            </w:r>
          </w:p>
        </w:tc>
        <w:tc>
          <w:tcPr>
            <w:tcW w:w="237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因不履行或不正确履行行政职责，有下列情形的，行政机关及相关工作人员应承担相应责任：</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1、没有法律和事实依据实施行政处罚的；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2、行政处罚显失公正的；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3、执法人员玩忽职守，对应当予以制止和处罚的违法行为不予制止、处罚；</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4、应当依法追究刑事责任，而未追究刑事责任的；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5、擅自改变行政处罚种类、幅度的；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6、违反法定的行政处罚程序的；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7、在行政处罚过程中发生腐败行为的；</w:t>
            </w:r>
          </w:p>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8、其他违反法律法规规章文件规定的行为。</w:t>
            </w:r>
          </w:p>
        </w:tc>
        <w:tc>
          <w:tcPr>
            <w:tcW w:w="1098" w:type="dxa"/>
            <w:gridSpan w:val="2"/>
            <w:tcBorders>
              <w:top w:val="single" w:color="auto" w:sz="4" w:space="0"/>
              <w:left w:val="single" w:color="auto" w:sz="4" w:space="0"/>
              <w:bottom w:val="single" w:color="auto" w:sz="4" w:space="0"/>
              <w:right w:val="single" w:color="auto" w:sz="4" w:space="0"/>
            </w:tcBorders>
          </w:tcPr>
          <w:p>
            <w:pPr>
              <w:spacing w:line="240" w:lineRule="exact"/>
              <w:textAlignment w:val="center"/>
              <w:rPr>
                <w:rFonts w:ascii="仿宋_GB2312" w:hAnsi="Arial" w:cs="Arial"/>
                <w:color w:val="000000" w:themeColor="text1"/>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8225" w:hRule="exact"/>
        </w:trPr>
        <w:tc>
          <w:tcPr>
            <w:tcW w:w="4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hint="default" w:eastAsia="仿宋_GB2312"/>
                <w:sz w:val="20"/>
                <w:szCs w:val="20"/>
                <w:lang w:val="en-US" w:eastAsia="zh-CN"/>
              </w:rPr>
            </w:pPr>
            <w:r>
              <w:rPr>
                <w:rFonts w:hint="eastAsia"/>
                <w:sz w:val="20"/>
                <w:szCs w:val="20"/>
                <w:lang w:val="en-US" w:eastAsia="zh-CN"/>
              </w:rPr>
              <w:t>55</w:t>
            </w:r>
          </w:p>
        </w:tc>
        <w:tc>
          <w:tcPr>
            <w:tcW w:w="58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sz w:val="20"/>
                <w:szCs w:val="20"/>
              </w:rPr>
            </w:pPr>
            <w:r>
              <w:rPr>
                <w:rFonts w:hint="eastAsia"/>
                <w:sz w:val="20"/>
                <w:szCs w:val="20"/>
              </w:rPr>
              <w:t>行政强制</w:t>
            </w:r>
          </w:p>
        </w:tc>
        <w:tc>
          <w:tcPr>
            <w:tcW w:w="118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拘留审查权</w:t>
            </w:r>
          </w:p>
        </w:tc>
        <w:tc>
          <w:tcPr>
            <w:tcW w:w="96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唐山市公安局开平分局出入境管理大队</w:t>
            </w:r>
          </w:p>
        </w:tc>
        <w:tc>
          <w:tcPr>
            <w:tcW w:w="5065"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《中华人民共和国外国人入境出境管理法》第六十、六十一、六十二条</w:t>
            </w:r>
          </w:p>
        </w:tc>
        <w:tc>
          <w:tcPr>
            <w:tcW w:w="129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1、告知责任：当场告知当事人作出拘留审查的理由、依据以及依法享有的权利、救济途径。当事人不到场的，邀请见证人到场，并在现场笔录中注明。</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 xml:space="preserve">2、决定责任：充分听取当事人的意见，对当事人提出的事实、理由和证据应当进行记录复核；当事人提出的事实、理由或者证据成立的，应当采纳。                         </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 xml:space="preserve">3、执行责任：由作出决定的公安机关执行。                     </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4、其他法律法规规章文件规定应履行的责任。</w:t>
            </w:r>
          </w:p>
        </w:tc>
        <w:tc>
          <w:tcPr>
            <w:tcW w:w="237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因不履行或不正确履行行政职责，有下列情形的，公安机关及相关工作人员应承担相应责任：</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1、对不符合拘留审查的人员实施该强制措施；</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2、对应当拘留审查而未实施的；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3、改变行政强制对象、条件、方式的；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4、违反法定程序实施拘留审查的；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5、利用行政强制权为单位或者个人谋取利益的；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6、给公民、法人或者其他组织造成损失的；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7、在实施拘留审查过程中有腐败行为的；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8、其他违反法律法规规章文件的行为。</w:t>
            </w:r>
          </w:p>
        </w:tc>
        <w:tc>
          <w:tcPr>
            <w:tcW w:w="1098" w:type="dxa"/>
            <w:gridSpan w:val="2"/>
            <w:tcBorders>
              <w:top w:val="single" w:color="auto" w:sz="4" w:space="0"/>
              <w:left w:val="single" w:color="auto" w:sz="4" w:space="0"/>
              <w:bottom w:val="single" w:color="auto" w:sz="4" w:space="0"/>
              <w:right w:val="single" w:color="auto" w:sz="4" w:space="0"/>
            </w:tcBorders>
          </w:tcPr>
          <w:p>
            <w:pPr>
              <w:spacing w:line="240" w:lineRule="exact"/>
              <w:textAlignment w:val="center"/>
              <w:rPr>
                <w:rFonts w:ascii="仿宋_GB2312" w:hAnsi="Arial" w:cs="Arial"/>
                <w:color w:val="000000" w:themeColor="text1"/>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8225" w:hRule="exact"/>
        </w:trPr>
        <w:tc>
          <w:tcPr>
            <w:tcW w:w="4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hint="default" w:eastAsia="仿宋_GB2312"/>
                <w:sz w:val="20"/>
                <w:szCs w:val="20"/>
                <w:lang w:val="en-US" w:eastAsia="zh-CN"/>
              </w:rPr>
            </w:pPr>
            <w:r>
              <w:rPr>
                <w:rFonts w:hint="eastAsia"/>
                <w:sz w:val="20"/>
                <w:szCs w:val="20"/>
                <w:lang w:val="en-US" w:eastAsia="zh-CN"/>
              </w:rPr>
              <w:t>56</w:t>
            </w:r>
          </w:p>
        </w:tc>
        <w:tc>
          <w:tcPr>
            <w:tcW w:w="58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sz w:val="20"/>
                <w:szCs w:val="20"/>
              </w:rPr>
            </w:pPr>
            <w:r>
              <w:rPr>
                <w:rFonts w:hint="eastAsia"/>
                <w:sz w:val="20"/>
                <w:szCs w:val="20"/>
              </w:rPr>
              <w:t>行政强制</w:t>
            </w:r>
          </w:p>
        </w:tc>
        <w:tc>
          <w:tcPr>
            <w:tcW w:w="1189"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遣送出境权</w:t>
            </w:r>
          </w:p>
        </w:tc>
        <w:tc>
          <w:tcPr>
            <w:tcW w:w="96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唐山市公安局开平分局出入境管理大队</w:t>
            </w:r>
          </w:p>
        </w:tc>
        <w:tc>
          <w:tcPr>
            <w:tcW w:w="5065" w:type="dxa"/>
            <w:gridSpan w:val="8"/>
            <w:tcBorders>
              <w:top w:val="single" w:color="auto" w:sz="4" w:space="0"/>
              <w:left w:val="single" w:color="auto" w:sz="4" w:space="0"/>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《中华人民共和国外国人入境出境管理法》第六十、六十一、六十二条</w:t>
            </w:r>
          </w:p>
        </w:tc>
        <w:tc>
          <w:tcPr>
            <w:tcW w:w="1294"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1、告知责任：当场告知当事人作出遣送出境的理由、依据以及依法享有的权利、救济途径。当事人不到场的，邀请见证人到场，并在现场笔录中注明。</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 xml:space="preserve">2、决定责任：充分听取当事人的意见，对当事人提出的事实、理由和证据应当进行记录复核；当事人提出的事实、理由或者证据成立的，应当采纳。                         </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 xml:space="preserve">3、执行责任：由作出决定的公安机关执行。                  </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4、其他法律法规规章文件规定应履行的责任。</w:t>
            </w:r>
          </w:p>
        </w:tc>
        <w:tc>
          <w:tcPr>
            <w:tcW w:w="2370" w:type="dxa"/>
            <w:gridSpan w:val="4"/>
            <w:tcBorders>
              <w:top w:val="single" w:color="auto" w:sz="4" w:space="0"/>
              <w:left w:val="single" w:color="auto" w:sz="4" w:space="0"/>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因不履行或不正确履行行政职责，有下列情形的，公安机关及相关工作人员应承担相应责任：</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1、对不符合遣送出境的人员实施该强制措施；</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2、对应当遣送出境而未实施的；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3、改变行政强制对象、条件、方式的；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4、违反法定程序实施遣送出境的；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5、利用行政强制权为单位或者个人谋取利益的；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6、给公民、法人或者其他组织造成损失的；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7、在实施遣送出境过程中有腐败行为的；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8、其他违反法律法规规章文件的行为。</w:t>
            </w:r>
          </w:p>
        </w:tc>
        <w:tc>
          <w:tcPr>
            <w:tcW w:w="1098" w:type="dxa"/>
            <w:gridSpan w:val="2"/>
            <w:tcBorders>
              <w:top w:val="single" w:color="auto" w:sz="4" w:space="0"/>
              <w:left w:val="single" w:color="auto" w:sz="4" w:space="0"/>
              <w:bottom w:val="single" w:color="auto" w:sz="4" w:space="0"/>
              <w:right w:val="single" w:color="auto" w:sz="4" w:space="0"/>
            </w:tcBorders>
          </w:tcPr>
          <w:p>
            <w:pPr>
              <w:spacing w:line="240" w:lineRule="exact"/>
              <w:textAlignment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6815" w:hRule="exact"/>
        </w:trPr>
        <w:tc>
          <w:tcPr>
            <w:tcW w:w="4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hint="default" w:eastAsia="仿宋_GB2312"/>
                <w:sz w:val="20"/>
                <w:szCs w:val="20"/>
                <w:lang w:val="en-US" w:eastAsia="zh-CN"/>
              </w:rPr>
            </w:pPr>
            <w:r>
              <w:rPr>
                <w:rFonts w:hint="eastAsia"/>
                <w:sz w:val="20"/>
                <w:szCs w:val="20"/>
                <w:lang w:val="en-US" w:eastAsia="zh-CN"/>
              </w:rPr>
              <w:t>57</w:t>
            </w:r>
          </w:p>
        </w:tc>
        <w:tc>
          <w:tcPr>
            <w:tcW w:w="589" w:type="dxa"/>
            <w:tcBorders>
              <w:top w:val="single" w:color="auto" w:sz="4" w:space="0"/>
              <w:left w:val="single" w:color="auto" w:sz="4" w:space="0"/>
              <w:bottom w:val="single" w:color="auto" w:sz="4" w:space="0"/>
              <w:right w:val="single" w:color="auto" w:sz="4" w:space="0"/>
            </w:tcBorders>
            <w:vAlign w:val="center"/>
          </w:tcPr>
          <w:p>
            <w:pPr>
              <w:widowControl/>
              <w:tabs>
                <w:tab w:val="left" w:pos="492"/>
              </w:tabs>
              <w:spacing w:line="240" w:lineRule="exact"/>
              <w:rPr>
                <w:sz w:val="20"/>
                <w:szCs w:val="20"/>
              </w:rPr>
            </w:pPr>
            <w:r>
              <w:rPr>
                <w:rFonts w:hint="eastAsia"/>
                <w:sz w:val="20"/>
                <w:szCs w:val="20"/>
              </w:rPr>
              <w:t>行政强制</w:t>
            </w:r>
          </w:p>
        </w:tc>
        <w:tc>
          <w:tcPr>
            <w:tcW w:w="1189"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当场盘问、继续盘问权</w:t>
            </w:r>
          </w:p>
        </w:tc>
        <w:tc>
          <w:tcPr>
            <w:tcW w:w="96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w:t>
            </w:r>
          </w:p>
        </w:tc>
        <w:tc>
          <w:tcPr>
            <w:tcW w:w="5065" w:type="dxa"/>
            <w:gridSpan w:val="8"/>
            <w:tcBorders>
              <w:top w:val="single" w:color="auto" w:sz="4" w:space="0"/>
              <w:left w:val="single" w:color="auto" w:sz="4" w:space="0"/>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人民警察法》第九条为维护社会治安秩序，公安机关的人民警察对有违法犯罪嫌疑的人员，经出示相应证件，可以当场盘问、检查；经盘问、检查，有下列情形之一的，可以将其带至公安机关，经该公安机关批准，对其继续盘问：（一）被指控有犯罪行为的；（二）有现场作案嫌疑的；（三）有作案嫌疑身份不明的；（四）携带的物品有可能是赃物的。对被盘问人的留置时间自带至公安机关之时起不超过二十四小时，在特殊情况下，经县级以上公安机关批准，可以延长至四十八小时，并应当留有盘问记录。对于批准继续盘问的，应当立即通知其家属或者其所在单位。对于不批准继续盘问的，应当立即释放被盘问人。经继续盘问，公安机关认为对被盘问人需要依法采取拘留或者其他强制措施的，应当在前款规定的期间作出决定；在前款规定的期间不能作出上述决定的，应当立即释放被盘问人。《中华人民共和国出境入境管理法》第五十八条第五十八条  本章规定的当场盘问、继续盘问、拘留审查、限制活动范围、遣送出境措施，由县级以上地方人民政府公安机关或者出入境边防检查机关实施。</w:t>
            </w:r>
          </w:p>
        </w:tc>
        <w:tc>
          <w:tcPr>
            <w:tcW w:w="1294"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1、告知责任：当场告知当事人作出当场盘问、继续盘问的理由、依据以及依法享有的权利、救济途径。当事人不到场的，邀请见证人到场，并在现场笔录中注明。</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 xml:space="preserve">2、决定责任：充分听取当事人的意见，对当事人提出的事实、理由和证据应当进行记录复核；当事人提出的事实、理由或者证据成立的，应当采纳。          </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 xml:space="preserve">3、执行责任：由作出决定的公安机关执行。                </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 xml:space="preserve">4、事后监管责任：开展后续监督管理。     </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5、其他法律法规规章文件规定应履行的责任。</w:t>
            </w:r>
          </w:p>
        </w:tc>
        <w:tc>
          <w:tcPr>
            <w:tcW w:w="2370" w:type="dxa"/>
            <w:gridSpan w:val="4"/>
            <w:tcBorders>
              <w:top w:val="single" w:color="auto" w:sz="4" w:space="0"/>
              <w:left w:val="single" w:color="auto" w:sz="4" w:space="0"/>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因不履行或不正确履行行政职责，有下列情形的，公安机关及相关工作人员应承担相应责任：</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1、对不符合当场盘问、继续盘问的人员实施该强制措施；</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2、对应当当场盘问、继续盘问的人员而未实施的；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3、改变行政强制对象、条件、方式的；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4、违反法定程序实施当场盘问、继续盘问的；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5、利用行政强制权为单位或者个人谋取利益的；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6、给公民、法人或者其他组织造成损失的；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7、在实施当场盘问、继续盘问过程中有腐败行为的；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8、其他违反法律法规规章文件的行为。</w:t>
            </w:r>
          </w:p>
        </w:tc>
        <w:tc>
          <w:tcPr>
            <w:tcW w:w="1098" w:type="dxa"/>
            <w:gridSpan w:val="2"/>
            <w:tcBorders>
              <w:top w:val="single" w:color="auto" w:sz="4" w:space="0"/>
              <w:left w:val="single" w:color="auto" w:sz="4" w:space="0"/>
              <w:bottom w:val="single" w:color="auto" w:sz="4" w:space="0"/>
              <w:right w:val="single" w:color="auto" w:sz="4" w:space="0"/>
            </w:tcBorders>
          </w:tcPr>
          <w:p>
            <w:pPr>
              <w:spacing w:line="240" w:lineRule="exact"/>
              <w:textAlignment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6815" w:hRule="exact"/>
        </w:trPr>
        <w:tc>
          <w:tcPr>
            <w:tcW w:w="4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hint="default" w:eastAsia="仿宋_GB2312"/>
                <w:sz w:val="20"/>
                <w:szCs w:val="20"/>
                <w:lang w:val="en-US" w:eastAsia="zh-CN"/>
              </w:rPr>
            </w:pPr>
            <w:r>
              <w:rPr>
                <w:rFonts w:hint="eastAsia"/>
                <w:sz w:val="20"/>
                <w:szCs w:val="20"/>
                <w:lang w:val="en-US" w:eastAsia="zh-CN"/>
              </w:rPr>
              <w:t>58</w:t>
            </w:r>
          </w:p>
        </w:tc>
        <w:tc>
          <w:tcPr>
            <w:tcW w:w="589" w:type="dxa"/>
            <w:tcBorders>
              <w:top w:val="single" w:color="auto" w:sz="4" w:space="0"/>
              <w:left w:val="single" w:color="auto" w:sz="4" w:space="0"/>
              <w:bottom w:val="single" w:color="auto" w:sz="4" w:space="0"/>
              <w:right w:val="single" w:color="auto" w:sz="4" w:space="0"/>
            </w:tcBorders>
            <w:vAlign w:val="center"/>
          </w:tcPr>
          <w:p>
            <w:pPr>
              <w:widowControl/>
              <w:tabs>
                <w:tab w:val="left" w:pos="492"/>
              </w:tabs>
              <w:spacing w:line="240" w:lineRule="exact"/>
              <w:rPr>
                <w:sz w:val="20"/>
                <w:szCs w:val="20"/>
              </w:rPr>
            </w:pPr>
            <w:r>
              <w:rPr>
                <w:rFonts w:hint="eastAsia"/>
                <w:sz w:val="20"/>
                <w:szCs w:val="20"/>
              </w:rPr>
              <w:t>行政强制</w:t>
            </w:r>
          </w:p>
        </w:tc>
        <w:tc>
          <w:tcPr>
            <w:tcW w:w="1189"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当场检查权</w:t>
            </w:r>
          </w:p>
        </w:tc>
        <w:tc>
          <w:tcPr>
            <w:tcW w:w="96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w:t>
            </w:r>
            <w:r>
              <w:rPr>
                <w:rFonts w:ascii="仿宋_GB2312" w:hAnsi="Arial" w:cs="Arial"/>
                <w:color w:val="000000" w:themeColor="text1"/>
                <w:kern w:val="0"/>
                <w:sz w:val="13"/>
                <w:szCs w:val="13"/>
              </w:rPr>
              <w:t>公安局</w:t>
            </w:r>
            <w:r>
              <w:rPr>
                <w:rFonts w:hint="eastAsia" w:ascii="仿宋_GB2312" w:hAnsi="Arial" w:cs="Arial"/>
                <w:color w:val="000000" w:themeColor="text1"/>
                <w:kern w:val="0"/>
                <w:sz w:val="13"/>
                <w:szCs w:val="13"/>
              </w:rPr>
              <w:t>开平分局</w:t>
            </w:r>
          </w:p>
        </w:tc>
        <w:tc>
          <w:tcPr>
            <w:tcW w:w="5065" w:type="dxa"/>
            <w:gridSpan w:val="8"/>
            <w:tcBorders>
              <w:top w:val="single" w:color="auto" w:sz="4" w:space="0"/>
              <w:left w:val="single" w:color="auto" w:sz="4" w:space="0"/>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w:t>
            </w:r>
            <w:r>
              <w:rPr>
                <w:rFonts w:hint="eastAsia" w:ascii="仿宋_GB2312" w:hAnsi="Arial" w:cs="Arial"/>
                <w:color w:val="000000" w:themeColor="text1"/>
                <w:kern w:val="0"/>
                <w:sz w:val="13"/>
                <w:szCs w:val="13"/>
                <w:lang w:eastAsia="zh-CN"/>
              </w:rPr>
              <w:t>中华人民共和国人民武装警察法</w:t>
            </w:r>
            <w:r>
              <w:rPr>
                <w:rFonts w:hint="eastAsia" w:ascii="仿宋_GB2312" w:hAnsi="Arial" w:cs="Arial"/>
                <w:color w:val="000000" w:themeColor="text1"/>
                <w:kern w:val="0"/>
                <w:sz w:val="13"/>
                <w:szCs w:val="13"/>
              </w:rPr>
              <w:t>》第九条为维护社会治安秩序，公安机关的人民警察对有违法犯罪嫌疑的人员，经出示相应证件，可以当场盘问、检查；经盘问、检查，有下列情形之一的，可以将其带至公安机关，经该公安机关批准，对其继续盘问：（一）被指控有犯罪行为的；（二）有现场作案嫌疑的；（三）有作案嫌疑身份不明的；（四）携带的物品有可能是赃物的。对被盘问人的留置时间自带至公安机关之时起不超过二十四小时，在特殊情况下，经县级以上公安机关批准，可以延长至四十八小时，并应当留有盘问记录。对于批准继续盘问的，应当立即通知其家属或者其所在单位。对于不批准继续盘问的，应当立即释放被盘问人。经继续盘问，公安机关认为对被盘问人需要依法采取拘留或者其他强制措施的，应当在前款规定的期间作出决定；在前款规定的期间不能作出</w:t>
            </w:r>
          </w:p>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上述决定的，应当立即释放被盘问人。</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治安管理处罚法》第八十七条公安机关对与违反治安管理行为有关的场所、物品、人身可以进行检查。检查时，人民警察不得少于二人，并应当出示工作证件和县级以上人民政府公安机关开具的检查证明文件。对确有必要立即进行检查的，人民警察经出示工作证件，可以当场检查，但检查公民住所应当出示县级以上人民政府公安机关开具的检查证明文件。　检查妇女的身体，应当由女性工作人员进行。</w:t>
            </w:r>
          </w:p>
        </w:tc>
        <w:tc>
          <w:tcPr>
            <w:tcW w:w="1294"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1、告知责任：当场告知当事人对与违法行为有关的场所、物品、人身进行检查的理由、依据以及依法享有的权利、救济途径。当事人不到场的，邀请见证人到场，并在现场笔录中注明。</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 xml:space="preserve">2、决定责任：充分听取当事人的意见，对当事人提出的事实、理由和证据应当进行记录复核；当事人提出的事实、理由或者证据成立的，应当采纳。                         </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 xml:space="preserve">3、执行责任：由作出决定的公安机关执行。 </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 xml:space="preserve">4、事后监管责任：开展后续监督管理。                    </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5、其他法律法规规章文件规定应履行的责任。</w:t>
            </w:r>
          </w:p>
        </w:tc>
        <w:tc>
          <w:tcPr>
            <w:tcW w:w="2370" w:type="dxa"/>
            <w:gridSpan w:val="4"/>
            <w:tcBorders>
              <w:top w:val="single" w:color="auto" w:sz="4" w:space="0"/>
              <w:left w:val="single" w:color="auto" w:sz="4" w:space="0"/>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因不履行或不正确履行行政职责，有下列情形的，公安机关及相关工作人员应承担相应责任：</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1、对不符合对与违法行为有关的场所、物品、人身进行检查条件的实施该强制措施；</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2、对应当对与违法行为有关的场所、物品、人身进行检查而未实施的；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3、改变行政强制对象、条件、方式的；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4、违反法定程序实施对与违法行为有关的场所、物品、人身进行检查的；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5、利用行政强制权为单位或者个人谋取利益的；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6、给公民、法人或者其他组织造成损失的；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7、在实施对与违法行为有关的场所、物品、人身进行检查过程中有腐败行为的；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8、其他违反法律法规规章文件的行为。</w:t>
            </w:r>
          </w:p>
        </w:tc>
        <w:tc>
          <w:tcPr>
            <w:tcW w:w="1098" w:type="dxa"/>
            <w:gridSpan w:val="2"/>
            <w:tcBorders>
              <w:top w:val="single" w:color="auto" w:sz="4" w:space="0"/>
              <w:left w:val="single" w:color="auto" w:sz="4" w:space="0"/>
              <w:bottom w:val="single" w:color="auto" w:sz="4" w:space="0"/>
              <w:right w:val="single" w:color="auto" w:sz="4" w:space="0"/>
            </w:tcBorders>
          </w:tcPr>
          <w:p>
            <w:pPr>
              <w:spacing w:line="240" w:lineRule="exact"/>
              <w:textAlignment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6815" w:hRule="exact"/>
        </w:trPr>
        <w:tc>
          <w:tcPr>
            <w:tcW w:w="4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hint="eastAsia" w:eastAsia="仿宋_GB2312"/>
                <w:sz w:val="20"/>
                <w:szCs w:val="20"/>
                <w:lang w:val="en-US" w:eastAsia="zh-CN"/>
              </w:rPr>
            </w:pPr>
            <w:r>
              <w:rPr>
                <w:sz w:val="20"/>
                <w:szCs w:val="20"/>
              </w:rPr>
              <w:t>5</w:t>
            </w:r>
            <w:r>
              <w:rPr>
                <w:rFonts w:hint="eastAsia"/>
                <w:sz w:val="20"/>
                <w:szCs w:val="20"/>
                <w:lang w:val="en-US" w:eastAsia="zh-CN"/>
              </w:rPr>
              <w:t>9</w:t>
            </w:r>
          </w:p>
        </w:tc>
        <w:tc>
          <w:tcPr>
            <w:tcW w:w="589" w:type="dxa"/>
            <w:tcBorders>
              <w:top w:val="single" w:color="auto" w:sz="4" w:space="0"/>
              <w:left w:val="single" w:color="auto" w:sz="4" w:space="0"/>
              <w:bottom w:val="single" w:color="auto" w:sz="4" w:space="0"/>
              <w:right w:val="single" w:color="auto" w:sz="4" w:space="0"/>
            </w:tcBorders>
            <w:vAlign w:val="center"/>
          </w:tcPr>
          <w:p>
            <w:pPr>
              <w:widowControl/>
              <w:tabs>
                <w:tab w:val="left" w:pos="492"/>
              </w:tabs>
              <w:spacing w:line="240" w:lineRule="exact"/>
              <w:rPr>
                <w:sz w:val="20"/>
                <w:szCs w:val="20"/>
              </w:rPr>
            </w:pPr>
            <w:r>
              <w:rPr>
                <w:rFonts w:hint="eastAsia"/>
                <w:sz w:val="20"/>
                <w:szCs w:val="20"/>
              </w:rPr>
              <w:t>行政强制</w:t>
            </w:r>
          </w:p>
        </w:tc>
        <w:tc>
          <w:tcPr>
            <w:tcW w:w="1189"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传唤权、</w:t>
            </w:r>
          </w:p>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强制传唤权</w:t>
            </w:r>
          </w:p>
        </w:tc>
        <w:tc>
          <w:tcPr>
            <w:tcW w:w="96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w:t>
            </w:r>
            <w:r>
              <w:rPr>
                <w:rFonts w:ascii="仿宋_GB2312" w:hAnsi="Arial" w:cs="Arial"/>
                <w:color w:val="000000" w:themeColor="text1"/>
                <w:kern w:val="0"/>
                <w:sz w:val="13"/>
                <w:szCs w:val="13"/>
              </w:rPr>
              <w:t>公安局</w:t>
            </w:r>
            <w:r>
              <w:rPr>
                <w:rFonts w:hint="eastAsia" w:ascii="仿宋_GB2312" w:hAnsi="Arial" w:cs="Arial"/>
                <w:color w:val="000000" w:themeColor="text1"/>
                <w:kern w:val="0"/>
                <w:sz w:val="13"/>
                <w:szCs w:val="13"/>
              </w:rPr>
              <w:t>开平分局</w:t>
            </w:r>
          </w:p>
        </w:tc>
        <w:tc>
          <w:tcPr>
            <w:tcW w:w="5065" w:type="dxa"/>
            <w:gridSpan w:val="8"/>
            <w:tcBorders>
              <w:top w:val="single" w:color="auto" w:sz="4" w:space="0"/>
              <w:left w:val="single" w:color="auto" w:sz="4" w:space="0"/>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《治安管理处罚法》第八十二条 需要传唤违反治安管理行为人接受调查的，经公安机关办案部门负责人批准，使用传唤证传唤。对现场发现的违反治安管理行为人，人民警察经出示工作证件，可以口头传唤，但应当在询问笔录中注明。公安机关应当将传唤的原因和依据告知被传唤人。对无正当理由不接受传唤或者逃避传唤的人，可以强制传唤。</w:t>
            </w:r>
          </w:p>
        </w:tc>
        <w:tc>
          <w:tcPr>
            <w:tcW w:w="1294"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1、告知责任：当场告知当事人作出传唤、强制传唤的理由、依据以及依法享有的权利、救济途径。当事人不到场的，邀请见证人到场，并在现场笔录中注明。</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 xml:space="preserve">2、决定责任：充分听取当事人的意见，对当事人提出的事实、理由和证据应当进行记录复核；当事人提出的事实、理由或者证据成立的，应当采纳。     </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 xml:space="preserve">3、执行责任：由作出决定的公安机关执行。      </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 xml:space="preserve">4、事后监管责任：开展后续监督管理。               </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5、其他法律法规规章文件规定应履行的责任。</w:t>
            </w:r>
          </w:p>
        </w:tc>
        <w:tc>
          <w:tcPr>
            <w:tcW w:w="2370" w:type="dxa"/>
            <w:gridSpan w:val="4"/>
            <w:tcBorders>
              <w:top w:val="single" w:color="auto" w:sz="4" w:space="0"/>
              <w:left w:val="single" w:color="auto" w:sz="4" w:space="0"/>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因不履行或不正确履行行政职责，有下列情形的，公安机关及相关工作人员应承担相应责任：</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1、对不符合传唤、强制传唤的人员实施该强制措施；</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2、对应当传唤、强制传唤而未实施的；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3、改变行政强制对象、条件、方式的；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4、违反法定程序实施传唤、强制传唤的；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5、利用行政强制权为单位或者个人谋取利益的；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6、给公民、法人或者其他组织造成损失的；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7、在实施传唤、强制传唤过程中有腐败行为的；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8、其他违反法律法规规章文件的行为。</w:t>
            </w:r>
          </w:p>
        </w:tc>
        <w:tc>
          <w:tcPr>
            <w:tcW w:w="1098" w:type="dxa"/>
            <w:gridSpan w:val="2"/>
            <w:tcBorders>
              <w:top w:val="single" w:color="auto" w:sz="4" w:space="0"/>
              <w:left w:val="single" w:color="auto" w:sz="4" w:space="0"/>
              <w:bottom w:val="single" w:color="auto" w:sz="4" w:space="0"/>
              <w:right w:val="single" w:color="auto" w:sz="4" w:space="0"/>
            </w:tcBorders>
          </w:tcPr>
          <w:p>
            <w:pPr>
              <w:spacing w:line="240" w:lineRule="exact"/>
              <w:textAlignment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6815" w:hRule="exact"/>
        </w:trPr>
        <w:tc>
          <w:tcPr>
            <w:tcW w:w="4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hint="default" w:eastAsia="仿宋_GB2312"/>
                <w:sz w:val="20"/>
                <w:szCs w:val="20"/>
                <w:lang w:val="en-US" w:eastAsia="zh-CN"/>
              </w:rPr>
            </w:pPr>
            <w:r>
              <w:rPr>
                <w:rFonts w:hint="eastAsia"/>
                <w:sz w:val="20"/>
                <w:szCs w:val="20"/>
                <w:lang w:val="en-US" w:eastAsia="zh-CN"/>
              </w:rPr>
              <w:t>60</w:t>
            </w:r>
          </w:p>
        </w:tc>
        <w:tc>
          <w:tcPr>
            <w:tcW w:w="58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sz w:val="20"/>
                <w:szCs w:val="20"/>
              </w:rPr>
            </w:pPr>
            <w:r>
              <w:rPr>
                <w:rFonts w:hint="eastAsia"/>
                <w:sz w:val="20"/>
                <w:szCs w:val="20"/>
              </w:rPr>
              <w:t>行政征收</w:t>
            </w:r>
          </w:p>
        </w:tc>
        <w:tc>
          <w:tcPr>
            <w:tcW w:w="1189"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公民出入境证件费</w:t>
            </w:r>
          </w:p>
        </w:tc>
        <w:tc>
          <w:tcPr>
            <w:tcW w:w="96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唐山市公安局开平分局出入境管理大队</w:t>
            </w:r>
          </w:p>
        </w:tc>
        <w:tc>
          <w:tcPr>
            <w:tcW w:w="5065" w:type="dxa"/>
            <w:gridSpan w:val="8"/>
            <w:tcBorders>
              <w:top w:val="single" w:color="auto" w:sz="4" w:space="0"/>
              <w:left w:val="single" w:color="auto" w:sz="4" w:space="0"/>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国家发改委、财政部文件（发改价格[2019]914号）、国家物价局、财政部（[1993]价费字164号）国家发展改革委、财政部（发改价格[2005]1460号）、</w:t>
            </w:r>
          </w:p>
        </w:tc>
        <w:tc>
          <w:tcPr>
            <w:tcW w:w="1294"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 xml:space="preserve">1、告知责任：公开或当场告知当事人申请人收费标准、收费依据、收费金额                2、执行责任：出具受理回执单。                  </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3、其他法律法规规章文件规定应履行的责任。</w:t>
            </w:r>
          </w:p>
        </w:tc>
        <w:tc>
          <w:tcPr>
            <w:tcW w:w="2370" w:type="dxa"/>
            <w:gridSpan w:val="4"/>
            <w:tcBorders>
              <w:top w:val="single" w:color="auto" w:sz="4" w:space="0"/>
              <w:left w:val="single" w:color="auto" w:sz="4" w:space="0"/>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因不履行或不正确履行行政职责，有下列情形的，公安机关及相关工作人员应承担相应责任：</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1、违反相关规定乱收费的；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2、其他违反法律法规规章文件的行为。</w:t>
            </w:r>
          </w:p>
        </w:tc>
        <w:tc>
          <w:tcPr>
            <w:tcW w:w="1098" w:type="dxa"/>
            <w:gridSpan w:val="2"/>
            <w:tcBorders>
              <w:top w:val="single" w:color="auto" w:sz="4" w:space="0"/>
              <w:left w:val="single" w:color="auto" w:sz="4" w:space="0"/>
              <w:bottom w:val="single" w:color="auto" w:sz="4" w:space="0"/>
              <w:right w:val="single" w:color="auto" w:sz="4" w:space="0"/>
            </w:tcBorders>
          </w:tcPr>
          <w:p>
            <w:pPr>
              <w:spacing w:line="240" w:lineRule="exact"/>
              <w:textAlignment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8225" w:hRule="exact"/>
        </w:trPr>
        <w:tc>
          <w:tcPr>
            <w:tcW w:w="4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sz w:val="20"/>
                <w:szCs w:val="20"/>
              </w:rPr>
            </w:pPr>
            <w:r>
              <w:rPr>
                <w:rFonts w:hint="eastAsia"/>
                <w:sz w:val="20"/>
                <w:szCs w:val="20"/>
                <w:lang w:val="en-US" w:eastAsia="zh-CN"/>
              </w:rPr>
              <w:t>6</w:t>
            </w:r>
            <w:r>
              <w:rPr>
                <w:rFonts w:hint="eastAsia"/>
                <w:sz w:val="20"/>
                <w:szCs w:val="20"/>
              </w:rPr>
              <w:t>1</w:t>
            </w:r>
          </w:p>
        </w:tc>
        <w:tc>
          <w:tcPr>
            <w:tcW w:w="58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sz w:val="20"/>
                <w:szCs w:val="20"/>
              </w:rPr>
            </w:pPr>
            <w:r>
              <w:rPr>
                <w:rFonts w:hint="eastAsia"/>
                <w:sz w:val="20"/>
                <w:szCs w:val="20"/>
              </w:rPr>
              <w:t>行政检查</w:t>
            </w:r>
          </w:p>
        </w:tc>
        <w:tc>
          <w:tcPr>
            <w:tcW w:w="1189"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查验外国人证件</w:t>
            </w:r>
          </w:p>
        </w:tc>
        <w:tc>
          <w:tcPr>
            <w:tcW w:w="96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唐山市公安局开平分局出入境管理大队</w:t>
            </w:r>
          </w:p>
        </w:tc>
        <w:tc>
          <w:tcPr>
            <w:tcW w:w="5065" w:type="dxa"/>
            <w:gridSpan w:val="8"/>
            <w:tcBorders>
              <w:top w:val="single" w:color="auto" w:sz="4" w:space="0"/>
              <w:left w:val="single" w:color="auto" w:sz="4" w:space="0"/>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中华人民共和国出境入境管理法第三十八条</w:t>
            </w:r>
          </w:p>
        </w:tc>
        <w:tc>
          <w:tcPr>
            <w:tcW w:w="1294"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1、检查责任：根据工作需要，对外国人证件进行检查，核查是否符合法律规定要求</w:t>
            </w:r>
          </w:p>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2、处理责任：根据检查情况依法做出处理决定。</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3、其他法律法规规章文件规定应履行的责任。</w:t>
            </w:r>
          </w:p>
        </w:tc>
        <w:tc>
          <w:tcPr>
            <w:tcW w:w="2370" w:type="dxa"/>
            <w:gridSpan w:val="4"/>
            <w:tcBorders>
              <w:top w:val="single" w:color="auto" w:sz="4" w:space="0"/>
              <w:left w:val="single" w:color="auto" w:sz="4" w:space="0"/>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因不履行或不正确履行行政职责，有下列情形的，公安机关及相关工作人员应承担相应责任：</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1、不按法定程序履行职责的；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2、在检查过程中发生腐败行为的；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3、其他法律法规规章文件规定的行为。</w:t>
            </w:r>
          </w:p>
        </w:tc>
        <w:tc>
          <w:tcPr>
            <w:tcW w:w="1098" w:type="dxa"/>
            <w:gridSpan w:val="2"/>
            <w:tcBorders>
              <w:top w:val="single" w:color="auto" w:sz="4" w:space="0"/>
              <w:left w:val="single" w:color="auto" w:sz="4" w:space="0"/>
              <w:bottom w:val="single" w:color="auto" w:sz="4" w:space="0"/>
              <w:right w:val="single" w:color="auto" w:sz="4" w:space="0"/>
            </w:tcBorders>
          </w:tcPr>
          <w:p>
            <w:pPr>
              <w:spacing w:line="240" w:lineRule="exact"/>
              <w:textAlignment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9" w:hRule="exact"/>
        </w:trPr>
        <w:tc>
          <w:tcPr>
            <w:tcW w:w="4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center"/>
              <w:rPr>
                <w:rFonts w:hint="default" w:ascii="仿宋_GB2312" w:eastAsia="仿宋_GB2312"/>
                <w:color w:val="000000"/>
                <w:sz w:val="20"/>
                <w:szCs w:val="20"/>
                <w:lang w:val="en-US" w:eastAsia="zh-CN"/>
              </w:rPr>
            </w:pPr>
            <w:r>
              <w:rPr>
                <w:rFonts w:hint="eastAsia" w:ascii="仿宋_GB2312" w:hAnsi="仿宋_GB2312"/>
                <w:color w:val="000000"/>
                <w:sz w:val="20"/>
                <w:szCs w:val="20"/>
                <w:lang w:val="en-US" w:eastAsia="zh-CN"/>
              </w:rPr>
              <w:t>62</w:t>
            </w:r>
          </w:p>
        </w:tc>
        <w:tc>
          <w:tcPr>
            <w:tcW w:w="589" w:type="dxa"/>
            <w:tcBorders>
              <w:top w:val="single" w:color="auto" w:sz="4" w:space="0"/>
              <w:left w:val="nil"/>
              <w:bottom w:val="single" w:color="auto" w:sz="4" w:space="0"/>
              <w:right w:val="single" w:color="auto" w:sz="4" w:space="0"/>
            </w:tcBorders>
            <w:vAlign w:val="center"/>
          </w:tcPr>
          <w:p>
            <w:pPr>
              <w:spacing w:line="240" w:lineRule="exact"/>
              <w:textAlignment w:val="center"/>
              <w:rPr>
                <w:sz w:val="20"/>
                <w:szCs w:val="20"/>
              </w:rPr>
            </w:pPr>
            <w:r>
              <w:rPr>
                <w:rFonts w:hint="eastAsia"/>
                <w:sz w:val="20"/>
                <w:szCs w:val="20"/>
              </w:rPr>
              <w:t>行政确认</w:t>
            </w:r>
          </w:p>
        </w:tc>
        <w:tc>
          <w:tcPr>
            <w:tcW w:w="1189" w:type="dxa"/>
            <w:gridSpan w:val="2"/>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居民身份证核发</w:t>
            </w:r>
          </w:p>
        </w:tc>
        <w:tc>
          <w:tcPr>
            <w:tcW w:w="965" w:type="dxa"/>
            <w:gridSpan w:val="2"/>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唐山市公安局开平分局户政科</w:t>
            </w:r>
          </w:p>
        </w:tc>
        <w:tc>
          <w:tcPr>
            <w:tcW w:w="5065" w:type="dxa"/>
            <w:gridSpan w:val="8"/>
            <w:tcBorders>
              <w:top w:val="single" w:color="auto" w:sz="4" w:space="0"/>
              <w:left w:val="nil"/>
              <w:bottom w:val="single" w:color="auto" w:sz="4" w:space="0"/>
              <w:right w:val="single" w:color="auto" w:sz="4" w:space="0"/>
            </w:tcBorders>
            <w:vAlign w:val="center"/>
          </w:tcPr>
          <w:p>
            <w:pPr>
              <w:widowControl/>
              <w:tabs>
                <w:tab w:val="left" w:pos="492"/>
              </w:tabs>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w:t>
            </w:r>
            <w:r>
              <w:rPr>
                <w:rFonts w:hint="eastAsia" w:ascii="仿宋_GB2312" w:hAnsi="Arial" w:cs="Arial"/>
                <w:color w:val="000000" w:themeColor="text1"/>
                <w:kern w:val="0"/>
                <w:sz w:val="13"/>
                <w:szCs w:val="13"/>
                <w:lang w:eastAsia="zh-CN"/>
              </w:rPr>
              <w:t>中华人民共和国居民身份证法</w:t>
            </w:r>
            <w:r>
              <w:rPr>
                <w:rFonts w:hint="eastAsia" w:ascii="仿宋_GB2312" w:hAnsi="Arial" w:cs="Arial"/>
                <w:color w:val="000000" w:themeColor="text1"/>
                <w:kern w:val="0"/>
                <w:sz w:val="13"/>
                <w:szCs w:val="13"/>
              </w:rPr>
              <w:t>》第二条：居住在中华人民共和国境内的年满十六周岁的中国公民，应当依照本法的规定申请领取居民身份证；未满十六周岁的中国公民，可以依照本法的规定申请领取居民身份证。 《中华人民共和国居民身份证法》</w:t>
            </w:r>
          </w:p>
          <w:p>
            <w:pPr>
              <w:widowControl/>
              <w:tabs>
                <w:tab w:val="left" w:pos="492"/>
              </w:tabs>
              <w:spacing w:line="240" w:lineRule="exact"/>
              <w:rPr>
                <w:rFonts w:ascii="仿宋_GB2312" w:hAnsi="Arial" w:cs="Arial"/>
                <w:color w:val="000000" w:themeColor="text1"/>
                <w:kern w:val="0"/>
                <w:sz w:val="13"/>
                <w:szCs w:val="13"/>
              </w:rPr>
            </w:pPr>
          </w:p>
        </w:tc>
        <w:tc>
          <w:tcPr>
            <w:tcW w:w="1294" w:type="dxa"/>
            <w:gridSpan w:val="3"/>
            <w:tcBorders>
              <w:top w:val="single" w:color="auto" w:sz="4" w:space="0"/>
              <w:left w:val="nil"/>
              <w:bottom w:val="single" w:color="auto" w:sz="4" w:space="0"/>
              <w:right w:val="single" w:color="auto" w:sz="4" w:space="0"/>
            </w:tcBorders>
            <w:vAlign w:val="center"/>
          </w:tcPr>
          <w:p>
            <w:pPr>
              <w:widowControl/>
              <w:tabs>
                <w:tab w:val="left" w:pos="492"/>
              </w:tabs>
              <w:spacing w:line="240" w:lineRule="exact"/>
              <w:jc w:val="lef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理责任：公示依法应当提交的材料：一次性告知补充材料。2、审查责任：审核有关材料，符合要求的，居民常住户口所在地公安机关派出所现场依法受理。3、决定责任：做出申请人是否通过确认的决定；不符合要求的，应当书面告知申请人。4.送达责任：通过确认的，统一制证，公民持领取凭条到常住户口所在地公安派出所领取证件。5、事后监管责任：对居民身份证进行日常的监督管理。6、其他：法律法规规定应履行的责任。</w:t>
            </w:r>
          </w:p>
        </w:tc>
        <w:tc>
          <w:tcPr>
            <w:tcW w:w="2370" w:type="dxa"/>
            <w:gridSpan w:val="4"/>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行政机关及相关工作人员应承担相应的责任；1.对符合条件的不予受理，不予批准；2.对不符合条件的户口审批予以批准；3.未严格履行审批责任，导致违反规定落户的；4.工作人员玩忽职守、滥用职权；5,有索贿、受贿、利用职权之便为自己和他人谋取私利等腐败行为的；6其他违反法律法规规章文件规定的行为。</w:t>
            </w:r>
          </w:p>
        </w:tc>
        <w:tc>
          <w:tcPr>
            <w:tcW w:w="1098" w:type="dxa"/>
            <w:gridSpan w:val="2"/>
            <w:tcBorders>
              <w:top w:val="single" w:color="auto" w:sz="4" w:space="0"/>
              <w:left w:val="nil"/>
              <w:bottom w:val="single" w:color="auto" w:sz="4" w:space="0"/>
              <w:right w:val="nil"/>
            </w:tcBorders>
          </w:tcPr>
          <w:p>
            <w:pPr>
              <w:spacing w:line="300" w:lineRule="exact"/>
              <w:jc w:val="center"/>
              <w:textAlignment w:val="center"/>
              <w:rPr>
                <w:rFonts w:ascii="仿宋_GB2312"/>
                <w:color w:val="000000"/>
                <w:sz w:val="24"/>
                <w:szCs w:val="24"/>
              </w:rPr>
            </w:pPr>
          </w:p>
        </w:tc>
        <w:tc>
          <w:tcPr>
            <w:tcW w:w="607" w:type="dxa"/>
            <w:gridSpan w:val="4"/>
            <w:tcBorders>
              <w:top w:val="single" w:color="auto" w:sz="4" w:space="0"/>
              <w:left w:val="nil"/>
              <w:bottom w:val="single" w:color="auto" w:sz="4" w:space="0"/>
              <w:right w:val="single" w:color="auto" w:sz="4" w:space="0"/>
            </w:tcBorders>
            <w:vAlign w:val="center"/>
          </w:tcPr>
          <w:p>
            <w:pPr>
              <w:spacing w:line="300" w:lineRule="exact"/>
              <w:jc w:val="center"/>
              <w:textAlignment w:val="center"/>
              <w:rPr>
                <w:rFonts w:ascii="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1" w:hRule="atLeast"/>
        </w:trPr>
        <w:tc>
          <w:tcPr>
            <w:tcW w:w="4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hint="default" w:eastAsia="仿宋_GB2312"/>
                <w:sz w:val="20"/>
                <w:szCs w:val="20"/>
                <w:lang w:val="en-US" w:eastAsia="zh-CN"/>
              </w:rPr>
            </w:pPr>
            <w:r>
              <w:rPr>
                <w:rFonts w:hint="eastAsia"/>
                <w:sz w:val="20"/>
                <w:szCs w:val="20"/>
                <w:lang w:val="en-US" w:eastAsia="zh-CN"/>
              </w:rPr>
              <w:t>63</w:t>
            </w:r>
          </w:p>
        </w:tc>
        <w:tc>
          <w:tcPr>
            <w:tcW w:w="589" w:type="dxa"/>
            <w:tcBorders>
              <w:top w:val="single" w:color="auto" w:sz="4" w:space="0"/>
              <w:left w:val="nil"/>
              <w:bottom w:val="single" w:color="auto" w:sz="4" w:space="0"/>
              <w:right w:val="single" w:color="auto" w:sz="4" w:space="0"/>
            </w:tcBorders>
            <w:vAlign w:val="center"/>
          </w:tcPr>
          <w:p>
            <w:pPr>
              <w:spacing w:line="240" w:lineRule="exact"/>
              <w:textAlignment w:val="center"/>
              <w:rPr>
                <w:sz w:val="20"/>
                <w:szCs w:val="20"/>
              </w:rPr>
            </w:pPr>
            <w:r>
              <w:rPr>
                <w:rFonts w:hint="eastAsia"/>
                <w:sz w:val="20"/>
                <w:szCs w:val="20"/>
              </w:rPr>
              <w:t>行政确认</w:t>
            </w:r>
          </w:p>
        </w:tc>
        <w:tc>
          <w:tcPr>
            <w:tcW w:w="1189" w:type="dxa"/>
            <w:gridSpan w:val="2"/>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居住证核发</w:t>
            </w:r>
          </w:p>
          <w:p>
            <w:pPr>
              <w:widowControl/>
              <w:tabs>
                <w:tab w:val="left" w:pos="492"/>
              </w:tabs>
              <w:spacing w:line="240" w:lineRule="exact"/>
              <w:rPr>
                <w:rFonts w:ascii="仿宋_GB2312" w:hAnsi="Arial" w:cs="Arial"/>
                <w:color w:val="000000" w:themeColor="text1"/>
                <w:kern w:val="0"/>
                <w:sz w:val="13"/>
                <w:szCs w:val="13"/>
              </w:rPr>
            </w:pPr>
          </w:p>
        </w:tc>
        <w:tc>
          <w:tcPr>
            <w:tcW w:w="965" w:type="dxa"/>
            <w:gridSpan w:val="2"/>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唐山市公安局开平分局户政科</w:t>
            </w:r>
          </w:p>
        </w:tc>
        <w:tc>
          <w:tcPr>
            <w:tcW w:w="5065" w:type="dxa"/>
            <w:gridSpan w:val="8"/>
            <w:tcBorders>
              <w:top w:val="single" w:color="auto" w:sz="4" w:space="0"/>
              <w:left w:val="nil"/>
              <w:bottom w:val="single" w:color="auto" w:sz="4" w:space="0"/>
              <w:right w:val="single" w:color="auto" w:sz="4" w:space="0"/>
            </w:tcBorders>
            <w:vAlign w:val="center"/>
          </w:tcPr>
          <w:p>
            <w:pPr>
              <w:widowControl/>
              <w:tabs>
                <w:tab w:val="left" w:pos="492"/>
              </w:tabs>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《河北省居住证实施办法（试行）》（2016年）第十条：居住证由县级政府公安机关签发，公安派出所具体办理。</w:t>
            </w:r>
          </w:p>
          <w:p>
            <w:pPr>
              <w:widowControl/>
              <w:tabs>
                <w:tab w:val="left" w:pos="492"/>
              </w:tabs>
              <w:spacing w:line="240" w:lineRule="exact"/>
              <w:rPr>
                <w:rFonts w:ascii="仿宋_GB2312" w:hAnsi="Arial" w:cs="Arial"/>
                <w:color w:val="000000" w:themeColor="text1"/>
                <w:kern w:val="0"/>
                <w:sz w:val="13"/>
                <w:szCs w:val="13"/>
              </w:rPr>
            </w:pPr>
          </w:p>
        </w:tc>
        <w:tc>
          <w:tcPr>
            <w:tcW w:w="1294" w:type="dxa"/>
            <w:gridSpan w:val="3"/>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理阶段责任：在办公场所公示依法应当提交的材料；一次性告知补充材料。2、审查阶段责任:对申请材料进行审查；3、决定阶段责任；做出审批意见（不予同意的要说明理由并告知当事人）。4、其他法律法规规章文件规定应旅行的责任。</w:t>
            </w:r>
          </w:p>
        </w:tc>
        <w:tc>
          <w:tcPr>
            <w:tcW w:w="2370" w:type="dxa"/>
            <w:gridSpan w:val="4"/>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行政机关及相关工作人员应承担相应的责任；1.对符合条件的不予受理，不予批准；2.对不符合条件的户口审批予以批准；3.未严格履行审批责任，导致违反规定落户的；4.工作人员玩忽职守、滥用职权；5,有索贿、受贿、利用职权之便为自己和他人谋取私利等腐败行为的；6其他违反法律法规规章文件规定的行为。</w:t>
            </w:r>
          </w:p>
        </w:tc>
        <w:tc>
          <w:tcPr>
            <w:tcW w:w="1098" w:type="dxa"/>
            <w:gridSpan w:val="2"/>
            <w:tcBorders>
              <w:top w:val="single" w:color="auto" w:sz="4" w:space="0"/>
              <w:left w:val="nil"/>
              <w:bottom w:val="single" w:color="auto" w:sz="4" w:space="0"/>
              <w:right w:val="nil"/>
            </w:tcBorders>
          </w:tcPr>
          <w:p>
            <w:pPr>
              <w:spacing w:line="240" w:lineRule="exact"/>
              <w:textAlignment w:val="center"/>
              <w:rPr>
                <w:sz w:val="20"/>
                <w:szCs w:val="20"/>
              </w:rPr>
            </w:pPr>
          </w:p>
        </w:tc>
        <w:tc>
          <w:tcPr>
            <w:tcW w:w="607" w:type="dxa"/>
            <w:gridSpan w:val="4"/>
            <w:tcBorders>
              <w:top w:val="single" w:color="auto" w:sz="4" w:space="0"/>
              <w:left w:val="nil"/>
              <w:bottom w:val="single" w:color="auto" w:sz="4" w:space="0"/>
              <w:right w:val="single" w:color="auto" w:sz="4" w:space="0"/>
            </w:tcBorders>
            <w:vAlign w:val="center"/>
          </w:tcPr>
          <w:p>
            <w:pPr>
              <w:spacing w:line="240" w:lineRule="exact"/>
              <w:textAlignment w:val="center"/>
              <w:rP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7" w:hRule="atLeast"/>
        </w:trPr>
        <w:tc>
          <w:tcPr>
            <w:tcW w:w="4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hint="default" w:eastAsia="仿宋_GB2312"/>
                <w:sz w:val="20"/>
                <w:szCs w:val="20"/>
                <w:lang w:val="en-US" w:eastAsia="zh-CN"/>
              </w:rPr>
            </w:pPr>
            <w:r>
              <w:rPr>
                <w:rFonts w:hint="eastAsia"/>
                <w:sz w:val="20"/>
                <w:szCs w:val="20"/>
                <w:lang w:val="en-US" w:eastAsia="zh-CN"/>
              </w:rPr>
              <w:t>64</w:t>
            </w:r>
          </w:p>
        </w:tc>
        <w:tc>
          <w:tcPr>
            <w:tcW w:w="589" w:type="dxa"/>
            <w:tcBorders>
              <w:top w:val="single" w:color="auto" w:sz="4" w:space="0"/>
              <w:left w:val="nil"/>
              <w:bottom w:val="single" w:color="auto" w:sz="4" w:space="0"/>
              <w:right w:val="single" w:color="auto" w:sz="4" w:space="0"/>
            </w:tcBorders>
            <w:vAlign w:val="center"/>
          </w:tcPr>
          <w:p>
            <w:pPr>
              <w:spacing w:line="240" w:lineRule="exact"/>
              <w:jc w:val="center"/>
              <w:textAlignment w:val="center"/>
              <w:rPr>
                <w:sz w:val="20"/>
                <w:szCs w:val="20"/>
              </w:rPr>
            </w:pPr>
            <w:r>
              <w:rPr>
                <w:rFonts w:hint="eastAsia"/>
                <w:sz w:val="20"/>
                <w:szCs w:val="20"/>
              </w:rPr>
              <w:t>行政确认</w:t>
            </w:r>
          </w:p>
        </w:tc>
        <w:tc>
          <w:tcPr>
            <w:tcW w:w="1189" w:type="dxa"/>
            <w:gridSpan w:val="2"/>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死亡户口注销</w:t>
            </w:r>
          </w:p>
          <w:p>
            <w:pPr>
              <w:widowControl/>
              <w:tabs>
                <w:tab w:val="left" w:pos="492"/>
              </w:tabs>
              <w:spacing w:line="240" w:lineRule="exact"/>
              <w:rPr>
                <w:rFonts w:ascii="仿宋_GB2312" w:hAnsi="Arial" w:cs="Arial"/>
                <w:color w:val="000000" w:themeColor="text1"/>
                <w:kern w:val="0"/>
                <w:sz w:val="13"/>
                <w:szCs w:val="13"/>
              </w:rPr>
            </w:pPr>
          </w:p>
        </w:tc>
        <w:tc>
          <w:tcPr>
            <w:tcW w:w="965" w:type="dxa"/>
            <w:gridSpan w:val="2"/>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唐山市公安局开平分局户政科</w:t>
            </w:r>
          </w:p>
        </w:tc>
        <w:tc>
          <w:tcPr>
            <w:tcW w:w="5065" w:type="dxa"/>
            <w:gridSpan w:val="8"/>
            <w:tcBorders>
              <w:top w:val="single" w:color="auto" w:sz="4" w:space="0"/>
              <w:left w:val="nil"/>
              <w:bottom w:val="single" w:color="auto" w:sz="4" w:space="0"/>
              <w:right w:val="single" w:color="auto" w:sz="4" w:space="0"/>
            </w:tcBorders>
            <w:vAlign w:val="center"/>
          </w:tcPr>
          <w:p>
            <w:pPr>
              <w:widowControl/>
              <w:tabs>
                <w:tab w:val="left" w:pos="492"/>
              </w:tabs>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《中华人民共和国户口登记条例》（1958年1月9日）第八条：公民死亡，城市在葬前，农村在一个月以内，由户主、亲属、抚养人或者邻居向户口登记机关申报死亡登记，注销户口。</w:t>
            </w:r>
          </w:p>
          <w:p>
            <w:pPr>
              <w:widowControl/>
              <w:tabs>
                <w:tab w:val="left" w:pos="492"/>
              </w:tabs>
              <w:rPr>
                <w:rFonts w:ascii="仿宋_GB2312" w:hAnsi="Arial" w:cs="Arial"/>
                <w:color w:val="000000" w:themeColor="text1"/>
                <w:kern w:val="0"/>
                <w:sz w:val="13"/>
                <w:szCs w:val="13"/>
              </w:rPr>
            </w:pPr>
          </w:p>
        </w:tc>
        <w:tc>
          <w:tcPr>
            <w:tcW w:w="1294" w:type="dxa"/>
            <w:gridSpan w:val="3"/>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理责任；公示依法应当提交的材料；一次性告知补充材料。2.审查责任；审核有关材料，符合要求的，居民常住户口所在地公安机关派出所现场依法受理。3.决定责任；做出申请人是否通过确认的决定；不符合要求的，应当书面通知申请人。4.当场办结。</w:t>
            </w:r>
          </w:p>
        </w:tc>
        <w:tc>
          <w:tcPr>
            <w:tcW w:w="2370" w:type="dxa"/>
            <w:gridSpan w:val="4"/>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行政机关及相关工作人员应承担相应的责任；1.对符合条件的不予受理，不予批准；2.对不符合条件的户口审批予以批准；3.未严格履行审批责任，导致违反规定落户的；4.工作人员玩忽职守、滥用职权；5,有索贿、受贿、利用职权之便为自己和他人谋取私利等腐败行为的；6其他违反法律法规规章文件规定的行为。</w:t>
            </w:r>
          </w:p>
        </w:tc>
        <w:tc>
          <w:tcPr>
            <w:tcW w:w="1098" w:type="dxa"/>
            <w:gridSpan w:val="2"/>
            <w:tcBorders>
              <w:top w:val="single" w:color="auto" w:sz="4" w:space="0"/>
              <w:left w:val="nil"/>
              <w:bottom w:val="single" w:color="auto" w:sz="4" w:space="0"/>
              <w:right w:val="nil"/>
            </w:tcBorders>
          </w:tcPr>
          <w:p>
            <w:pPr>
              <w:spacing w:line="240" w:lineRule="exact"/>
              <w:textAlignment w:val="center"/>
              <w:rPr>
                <w:sz w:val="20"/>
                <w:szCs w:val="20"/>
              </w:rPr>
            </w:pPr>
          </w:p>
        </w:tc>
        <w:tc>
          <w:tcPr>
            <w:tcW w:w="607" w:type="dxa"/>
            <w:gridSpan w:val="4"/>
            <w:tcBorders>
              <w:top w:val="single" w:color="auto" w:sz="4" w:space="0"/>
              <w:left w:val="nil"/>
              <w:bottom w:val="single" w:color="auto" w:sz="4" w:space="0"/>
              <w:right w:val="single" w:color="auto" w:sz="4" w:space="0"/>
            </w:tcBorders>
            <w:vAlign w:val="center"/>
          </w:tcPr>
          <w:p>
            <w:pPr>
              <w:spacing w:line="240" w:lineRule="exact"/>
              <w:textAlignment w:val="center"/>
              <w:rP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4" w:hRule="atLeast"/>
        </w:trPr>
        <w:tc>
          <w:tcPr>
            <w:tcW w:w="4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hint="default" w:eastAsia="仿宋_GB2312"/>
                <w:sz w:val="20"/>
                <w:szCs w:val="20"/>
                <w:lang w:val="en-US" w:eastAsia="zh-CN"/>
              </w:rPr>
            </w:pPr>
            <w:r>
              <w:rPr>
                <w:rFonts w:hint="eastAsia"/>
                <w:sz w:val="20"/>
                <w:szCs w:val="20"/>
                <w:lang w:val="en-US" w:eastAsia="zh-CN"/>
              </w:rPr>
              <w:t>65</w:t>
            </w:r>
          </w:p>
        </w:tc>
        <w:tc>
          <w:tcPr>
            <w:tcW w:w="589" w:type="dxa"/>
            <w:tcBorders>
              <w:top w:val="single" w:color="auto" w:sz="4" w:space="0"/>
              <w:left w:val="nil"/>
              <w:bottom w:val="single" w:color="auto" w:sz="4" w:space="0"/>
              <w:right w:val="single" w:color="auto" w:sz="4" w:space="0"/>
            </w:tcBorders>
            <w:vAlign w:val="center"/>
          </w:tcPr>
          <w:p>
            <w:pPr>
              <w:spacing w:line="240" w:lineRule="exact"/>
              <w:jc w:val="center"/>
              <w:textAlignment w:val="center"/>
              <w:rPr>
                <w:sz w:val="20"/>
                <w:szCs w:val="20"/>
              </w:rPr>
            </w:pPr>
            <w:r>
              <w:rPr>
                <w:rFonts w:hint="eastAsia"/>
                <w:sz w:val="20"/>
                <w:szCs w:val="20"/>
              </w:rPr>
              <w:t>行政确认</w:t>
            </w:r>
          </w:p>
        </w:tc>
        <w:tc>
          <w:tcPr>
            <w:tcW w:w="1189" w:type="dxa"/>
            <w:gridSpan w:val="2"/>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出生户口登记</w:t>
            </w:r>
          </w:p>
        </w:tc>
        <w:tc>
          <w:tcPr>
            <w:tcW w:w="965" w:type="dxa"/>
            <w:gridSpan w:val="2"/>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唐山市公安局开平分局户政科</w:t>
            </w:r>
          </w:p>
        </w:tc>
        <w:tc>
          <w:tcPr>
            <w:tcW w:w="5065" w:type="dxa"/>
            <w:gridSpan w:val="8"/>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 xml:space="preserve"> </w:t>
            </w:r>
          </w:p>
          <w:p>
            <w:pPr>
              <w:widowControl/>
              <w:tabs>
                <w:tab w:val="left" w:pos="492"/>
              </w:tabs>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中华人民共和国户口登记条例》（1958年1月9日）第七条：婴儿出生后一个月以内，由户主、亲属、抚养人或者邻居向婴儿常住地户口登记机关申报出生登记。弃婴，由收养人或者育婴机关向户口登记机关申报出生登记。</w:t>
            </w:r>
          </w:p>
          <w:p>
            <w:pPr>
              <w:widowControl/>
              <w:tabs>
                <w:tab w:val="left" w:pos="492"/>
              </w:tabs>
              <w:spacing w:line="240" w:lineRule="exact"/>
              <w:rPr>
                <w:rFonts w:ascii="仿宋_GB2312" w:hAnsi="Arial" w:cs="Arial"/>
                <w:color w:val="000000" w:themeColor="text1"/>
                <w:kern w:val="0"/>
                <w:sz w:val="13"/>
                <w:szCs w:val="13"/>
              </w:rPr>
            </w:pPr>
          </w:p>
        </w:tc>
        <w:tc>
          <w:tcPr>
            <w:tcW w:w="1294" w:type="dxa"/>
            <w:gridSpan w:val="3"/>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理责任：公示依法应当提交的材料；一次性告知补充材料。2.审查责任；审核有关材料，符合要求的，居民常住户口所在地公安机关派出所现场依法受理。3，决定责任；做出申请人是否通过确认的决定；不符和要求的，应当书面通知申请人。4，当场办结。</w:t>
            </w:r>
          </w:p>
        </w:tc>
        <w:tc>
          <w:tcPr>
            <w:tcW w:w="2370" w:type="dxa"/>
            <w:gridSpan w:val="4"/>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行政机关及相关工作人员应承担相应的责任；1.对符合条件的不予受理，不予批准；2.对不符合条件的户口审批予以批准；3.未严格履行审批责任，导致违反规定落户的；4.工作人员玩忽职守、滥用职权；5,有索贿、受贿、利用职权之便为自己和他人谋取私利等腐败行为的；6其他违反法律法规规章文件规定的行为。</w:t>
            </w:r>
          </w:p>
        </w:tc>
        <w:tc>
          <w:tcPr>
            <w:tcW w:w="1098" w:type="dxa"/>
            <w:gridSpan w:val="2"/>
            <w:tcBorders>
              <w:top w:val="single" w:color="auto" w:sz="4" w:space="0"/>
              <w:left w:val="nil"/>
              <w:bottom w:val="single" w:color="auto" w:sz="4" w:space="0"/>
              <w:right w:val="nil"/>
            </w:tcBorders>
          </w:tcPr>
          <w:p>
            <w:pPr>
              <w:spacing w:line="240" w:lineRule="exact"/>
              <w:textAlignment w:val="center"/>
              <w:rPr>
                <w:sz w:val="20"/>
                <w:szCs w:val="20"/>
              </w:rPr>
            </w:pPr>
          </w:p>
        </w:tc>
        <w:tc>
          <w:tcPr>
            <w:tcW w:w="607" w:type="dxa"/>
            <w:gridSpan w:val="4"/>
            <w:tcBorders>
              <w:top w:val="single" w:color="auto" w:sz="4" w:space="0"/>
              <w:left w:val="nil"/>
              <w:bottom w:val="single" w:color="auto" w:sz="4" w:space="0"/>
              <w:right w:val="single" w:color="auto" w:sz="4" w:space="0"/>
            </w:tcBorders>
            <w:vAlign w:val="center"/>
          </w:tcPr>
          <w:p>
            <w:pPr>
              <w:spacing w:line="240" w:lineRule="exact"/>
              <w:textAlignment w:val="center"/>
              <w:rP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5" w:hRule="atLeast"/>
        </w:trPr>
        <w:tc>
          <w:tcPr>
            <w:tcW w:w="4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hint="default" w:eastAsia="仿宋_GB2312"/>
                <w:sz w:val="20"/>
                <w:szCs w:val="20"/>
                <w:lang w:val="en-US" w:eastAsia="zh-CN"/>
              </w:rPr>
            </w:pPr>
            <w:r>
              <w:rPr>
                <w:rFonts w:hint="eastAsia"/>
                <w:sz w:val="20"/>
                <w:szCs w:val="20"/>
                <w:lang w:val="en-US" w:eastAsia="zh-CN"/>
              </w:rPr>
              <w:t>66</w:t>
            </w:r>
          </w:p>
        </w:tc>
        <w:tc>
          <w:tcPr>
            <w:tcW w:w="589" w:type="dxa"/>
            <w:tcBorders>
              <w:top w:val="single" w:color="auto" w:sz="4" w:space="0"/>
              <w:left w:val="nil"/>
              <w:bottom w:val="single" w:color="auto" w:sz="4" w:space="0"/>
              <w:right w:val="single" w:color="auto" w:sz="4" w:space="0"/>
            </w:tcBorders>
            <w:vAlign w:val="center"/>
          </w:tcPr>
          <w:p>
            <w:pPr>
              <w:spacing w:line="240" w:lineRule="exact"/>
              <w:jc w:val="center"/>
              <w:textAlignment w:val="center"/>
              <w:rPr>
                <w:sz w:val="20"/>
                <w:szCs w:val="20"/>
              </w:rPr>
            </w:pPr>
            <w:r>
              <w:rPr>
                <w:rFonts w:hint="eastAsia"/>
                <w:sz w:val="20"/>
                <w:szCs w:val="20"/>
              </w:rPr>
              <w:t>行政确认</w:t>
            </w:r>
          </w:p>
        </w:tc>
        <w:tc>
          <w:tcPr>
            <w:tcW w:w="1189" w:type="dxa"/>
            <w:gridSpan w:val="2"/>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户口登记项目变更更正</w:t>
            </w:r>
          </w:p>
        </w:tc>
        <w:tc>
          <w:tcPr>
            <w:tcW w:w="965" w:type="dxa"/>
            <w:gridSpan w:val="2"/>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唐山市公安局开平分局户政科</w:t>
            </w:r>
          </w:p>
        </w:tc>
        <w:tc>
          <w:tcPr>
            <w:tcW w:w="5065" w:type="dxa"/>
            <w:gridSpan w:val="8"/>
            <w:tcBorders>
              <w:top w:val="single" w:color="auto" w:sz="4" w:space="0"/>
              <w:left w:val="nil"/>
              <w:bottom w:val="single" w:color="auto" w:sz="4" w:space="0"/>
              <w:right w:val="single" w:color="auto" w:sz="4" w:space="0"/>
            </w:tcBorders>
            <w:vAlign w:val="center"/>
          </w:tcPr>
          <w:p>
            <w:pPr>
              <w:widowControl/>
              <w:tabs>
                <w:tab w:val="left" w:pos="492"/>
              </w:tabs>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河北省公安机关户口登记管理工作规范》（冀公治〔2015〕144号）第六十三条：公民申请变更名字理由正当的，公安派出所凭本人或监护人的书面申请办理。第六十九条：公民申请性别变更的，公安派出所凭本人或监护人书面申请，具有效力的医学或司法鉴定证明办理。第七十二条：公民申请出生日期更正的，公安派出所应当调查核实，报经市、县两级公安机关核准后办理。对不予核准变更的，公安机关应当书面告知申请人。第七十五条：公民申请民族变更，县级公安机关凭民宗部门出具的证明核准后由公安派出所办理。第七十八条：公民申请变更姓名、性别、出生日期、民族、户主以外的户口登记项目的，公安派出所应当根据实际情况凭相关证明办理。因工作失误造成登记错误的应及时予以更正。</w:t>
            </w:r>
          </w:p>
          <w:p>
            <w:pPr>
              <w:widowControl/>
              <w:tabs>
                <w:tab w:val="left" w:pos="492"/>
              </w:tabs>
              <w:spacing w:line="240" w:lineRule="exact"/>
              <w:rPr>
                <w:rFonts w:ascii="仿宋_GB2312" w:hAnsi="Arial" w:cs="Arial"/>
                <w:color w:val="000000" w:themeColor="text1"/>
                <w:kern w:val="0"/>
                <w:sz w:val="13"/>
                <w:szCs w:val="13"/>
              </w:rPr>
            </w:pPr>
          </w:p>
        </w:tc>
        <w:tc>
          <w:tcPr>
            <w:tcW w:w="1294" w:type="dxa"/>
            <w:gridSpan w:val="3"/>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bookmarkStart w:id="0" w:name="OLE_LINK1"/>
            <w:r>
              <w:rPr>
                <w:rFonts w:hint="eastAsia" w:ascii="仿宋_GB2312" w:hAnsi="Arial" w:cs="Arial"/>
                <w:color w:val="000000" w:themeColor="text1"/>
                <w:kern w:val="0"/>
                <w:sz w:val="13"/>
                <w:szCs w:val="13"/>
              </w:rPr>
              <w:t>1.受理阶段；受理申请人提供本人户口薄、已办理正式身份证凭证，对其材料的齐全性，内容的完整性进行查验。2；审查阶段；对申请人提交的材料进行初审，提出初审意见，符合要求的，直接受理；不符合要求的，一次性告知原因及所补材料。3，决定阶段；作出决定，按时办结。4，送达阶段；制发登记证明，依法送达，5.事后监管阶段；进行后期监督检查。6.其他法律法规规章文件规定应履行的责任。</w:t>
            </w:r>
            <w:bookmarkEnd w:id="0"/>
          </w:p>
        </w:tc>
        <w:tc>
          <w:tcPr>
            <w:tcW w:w="2370" w:type="dxa"/>
            <w:gridSpan w:val="4"/>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行政机关及相关工作人员应承担相应的责任；1.对符合条件的不予受理，不予批准；2.对不符合条件的户口审批予以批准；3.未严格履行审批责任，导致违反规定落户的；4.工作人员玩忽职守、滥用职权；5,有索贿、受贿、利用职权之便为自己和他人谋取私利等腐败行为的；6其他违反法律法规规章文件规定的行为。</w:t>
            </w:r>
          </w:p>
        </w:tc>
        <w:tc>
          <w:tcPr>
            <w:tcW w:w="1098" w:type="dxa"/>
            <w:gridSpan w:val="2"/>
            <w:tcBorders>
              <w:top w:val="single" w:color="auto" w:sz="4" w:space="0"/>
              <w:left w:val="nil"/>
              <w:bottom w:val="single" w:color="auto" w:sz="4" w:space="0"/>
              <w:right w:val="nil"/>
            </w:tcBorders>
          </w:tcPr>
          <w:p>
            <w:pPr>
              <w:spacing w:line="240" w:lineRule="exact"/>
              <w:textAlignment w:val="center"/>
              <w:rPr>
                <w:sz w:val="20"/>
                <w:szCs w:val="20"/>
              </w:rPr>
            </w:pPr>
          </w:p>
        </w:tc>
        <w:tc>
          <w:tcPr>
            <w:tcW w:w="607" w:type="dxa"/>
            <w:gridSpan w:val="4"/>
            <w:tcBorders>
              <w:top w:val="single" w:color="auto" w:sz="4" w:space="0"/>
              <w:left w:val="nil"/>
              <w:bottom w:val="single" w:color="auto" w:sz="4" w:space="0"/>
              <w:right w:val="single" w:color="auto" w:sz="4" w:space="0"/>
            </w:tcBorders>
            <w:vAlign w:val="center"/>
          </w:tcPr>
          <w:p>
            <w:pPr>
              <w:spacing w:line="240" w:lineRule="exact"/>
              <w:textAlignment w:val="center"/>
              <w:rP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0" w:hRule="atLeast"/>
        </w:trPr>
        <w:tc>
          <w:tcPr>
            <w:tcW w:w="4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hint="eastAsia" w:eastAsia="仿宋_GB2312"/>
                <w:sz w:val="20"/>
                <w:szCs w:val="20"/>
                <w:lang w:val="en-US" w:eastAsia="zh-CN"/>
              </w:rPr>
            </w:pPr>
            <w:r>
              <w:rPr>
                <w:rFonts w:hint="eastAsia"/>
                <w:sz w:val="20"/>
                <w:szCs w:val="20"/>
              </w:rPr>
              <w:t>6</w:t>
            </w:r>
            <w:r>
              <w:rPr>
                <w:rFonts w:hint="eastAsia"/>
                <w:sz w:val="20"/>
                <w:szCs w:val="20"/>
                <w:lang w:val="en-US" w:eastAsia="zh-CN"/>
              </w:rPr>
              <w:t>7</w:t>
            </w:r>
          </w:p>
        </w:tc>
        <w:tc>
          <w:tcPr>
            <w:tcW w:w="589" w:type="dxa"/>
            <w:tcBorders>
              <w:top w:val="single" w:color="auto" w:sz="4" w:space="0"/>
              <w:left w:val="nil"/>
              <w:bottom w:val="single" w:color="auto" w:sz="4" w:space="0"/>
              <w:right w:val="single" w:color="auto" w:sz="4" w:space="0"/>
            </w:tcBorders>
            <w:vAlign w:val="center"/>
          </w:tcPr>
          <w:p>
            <w:pPr>
              <w:spacing w:line="240" w:lineRule="exact"/>
              <w:jc w:val="center"/>
              <w:textAlignment w:val="center"/>
              <w:rPr>
                <w:sz w:val="20"/>
                <w:szCs w:val="20"/>
              </w:rPr>
            </w:pPr>
            <w:r>
              <w:rPr>
                <w:rFonts w:hint="eastAsia"/>
                <w:sz w:val="20"/>
                <w:szCs w:val="20"/>
              </w:rPr>
              <w:t>行政确认</w:t>
            </w:r>
          </w:p>
        </w:tc>
        <w:tc>
          <w:tcPr>
            <w:tcW w:w="1189" w:type="dxa"/>
            <w:gridSpan w:val="2"/>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补录户口的审核</w:t>
            </w:r>
          </w:p>
        </w:tc>
        <w:tc>
          <w:tcPr>
            <w:tcW w:w="965" w:type="dxa"/>
            <w:gridSpan w:val="2"/>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唐山市公安局开平分局户政科</w:t>
            </w:r>
          </w:p>
        </w:tc>
        <w:tc>
          <w:tcPr>
            <w:tcW w:w="5065" w:type="dxa"/>
            <w:gridSpan w:val="8"/>
            <w:tcBorders>
              <w:top w:val="single" w:color="auto" w:sz="4" w:space="0"/>
              <w:left w:val="nil"/>
              <w:bottom w:val="single" w:color="auto" w:sz="4" w:space="0"/>
              <w:right w:val="single" w:color="auto" w:sz="4" w:space="0"/>
            </w:tcBorders>
            <w:vAlign w:val="center"/>
          </w:tcPr>
          <w:p>
            <w:pPr>
              <w:widowControl/>
              <w:tabs>
                <w:tab w:val="left" w:pos="492"/>
              </w:tabs>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《河北省公安机关户政管理执法工作规范》</w:t>
            </w:r>
          </w:p>
          <w:p>
            <w:pPr>
              <w:widowControl/>
              <w:tabs>
                <w:tab w:val="left" w:pos="492"/>
              </w:tabs>
              <w:spacing w:line="240" w:lineRule="exact"/>
              <w:rPr>
                <w:rFonts w:ascii="仿宋_GB2312" w:hAnsi="Arial" w:cs="Arial"/>
                <w:color w:val="000000" w:themeColor="text1"/>
                <w:kern w:val="0"/>
                <w:sz w:val="13"/>
                <w:szCs w:val="13"/>
              </w:rPr>
            </w:pPr>
          </w:p>
        </w:tc>
        <w:tc>
          <w:tcPr>
            <w:tcW w:w="1294" w:type="dxa"/>
            <w:gridSpan w:val="3"/>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理责任；公示依法应当提交的材料；一次性告知补充材料。2.审查责任；审核有关材料，符合要求的，居民常住户口所在地公安机关派出所现场依法受理。3.决定责任；做出申请人是否通过确认的决定；不符合要求的，应当书面通知申请人。4.当场办结。</w:t>
            </w:r>
          </w:p>
        </w:tc>
        <w:tc>
          <w:tcPr>
            <w:tcW w:w="2370" w:type="dxa"/>
            <w:gridSpan w:val="4"/>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行政机关及相关工作人员应承担相应的责任；1.对符合条件的不予受理，不予批准；2.对不符合条件的户口审批予以批准；3.未严格履行审批责任，导致违反规定落户的；4.工作人员玩忽职守、滥用职权；5,有索贿、受贿、利用职权之便为自己和他人谋取私利等腐败行为的；6其他违反法律法规规章文件规定的行为。</w:t>
            </w:r>
          </w:p>
        </w:tc>
        <w:tc>
          <w:tcPr>
            <w:tcW w:w="1098" w:type="dxa"/>
            <w:gridSpan w:val="2"/>
            <w:tcBorders>
              <w:top w:val="single" w:color="auto" w:sz="4" w:space="0"/>
              <w:left w:val="nil"/>
              <w:bottom w:val="single" w:color="auto" w:sz="4" w:space="0"/>
              <w:right w:val="nil"/>
            </w:tcBorders>
          </w:tcPr>
          <w:p>
            <w:pPr>
              <w:spacing w:line="240" w:lineRule="exact"/>
              <w:textAlignment w:val="center"/>
              <w:rPr>
                <w:sz w:val="20"/>
                <w:szCs w:val="20"/>
              </w:rPr>
            </w:pPr>
          </w:p>
        </w:tc>
        <w:tc>
          <w:tcPr>
            <w:tcW w:w="607" w:type="dxa"/>
            <w:gridSpan w:val="4"/>
            <w:tcBorders>
              <w:top w:val="single" w:color="auto" w:sz="4" w:space="0"/>
              <w:left w:val="nil"/>
              <w:bottom w:val="single" w:color="auto" w:sz="4" w:space="0"/>
              <w:right w:val="single" w:color="auto" w:sz="4" w:space="0"/>
            </w:tcBorders>
            <w:vAlign w:val="center"/>
          </w:tcPr>
          <w:p>
            <w:pPr>
              <w:spacing w:line="240" w:lineRule="exact"/>
              <w:textAlignment w:val="center"/>
              <w:rP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5" w:hRule="atLeast"/>
        </w:trPr>
        <w:tc>
          <w:tcPr>
            <w:tcW w:w="4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hint="default" w:eastAsia="仿宋_GB2312"/>
                <w:sz w:val="20"/>
                <w:szCs w:val="20"/>
                <w:lang w:val="en-US" w:eastAsia="zh-CN"/>
              </w:rPr>
            </w:pPr>
            <w:r>
              <w:t xml:space="preserve"> </w:t>
            </w:r>
            <w:r>
              <w:rPr>
                <w:rFonts w:hint="eastAsia"/>
                <w:sz w:val="20"/>
                <w:szCs w:val="20"/>
                <w:lang w:val="en-US" w:eastAsia="zh-CN"/>
              </w:rPr>
              <w:t>68</w:t>
            </w:r>
          </w:p>
        </w:tc>
        <w:tc>
          <w:tcPr>
            <w:tcW w:w="589" w:type="dxa"/>
            <w:tcBorders>
              <w:top w:val="single" w:color="auto" w:sz="4" w:space="0"/>
              <w:left w:val="nil"/>
              <w:bottom w:val="single" w:color="auto" w:sz="4" w:space="0"/>
              <w:right w:val="single" w:color="auto" w:sz="4" w:space="0"/>
            </w:tcBorders>
            <w:vAlign w:val="center"/>
          </w:tcPr>
          <w:p>
            <w:pPr>
              <w:spacing w:line="240" w:lineRule="exact"/>
              <w:jc w:val="center"/>
              <w:textAlignment w:val="center"/>
              <w:rPr>
                <w:sz w:val="20"/>
                <w:szCs w:val="20"/>
              </w:rPr>
            </w:pPr>
            <w:r>
              <w:rPr>
                <w:rFonts w:hint="eastAsia"/>
                <w:sz w:val="20"/>
                <w:szCs w:val="20"/>
              </w:rPr>
              <w:t>行政确认</w:t>
            </w:r>
          </w:p>
        </w:tc>
        <w:tc>
          <w:tcPr>
            <w:tcW w:w="1189" w:type="dxa"/>
            <w:gridSpan w:val="2"/>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临时身份证办理</w:t>
            </w:r>
          </w:p>
        </w:tc>
        <w:tc>
          <w:tcPr>
            <w:tcW w:w="965" w:type="dxa"/>
            <w:gridSpan w:val="2"/>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唐山市公安局开平分局户政科</w:t>
            </w:r>
          </w:p>
        </w:tc>
        <w:tc>
          <w:tcPr>
            <w:tcW w:w="5065" w:type="dxa"/>
            <w:gridSpan w:val="8"/>
            <w:tcBorders>
              <w:top w:val="single" w:color="auto" w:sz="4" w:space="0"/>
              <w:left w:val="nil"/>
              <w:bottom w:val="single" w:color="auto" w:sz="4" w:space="0"/>
              <w:right w:val="single" w:color="auto" w:sz="4" w:space="0"/>
            </w:tcBorders>
            <w:vAlign w:val="center"/>
          </w:tcPr>
          <w:p>
            <w:pPr>
              <w:widowControl/>
              <w:tabs>
                <w:tab w:val="left" w:pos="492"/>
              </w:tabs>
              <w:rPr>
                <w:rFonts w:ascii="仿宋_GB2312" w:hAnsi="Arial" w:cs="Arial"/>
                <w:color w:val="000000" w:themeColor="text1"/>
                <w:kern w:val="0"/>
                <w:sz w:val="13"/>
                <w:szCs w:val="13"/>
              </w:rPr>
            </w:pPr>
          </w:p>
          <w:p>
            <w:pPr>
              <w:widowControl/>
              <w:tabs>
                <w:tab w:val="left" w:pos="492"/>
              </w:tabs>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《中华人民共和国临时居民身份证管理办法》第八条。临时居民身份证由县级人民政府公安机关换统一制发、管理。</w:t>
            </w:r>
          </w:p>
          <w:p>
            <w:pPr>
              <w:widowControl/>
              <w:tabs>
                <w:tab w:val="left" w:pos="492"/>
              </w:tabs>
              <w:spacing w:line="240" w:lineRule="exact"/>
              <w:rPr>
                <w:rFonts w:ascii="仿宋_GB2312" w:hAnsi="Arial" w:cs="Arial"/>
                <w:color w:val="000000" w:themeColor="text1"/>
                <w:kern w:val="0"/>
                <w:sz w:val="13"/>
                <w:szCs w:val="13"/>
              </w:rPr>
            </w:pPr>
          </w:p>
        </w:tc>
        <w:tc>
          <w:tcPr>
            <w:tcW w:w="1294" w:type="dxa"/>
            <w:gridSpan w:val="3"/>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理阶段；受理申请人提供本人的户口薄、已办理的正式身份证的凭证，对其材料的齐全性，内容的完整性进行查验。2.审查阶段；对申请人提交的材料进行初审，提出初审意见，符合要求的，直接受理；不符合要求的，一次性告知原因及所补材料。3.决定阶段；作出决定，按时办结。4；送达阶段；制发登记证明，依法送达。5.事后监管阶段；进行后期监督检查。6.其他法律法规规章文件规定应履行的责任。</w:t>
            </w:r>
          </w:p>
        </w:tc>
        <w:tc>
          <w:tcPr>
            <w:tcW w:w="2370" w:type="dxa"/>
            <w:gridSpan w:val="4"/>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行政机关及相关工作人员应承担相应的责任；1.对符合条件的不予受理，不予批准；2.对不符合条件的户口审批予以批准；3.未严格履行审批责任，导致违反规定落户的；4.工作人员玩忽职守、滥用职权；5,有索贿、受贿、利用职权之便为自己和他人谋取私利等腐败行为的；6其他违反法律法规规章文件规定的行为。</w:t>
            </w:r>
          </w:p>
        </w:tc>
        <w:tc>
          <w:tcPr>
            <w:tcW w:w="1098" w:type="dxa"/>
            <w:gridSpan w:val="2"/>
            <w:tcBorders>
              <w:top w:val="single" w:color="auto" w:sz="4" w:space="0"/>
              <w:left w:val="nil"/>
              <w:bottom w:val="single" w:color="auto" w:sz="4" w:space="0"/>
              <w:right w:val="nil"/>
            </w:tcBorders>
          </w:tcPr>
          <w:p>
            <w:pPr>
              <w:spacing w:line="240" w:lineRule="exact"/>
              <w:textAlignment w:val="center"/>
              <w:rPr>
                <w:sz w:val="20"/>
                <w:szCs w:val="20"/>
              </w:rPr>
            </w:pPr>
          </w:p>
        </w:tc>
        <w:tc>
          <w:tcPr>
            <w:tcW w:w="607" w:type="dxa"/>
            <w:gridSpan w:val="4"/>
            <w:tcBorders>
              <w:top w:val="single" w:color="auto" w:sz="4" w:space="0"/>
              <w:left w:val="nil"/>
              <w:bottom w:val="single" w:color="auto" w:sz="4" w:space="0"/>
              <w:right w:val="single" w:color="auto" w:sz="4" w:space="0"/>
            </w:tcBorders>
            <w:vAlign w:val="center"/>
          </w:tcPr>
          <w:p>
            <w:pPr>
              <w:spacing w:line="240" w:lineRule="exact"/>
              <w:textAlignment w:val="center"/>
              <w:rP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5" w:hRule="atLeast"/>
        </w:trPr>
        <w:tc>
          <w:tcPr>
            <w:tcW w:w="4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hint="default" w:eastAsia="仿宋_GB2312"/>
                <w:sz w:val="20"/>
                <w:szCs w:val="20"/>
                <w:lang w:val="en-US" w:eastAsia="zh-CN"/>
              </w:rPr>
            </w:pPr>
            <w:r>
              <w:rPr>
                <w:rFonts w:hint="eastAsia"/>
                <w:sz w:val="20"/>
                <w:szCs w:val="20"/>
                <w:lang w:val="en-US" w:eastAsia="zh-CN"/>
              </w:rPr>
              <w:t>69</w:t>
            </w:r>
          </w:p>
        </w:tc>
        <w:tc>
          <w:tcPr>
            <w:tcW w:w="589" w:type="dxa"/>
            <w:tcBorders>
              <w:top w:val="single" w:color="auto" w:sz="4" w:space="0"/>
              <w:left w:val="nil"/>
              <w:bottom w:val="single" w:color="auto" w:sz="4" w:space="0"/>
              <w:right w:val="single" w:color="auto" w:sz="4" w:space="0"/>
            </w:tcBorders>
            <w:vAlign w:val="center"/>
          </w:tcPr>
          <w:p>
            <w:pPr>
              <w:spacing w:line="240" w:lineRule="exact"/>
              <w:jc w:val="center"/>
              <w:textAlignment w:val="center"/>
              <w:rPr>
                <w:rFonts w:hint="eastAsia" w:eastAsia="仿宋_GB2312"/>
                <w:sz w:val="20"/>
                <w:szCs w:val="20"/>
                <w:lang w:eastAsia="zh-CN"/>
              </w:rPr>
            </w:pPr>
            <w:r>
              <w:rPr>
                <w:rFonts w:hint="eastAsia"/>
                <w:sz w:val="20"/>
                <w:szCs w:val="20"/>
                <w:lang w:eastAsia="zh-CN"/>
              </w:rPr>
              <w:t>行政备案</w:t>
            </w:r>
          </w:p>
        </w:tc>
        <w:tc>
          <w:tcPr>
            <w:tcW w:w="118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492"/>
              </w:tabs>
              <w:kinsoku/>
              <w:wordWrap/>
              <w:overflowPunct/>
              <w:topLinePunct w:val="0"/>
              <w:autoSpaceDE/>
              <w:autoSpaceDN/>
              <w:bidi w:val="0"/>
              <w:adjustRightInd/>
              <w:snapToGrid/>
              <w:spacing w:line="400" w:lineRule="exact"/>
              <w:textAlignment w:val="auto"/>
              <w:rPr>
                <w:rFonts w:ascii="仿宋_GB2312" w:hAnsi="Arial" w:cs="Arial"/>
                <w:color w:val="000000" w:themeColor="text1"/>
                <w:kern w:val="0"/>
                <w:sz w:val="13"/>
                <w:szCs w:val="13"/>
              </w:rPr>
            </w:pPr>
            <w:r>
              <w:rPr>
                <w:rFonts w:hint="eastAsia" w:ascii="仿宋" w:hAnsi="仿宋" w:eastAsia="仿宋"/>
                <w:sz w:val="22"/>
                <w:szCs w:val="24"/>
              </w:rPr>
              <w:t>国际联网备案</w:t>
            </w:r>
          </w:p>
        </w:tc>
        <w:tc>
          <w:tcPr>
            <w:tcW w:w="965" w:type="dxa"/>
            <w:gridSpan w:val="2"/>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唐山市公安局开平分局网安大队</w:t>
            </w:r>
          </w:p>
        </w:tc>
        <w:tc>
          <w:tcPr>
            <w:tcW w:w="5065" w:type="dxa"/>
            <w:gridSpan w:val="8"/>
            <w:tcBorders>
              <w:top w:val="single" w:color="auto" w:sz="4" w:space="0"/>
              <w:left w:val="nil"/>
              <w:bottom w:val="single" w:color="auto" w:sz="4" w:space="0"/>
              <w:right w:val="single" w:color="auto" w:sz="4" w:space="0"/>
            </w:tcBorders>
            <w:vAlign w:val="center"/>
          </w:tcPr>
          <w:p>
            <w:pPr>
              <w:widowControl/>
              <w:tabs>
                <w:tab w:val="left" w:pos="492"/>
              </w:tabs>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《计算机信息网络国际联网安全保护管理办法》第十二条 互联单位、接入单位、使用计算机信息网络国际联网的法人和其他组织(包括跨省、自治区、直辖市联网的单位和所属的分支机构)，应当自网络正式联通之日起30日内，到所在地的省、自治区、直辖市人民政府公安机关指定的受理机关办理备案手续。</w:t>
            </w:r>
          </w:p>
        </w:tc>
        <w:tc>
          <w:tcPr>
            <w:tcW w:w="1294" w:type="dxa"/>
            <w:gridSpan w:val="3"/>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1、受理责任： 公示依法应当提交的材料；一次性告知补正材料；依法受理或不予受理（不予受理的告知理由）。</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2、审查责任：对申报信息进行审核，对纸质申报材料与电子信息进行比对，提出初审意见。</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3、决定责任：作出行政许可或者不予行政许可的决定（不予许可的告知理由）；按时办结；法定告知。</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4、送达责任：制发审核证明；信息公开。</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5.事后监管责任：开展后续监督管理。</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6.其他法律法规规章文件规定应履行的责任。</w:t>
            </w:r>
          </w:p>
        </w:tc>
        <w:tc>
          <w:tcPr>
            <w:tcW w:w="2370" w:type="dxa"/>
            <w:gridSpan w:val="4"/>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因不履行或不正确履行行政职责，有下列情形的，公安机关及相关工作人员应承担相应责任：</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1、对符合条件的申请不予受理的；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2、未依法说明不受理申请或者不予行政许可理由的；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3、依法应当公开事项和申请所需材料而不公开的；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4、无法定依据实施行或者超越法定权限作出行政权力决定的；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5、超过法定期限或者违反法定程序实施行政权力的；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6、行政权力实施后续监管不到位，造成严重后果的；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7、一年内受到二次以上投诉，且投诉属实，情节严重、影响恶劣的；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8、在实施行政权力、实施监督检查中索取或者收受他人财物或者谋取其他利益的；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9、其他违反法律法规规章文件规定的行为</w:t>
            </w:r>
          </w:p>
        </w:tc>
        <w:tc>
          <w:tcPr>
            <w:tcW w:w="1098" w:type="dxa"/>
            <w:gridSpan w:val="2"/>
            <w:tcBorders>
              <w:top w:val="single" w:color="auto" w:sz="4" w:space="0"/>
              <w:left w:val="nil"/>
              <w:bottom w:val="single" w:color="auto" w:sz="4" w:space="0"/>
              <w:right w:val="nil"/>
            </w:tcBorders>
          </w:tcPr>
          <w:p>
            <w:pPr>
              <w:spacing w:line="240" w:lineRule="exact"/>
              <w:textAlignment w:val="center"/>
              <w:rPr>
                <w:sz w:val="20"/>
                <w:szCs w:val="20"/>
              </w:rPr>
            </w:pPr>
          </w:p>
        </w:tc>
        <w:tc>
          <w:tcPr>
            <w:tcW w:w="607" w:type="dxa"/>
            <w:gridSpan w:val="4"/>
            <w:tcBorders>
              <w:top w:val="single" w:color="auto" w:sz="4" w:space="0"/>
              <w:left w:val="nil"/>
              <w:bottom w:val="single" w:color="auto" w:sz="4" w:space="0"/>
              <w:right w:val="single" w:color="auto" w:sz="4" w:space="0"/>
            </w:tcBorders>
            <w:vAlign w:val="center"/>
          </w:tcPr>
          <w:p>
            <w:pPr>
              <w:spacing w:line="240" w:lineRule="exact"/>
              <w:textAlignment w:val="center"/>
              <w:rP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5" w:hRule="atLeast"/>
        </w:trPr>
        <w:tc>
          <w:tcPr>
            <w:tcW w:w="4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hint="default" w:eastAsia="仿宋_GB2312"/>
                <w:sz w:val="20"/>
                <w:szCs w:val="20"/>
                <w:lang w:val="en-US" w:eastAsia="zh-CN"/>
              </w:rPr>
            </w:pPr>
            <w:r>
              <w:rPr>
                <w:rFonts w:hint="eastAsia"/>
                <w:sz w:val="20"/>
                <w:szCs w:val="20"/>
                <w:lang w:val="en-US" w:eastAsia="zh-CN"/>
              </w:rPr>
              <w:t>70</w:t>
            </w:r>
          </w:p>
        </w:tc>
        <w:tc>
          <w:tcPr>
            <w:tcW w:w="589" w:type="dxa"/>
            <w:tcBorders>
              <w:top w:val="single" w:color="auto" w:sz="4" w:space="0"/>
              <w:left w:val="nil"/>
              <w:bottom w:val="single" w:color="auto" w:sz="4" w:space="0"/>
              <w:right w:val="single" w:color="auto" w:sz="4" w:space="0"/>
            </w:tcBorders>
            <w:vAlign w:val="center"/>
          </w:tcPr>
          <w:p>
            <w:pPr>
              <w:spacing w:line="240" w:lineRule="exact"/>
              <w:jc w:val="center"/>
              <w:textAlignment w:val="center"/>
              <w:rPr>
                <w:sz w:val="20"/>
                <w:szCs w:val="20"/>
              </w:rPr>
            </w:pPr>
            <w:r>
              <w:rPr>
                <w:rFonts w:hint="eastAsia"/>
                <w:sz w:val="20"/>
                <w:szCs w:val="20"/>
                <w:lang w:eastAsia="zh-CN"/>
              </w:rPr>
              <w:t>行政备案</w:t>
            </w:r>
          </w:p>
        </w:tc>
        <w:tc>
          <w:tcPr>
            <w:tcW w:w="118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492"/>
              </w:tabs>
              <w:kinsoku/>
              <w:wordWrap/>
              <w:overflowPunct/>
              <w:topLinePunct w:val="0"/>
              <w:autoSpaceDE/>
              <w:autoSpaceDN/>
              <w:bidi w:val="0"/>
              <w:adjustRightInd/>
              <w:snapToGrid/>
              <w:spacing w:line="400" w:lineRule="exact"/>
              <w:textAlignment w:val="auto"/>
              <w:rPr>
                <w:rFonts w:ascii="仿宋_GB2312" w:hAnsi="Arial" w:cs="Arial"/>
                <w:color w:val="000000" w:themeColor="text1"/>
                <w:kern w:val="0"/>
                <w:sz w:val="13"/>
                <w:szCs w:val="13"/>
              </w:rPr>
            </w:pPr>
            <w:r>
              <w:rPr>
                <w:rFonts w:hint="eastAsia" w:ascii="仿宋" w:hAnsi="仿宋" w:eastAsia="仿宋"/>
                <w:sz w:val="28"/>
                <w:szCs w:val="32"/>
              </w:rPr>
              <w:t>信息网络安全等级保护备案</w:t>
            </w:r>
          </w:p>
        </w:tc>
        <w:tc>
          <w:tcPr>
            <w:tcW w:w="2340" w:type="dxa"/>
            <w:gridSpan w:val="6"/>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唐山市公安局开平分局网安</w:t>
            </w:r>
            <w:r>
              <w:rPr>
                <w:rFonts w:ascii="仿宋_GB2312" w:hAnsi="Arial" w:cs="Arial"/>
                <w:color w:val="000000" w:themeColor="text1"/>
                <w:kern w:val="0"/>
                <w:sz w:val="13"/>
                <w:szCs w:val="13"/>
              </w:rPr>
              <w:t>大队</w:t>
            </w:r>
          </w:p>
        </w:tc>
        <w:tc>
          <w:tcPr>
            <w:tcW w:w="3664" w:type="dxa"/>
            <w:gridSpan w:val="3"/>
            <w:tcBorders>
              <w:top w:val="single" w:color="auto" w:sz="4" w:space="0"/>
              <w:left w:val="nil"/>
              <w:bottom w:val="single" w:color="auto" w:sz="4" w:space="0"/>
              <w:right w:val="single" w:color="auto" w:sz="4" w:space="0"/>
            </w:tcBorders>
            <w:vAlign w:val="center"/>
          </w:tcPr>
          <w:p>
            <w:pPr>
              <w:widowControl/>
              <w:tabs>
                <w:tab w:val="left" w:pos="492"/>
              </w:tabs>
              <w:spacing w:line="240" w:lineRule="atLeast"/>
              <w:rPr>
                <w:rFonts w:ascii="仿宋_GB2312" w:hAnsi="Arial" w:cs="Arial"/>
                <w:color w:val="000000" w:themeColor="text1"/>
                <w:w w:val="80"/>
                <w:kern w:val="0"/>
                <w:sz w:val="15"/>
                <w:szCs w:val="13"/>
              </w:rPr>
            </w:pPr>
            <w:r>
              <w:rPr>
                <w:rFonts w:hint="eastAsia" w:ascii="仿宋_GB2312" w:hAnsi="Arial" w:cs="Arial"/>
                <w:color w:val="000000" w:themeColor="text1"/>
                <w:w w:val="80"/>
                <w:kern w:val="0"/>
                <w:sz w:val="15"/>
                <w:szCs w:val="13"/>
              </w:rPr>
              <w:t>《信息安全等级保护管理办法》</w:t>
            </w:r>
            <w:r>
              <w:rPr>
                <w:rFonts w:ascii="仿宋_GB2312" w:hAnsi="Arial" w:cs="Arial"/>
                <w:color w:val="000000" w:themeColor="text1"/>
                <w:w w:val="80"/>
                <w:kern w:val="0"/>
                <w:sz w:val="15"/>
                <w:szCs w:val="13"/>
              </w:rPr>
              <w:t>第十五</w:t>
            </w:r>
            <w:r>
              <w:rPr>
                <w:rFonts w:hint="eastAsia" w:ascii="仿宋_GB2312" w:hAnsi="Arial" w:cs="Arial"/>
                <w:color w:val="000000" w:themeColor="text1"/>
                <w:w w:val="80"/>
                <w:kern w:val="0"/>
                <w:sz w:val="15"/>
                <w:szCs w:val="13"/>
              </w:rPr>
              <w:t>、十六</w:t>
            </w:r>
            <w:r>
              <w:rPr>
                <w:rFonts w:ascii="仿宋_GB2312" w:hAnsi="Arial" w:cs="Arial"/>
                <w:color w:val="000000" w:themeColor="text1"/>
                <w:w w:val="80"/>
                <w:kern w:val="0"/>
                <w:sz w:val="15"/>
                <w:szCs w:val="13"/>
              </w:rPr>
              <w:t>条</w:t>
            </w:r>
          </w:p>
          <w:p>
            <w:pPr>
              <w:widowControl/>
              <w:tabs>
                <w:tab w:val="left" w:pos="492"/>
              </w:tabs>
              <w:spacing w:line="240" w:lineRule="atLeast"/>
              <w:rPr>
                <w:rFonts w:ascii="仿宋_GB2312" w:hAnsi="Arial" w:cs="Arial"/>
                <w:color w:val="000000" w:themeColor="text1"/>
                <w:w w:val="80"/>
                <w:kern w:val="0"/>
                <w:sz w:val="15"/>
                <w:szCs w:val="13"/>
              </w:rPr>
            </w:pPr>
            <w:r>
              <w:rPr>
                <w:rFonts w:hint="eastAsia" w:ascii="仿宋_GB2312" w:hAnsi="Arial" w:cs="Arial"/>
                <w:color w:val="000000" w:themeColor="text1"/>
                <w:w w:val="80"/>
                <w:kern w:val="0"/>
                <w:sz w:val="15"/>
                <w:szCs w:val="13"/>
              </w:rPr>
              <w:t xml:space="preserve">第十五条 </w:t>
            </w:r>
            <w:r>
              <w:rPr>
                <w:rFonts w:ascii="仿宋_GB2312" w:hAnsi="Arial" w:cs="Arial"/>
                <w:color w:val="000000" w:themeColor="text1"/>
                <w:w w:val="80"/>
                <w:kern w:val="0"/>
                <w:sz w:val="15"/>
                <w:szCs w:val="13"/>
              </w:rPr>
              <w:t>已运营(运行)或新建的第二级以上信息系统，应当在安全保护等级确定后30日内，由其运营、使用单位到所在地设区的市级以上公安机关办理备案手续。</w:t>
            </w:r>
          </w:p>
          <w:p>
            <w:pPr>
              <w:widowControl/>
              <w:tabs>
                <w:tab w:val="left" w:pos="492"/>
              </w:tabs>
              <w:spacing w:line="240" w:lineRule="atLeast"/>
              <w:rPr>
                <w:rFonts w:ascii="仿宋_GB2312" w:hAnsi="Arial" w:cs="Arial"/>
                <w:color w:val="000000" w:themeColor="text1"/>
                <w:w w:val="80"/>
                <w:kern w:val="0"/>
                <w:sz w:val="15"/>
                <w:szCs w:val="13"/>
              </w:rPr>
            </w:pPr>
            <w:r>
              <w:rPr>
                <w:rFonts w:ascii="仿宋_GB2312" w:hAnsi="Arial" w:cs="Arial"/>
                <w:color w:val="000000" w:themeColor="text1"/>
                <w:w w:val="80"/>
                <w:kern w:val="0"/>
                <w:sz w:val="15"/>
                <w:szCs w:val="13"/>
              </w:rPr>
              <w:t>隶属于中央的在京单位，其跨省或者全国统一联网运行并由主管部门统一定级的信息系统，由主管部门向公安部办理备案手续。跨省或者全国统一联网运行的信息系统在各地运行、应用的分支系统，应当向当地设区的市级以上公安机关备案。</w:t>
            </w:r>
          </w:p>
          <w:p>
            <w:pPr>
              <w:widowControl/>
              <w:tabs>
                <w:tab w:val="left" w:pos="492"/>
              </w:tabs>
              <w:spacing w:line="240" w:lineRule="atLeast"/>
              <w:rPr>
                <w:rFonts w:ascii="仿宋_GB2312" w:hAnsi="Arial" w:cs="Arial"/>
                <w:color w:val="000000" w:themeColor="text1"/>
                <w:w w:val="80"/>
                <w:kern w:val="0"/>
                <w:sz w:val="15"/>
                <w:szCs w:val="13"/>
              </w:rPr>
            </w:pPr>
            <w:r>
              <w:rPr>
                <w:rFonts w:ascii="仿宋_GB2312" w:hAnsi="Arial" w:cs="Arial"/>
                <w:color w:val="000000" w:themeColor="text1"/>
                <w:w w:val="80"/>
                <w:kern w:val="0"/>
                <w:sz w:val="15"/>
                <w:szCs w:val="13"/>
              </w:rPr>
              <w:t>第十六条</w:t>
            </w:r>
            <w:r>
              <w:rPr>
                <w:rFonts w:hint="eastAsia" w:ascii="仿宋_GB2312" w:hAnsi="Arial" w:cs="Arial"/>
                <w:color w:val="000000" w:themeColor="text1"/>
                <w:w w:val="80"/>
                <w:kern w:val="0"/>
                <w:sz w:val="15"/>
                <w:szCs w:val="13"/>
              </w:rPr>
              <w:t xml:space="preserve"> </w:t>
            </w:r>
            <w:r>
              <w:rPr>
                <w:rFonts w:ascii="仿宋_GB2312" w:hAnsi="Arial" w:cs="Arial"/>
                <w:color w:val="000000" w:themeColor="text1"/>
                <w:w w:val="80"/>
                <w:kern w:val="0"/>
                <w:sz w:val="15"/>
                <w:szCs w:val="13"/>
              </w:rPr>
              <w:t>办理信息系统安全保护等级备案手续时，应当填写《信息系统安全等级保护备案表》，第三级以上信息系统应当同时提供以下材料:(一)系统拓扑结构及说明;(二)系统安全组织机构和管理制度;(三)系统安全保护设施设计实施方案或者改建实施方案;(四)系统使用的信息安全产品清单及其认证、销售许可证明;(五)测评后符合系统安全保护等级的技术检测评估报告;(六)信息系统安全保护等级专家评审意见;(七)主管部门审核批准信息系统安全保护等级的意见。</w:t>
            </w:r>
          </w:p>
          <w:p>
            <w:pPr>
              <w:widowControl/>
              <w:tabs>
                <w:tab w:val="left" w:pos="492"/>
              </w:tabs>
              <w:rPr>
                <w:rFonts w:ascii="仿宋_GB2312" w:hAnsi="Arial" w:cs="Arial"/>
                <w:color w:val="000000" w:themeColor="text1"/>
                <w:kern w:val="0"/>
                <w:sz w:val="15"/>
                <w:szCs w:val="13"/>
              </w:rPr>
            </w:pPr>
          </w:p>
        </w:tc>
        <w:tc>
          <w:tcPr>
            <w:tcW w:w="1320" w:type="dxa"/>
            <w:gridSpan w:val="4"/>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1、受理责任： 公示依法应当提交的材料；一次性告知补正材料；依法受理或不予受理（不予受理的告知理由）。</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2、审查责任：对申报信息进行审核，对纸质申报材料与电子信息进行比对，提出初审意见。</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3、决定责任：作出行政许可或者不予行政许可的决定（不予许可的告知理由）；按时办结；法定告知。</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4、送达责任：制发审核证明；信息公开。</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5.事后监管责任：开展后续监督管理。</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6.其他法律法规规章文件规定应履行的责任。</w:t>
            </w:r>
          </w:p>
        </w:tc>
        <w:tc>
          <w:tcPr>
            <w:tcW w:w="2370" w:type="dxa"/>
            <w:gridSpan w:val="4"/>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因不履行或不正确履行行政职责，有下列情形的，公安机关及相关工作人员应承担相应责任：</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1、对符合条件的申请不予受理的；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2、未依法说明不受理申请或者不予行政许可理由的；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3、依法应当公开事项和申请所需材料而不公开的；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4、无法定依据实施行或者超越法定权限作出行政权力决定的；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5、超过法定期限或者违反法定程序实施行政权力的；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6、行政权力实施后续监管不到位，造成严重后果的；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7、一年内受到二次以上投诉，且投诉属实，情节严重、影响恶劣的；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8、在实施行政权力、实施监督检查中索取或者收受他人财物或者谋取其他利益的；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9、其他违反法律法规规章文件规定的行为</w:t>
            </w:r>
          </w:p>
        </w:tc>
        <w:tc>
          <w:tcPr>
            <w:tcW w:w="1098" w:type="dxa"/>
            <w:gridSpan w:val="2"/>
            <w:tcBorders>
              <w:top w:val="single" w:color="auto" w:sz="4" w:space="0"/>
              <w:left w:val="nil"/>
              <w:bottom w:val="single" w:color="auto" w:sz="4" w:space="0"/>
              <w:right w:val="nil"/>
            </w:tcBorders>
          </w:tcPr>
          <w:p>
            <w:pPr>
              <w:spacing w:line="240" w:lineRule="exact"/>
              <w:textAlignment w:val="center"/>
              <w:rPr>
                <w:sz w:val="20"/>
                <w:szCs w:val="20"/>
              </w:rPr>
            </w:pPr>
          </w:p>
        </w:tc>
        <w:tc>
          <w:tcPr>
            <w:tcW w:w="607" w:type="dxa"/>
            <w:gridSpan w:val="4"/>
            <w:tcBorders>
              <w:top w:val="single" w:color="auto" w:sz="4" w:space="0"/>
              <w:left w:val="nil"/>
              <w:bottom w:val="single" w:color="auto" w:sz="4" w:space="0"/>
              <w:right w:val="single" w:color="auto" w:sz="4" w:space="0"/>
            </w:tcBorders>
            <w:vAlign w:val="center"/>
          </w:tcPr>
          <w:p>
            <w:pPr>
              <w:spacing w:line="240" w:lineRule="exact"/>
              <w:textAlignment w:val="center"/>
              <w:rP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7" w:type="dxa"/>
          <w:trHeight w:val="6815" w:hRule="atLeast"/>
        </w:trPr>
        <w:tc>
          <w:tcPr>
            <w:tcW w:w="4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hint="default" w:ascii="仿宋" w:hAnsi="仿宋" w:eastAsia="仿宋"/>
                <w:sz w:val="20"/>
                <w:szCs w:val="20"/>
                <w:lang w:val="en-US" w:eastAsia="zh-CN"/>
              </w:rPr>
            </w:pPr>
            <w:r>
              <w:rPr>
                <w:rFonts w:hint="eastAsia" w:eastAsia="仿宋"/>
                <w:sz w:val="20"/>
                <w:szCs w:val="20"/>
                <w:lang w:val="en-US" w:eastAsia="zh-CN"/>
              </w:rPr>
              <w:t>71</w:t>
            </w:r>
          </w:p>
        </w:tc>
        <w:tc>
          <w:tcPr>
            <w:tcW w:w="589" w:type="dxa"/>
            <w:tcBorders>
              <w:top w:val="single" w:color="auto" w:sz="4" w:space="0"/>
              <w:left w:val="nil"/>
              <w:bottom w:val="single" w:color="auto" w:sz="4" w:space="0"/>
              <w:right w:val="single" w:color="auto" w:sz="4" w:space="0"/>
            </w:tcBorders>
            <w:vAlign w:val="center"/>
          </w:tcPr>
          <w:p>
            <w:pPr>
              <w:spacing w:line="240" w:lineRule="exact"/>
              <w:jc w:val="center"/>
              <w:textAlignment w:val="center"/>
              <w:rPr>
                <w:sz w:val="20"/>
                <w:szCs w:val="20"/>
              </w:rPr>
            </w:pPr>
            <w:r>
              <w:rPr>
                <w:rFonts w:hint="eastAsia"/>
                <w:sz w:val="20"/>
                <w:szCs w:val="20"/>
                <w:lang w:eastAsia="zh-CN"/>
              </w:rPr>
              <w:t>行政备案</w:t>
            </w:r>
          </w:p>
        </w:tc>
        <w:tc>
          <w:tcPr>
            <w:tcW w:w="1189" w:type="dxa"/>
            <w:gridSpan w:val="2"/>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废旧金属经营备案</w:t>
            </w:r>
          </w:p>
        </w:tc>
        <w:tc>
          <w:tcPr>
            <w:tcW w:w="509" w:type="dxa"/>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w:t>
            </w:r>
            <w:r>
              <w:rPr>
                <w:rFonts w:hint="eastAsia" w:ascii="仿宋_GB2312" w:hAnsi="Arial" w:cs="Arial"/>
                <w:color w:val="000000" w:themeColor="text1"/>
                <w:kern w:val="0"/>
                <w:sz w:val="13"/>
                <w:szCs w:val="13"/>
                <w:lang w:eastAsia="zh-CN"/>
              </w:rPr>
              <w:t>治安管理大队</w:t>
            </w:r>
          </w:p>
        </w:tc>
        <w:tc>
          <w:tcPr>
            <w:tcW w:w="4482" w:type="dxa"/>
            <w:gridSpan w:val="7"/>
            <w:tcBorders>
              <w:top w:val="single" w:color="auto" w:sz="4" w:space="0"/>
              <w:left w:val="nil"/>
              <w:bottom w:val="single" w:color="auto" w:sz="4" w:space="0"/>
              <w:right w:val="single" w:color="auto" w:sz="4" w:space="0"/>
            </w:tcBorders>
            <w:vAlign w:val="center"/>
          </w:tcPr>
          <w:p>
            <w:pPr>
              <w:widowControl/>
              <w:tabs>
                <w:tab w:val="left" w:pos="492"/>
              </w:tabs>
              <w:spacing w:line="240" w:lineRule="exact"/>
              <w:jc w:val="lef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一、《再生资源回收管理办法》；依据文号：中华人民共和国商务部令2019年第1号；条款号：第八条　回收生产性废旧金属的再生资源回收企业和回收非生产性废旧金属的再生资源回收经营者，还应当在取得营业执照后15日内，向所在地县级人民政府公安机关备案。                                                                                                               二、《公安部关于深化娱乐服务场所和特种行业治安管理改革,进一步依法加强事中事后监管的工作意见》；依据文号:公治〔2017〕529号；条款号:第二条  规范完善审批、备案。（四）积极推行备案制。歌舞娱乐、游戏游艺、印刷、再生资源回收等场所、行业依法实行备案管理；按摩洗浴、棋牌、拍卖、旧货、机动车修理、生产性废旧金属收购、金银饰品收购置换、二手手机、开锁、3D打印等尚无规定实行备案管理的，要与工商登记实现信息共享，主动采集、核实治安管理需要的信息，并积极推动立法，将其纳入管理，向县（区）级公安机关备案。                                                                              三、《公安部关于进一步加强废旧金属收购业治安管理工作的通知》；依据文号：公通字〔2007〕70号；条款号：第二条  规范备案制度，加强日常监管工作。从事废旧金属收购经营活动的企业和个体工商户应当向公安机关备案，要规范备案事项，备案事项应包括企业名称、地址、规模、经营范围、注册时间、法定代表人和主要负责人基本情况、联系方式等有效信息。</w:t>
            </w:r>
          </w:p>
        </w:tc>
        <w:tc>
          <w:tcPr>
            <w:tcW w:w="3076" w:type="dxa"/>
            <w:gridSpan w:val="6"/>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1、受理责任： 公示依法应当提交的材料；一次性告知补正材料；依法受理或不予受理（不予受理的告知理由）。</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2、审查责任：对申报信息进行审核，对纸质申报材料与电子信息进行比对，提出初审意见。</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3、决定责任：作出行政许可或者不予行政许可的决定（不予许可的告知理由）；按时办结；法定告知。</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4、送达责任：制发审核证明；信息公开。</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5.事后监管责任：开展后续监督管理。</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6.其他法律法规规章文件规定应履行的责任。</w:t>
            </w:r>
          </w:p>
        </w:tc>
        <w:tc>
          <w:tcPr>
            <w:tcW w:w="1627" w:type="dxa"/>
            <w:gridSpan w:val="3"/>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因不履行或不正确履行行政职责，有下列情形的，公安机关及相关工作人员应承担相应责任：</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1、对符合废旧金属经营备案条件的申请不予受理的；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2、未依法说明不受理申请或者不予受理理由的；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3、依法应当公开行政权力事项和申请所需材料而不公开的；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4、无法定依据实施行政权力或者超越法定权限作出行政权力决定的；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5、超过法定期限或者违反法定程序实施行政权力的；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6、行政权力实施后续监管不到位，造成严重后果的；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7、一年内受到二次以上投诉，且投诉属实，情节严重、影响恶劣的；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8、在办理行政许可、实施监督检查中索取或者收受他人财物或者谋取其他利益的；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9、其他违反法律法规规章文件规定的行为</w:t>
            </w:r>
          </w:p>
        </w:tc>
        <w:tc>
          <w:tcPr>
            <w:tcW w:w="1222" w:type="dxa"/>
            <w:gridSpan w:val="3"/>
            <w:tcBorders>
              <w:top w:val="single" w:color="auto" w:sz="4" w:space="0"/>
              <w:left w:val="nil"/>
              <w:bottom w:val="single" w:color="auto" w:sz="4" w:space="0"/>
              <w:right w:val="nil"/>
            </w:tcBorders>
          </w:tcPr>
          <w:p>
            <w:pPr>
              <w:spacing w:line="240" w:lineRule="exact"/>
              <w:textAlignment w:val="center"/>
              <w:rPr>
                <w:sz w:val="20"/>
                <w:szCs w:val="20"/>
              </w:rPr>
            </w:pPr>
          </w:p>
        </w:tc>
        <w:tc>
          <w:tcPr>
            <w:tcW w:w="236" w:type="dxa"/>
            <w:tcBorders>
              <w:top w:val="single" w:color="auto" w:sz="4" w:space="0"/>
              <w:left w:val="nil"/>
              <w:bottom w:val="single" w:color="auto" w:sz="4" w:space="0"/>
              <w:right w:val="single" w:color="auto" w:sz="4" w:space="0"/>
            </w:tcBorders>
            <w:vAlign w:val="center"/>
          </w:tcPr>
          <w:p>
            <w:pPr>
              <w:spacing w:line="240" w:lineRule="exact"/>
              <w:textAlignment w:val="center"/>
              <w:rP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7" w:type="dxa"/>
          <w:trHeight w:val="6815" w:hRule="atLeast"/>
        </w:trPr>
        <w:tc>
          <w:tcPr>
            <w:tcW w:w="4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hint="default" w:eastAsia="仿宋_GB2312"/>
                <w:sz w:val="20"/>
                <w:szCs w:val="20"/>
                <w:lang w:val="en-US" w:eastAsia="zh-CN"/>
              </w:rPr>
            </w:pPr>
            <w:r>
              <w:rPr>
                <w:rFonts w:hint="eastAsia"/>
                <w:sz w:val="20"/>
                <w:szCs w:val="20"/>
                <w:lang w:val="en-US" w:eastAsia="zh-CN"/>
              </w:rPr>
              <w:t>72</w:t>
            </w:r>
          </w:p>
        </w:tc>
        <w:tc>
          <w:tcPr>
            <w:tcW w:w="589" w:type="dxa"/>
            <w:tcBorders>
              <w:top w:val="single" w:color="auto" w:sz="4" w:space="0"/>
              <w:left w:val="nil"/>
              <w:bottom w:val="single" w:color="auto" w:sz="4" w:space="0"/>
              <w:right w:val="single" w:color="auto" w:sz="4" w:space="0"/>
            </w:tcBorders>
            <w:vAlign w:val="center"/>
          </w:tcPr>
          <w:p>
            <w:pPr>
              <w:spacing w:line="240" w:lineRule="exact"/>
              <w:jc w:val="center"/>
              <w:textAlignment w:val="center"/>
              <w:rPr>
                <w:sz w:val="20"/>
                <w:szCs w:val="20"/>
              </w:rPr>
            </w:pPr>
            <w:r>
              <w:rPr>
                <w:rFonts w:hint="eastAsia"/>
                <w:sz w:val="20"/>
                <w:szCs w:val="20"/>
                <w:lang w:eastAsia="zh-CN"/>
              </w:rPr>
              <w:t>行政备案</w:t>
            </w:r>
          </w:p>
        </w:tc>
        <w:tc>
          <w:tcPr>
            <w:tcW w:w="1189" w:type="dxa"/>
            <w:gridSpan w:val="2"/>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旅馆变更登记备案</w:t>
            </w:r>
          </w:p>
        </w:tc>
        <w:tc>
          <w:tcPr>
            <w:tcW w:w="509" w:type="dxa"/>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w:t>
            </w:r>
            <w:r>
              <w:rPr>
                <w:rFonts w:hint="eastAsia" w:ascii="仿宋_GB2312" w:hAnsi="Arial" w:cs="Arial"/>
                <w:color w:val="000000" w:themeColor="text1"/>
                <w:kern w:val="0"/>
                <w:sz w:val="13"/>
                <w:szCs w:val="13"/>
                <w:lang w:eastAsia="zh-CN"/>
              </w:rPr>
              <w:t>治安管理大队</w:t>
            </w:r>
          </w:p>
        </w:tc>
        <w:tc>
          <w:tcPr>
            <w:tcW w:w="4482" w:type="dxa"/>
            <w:gridSpan w:val="7"/>
            <w:tcBorders>
              <w:top w:val="single" w:color="auto" w:sz="4" w:space="0"/>
              <w:left w:val="nil"/>
              <w:bottom w:val="single" w:color="auto" w:sz="4" w:space="0"/>
              <w:right w:val="single" w:color="auto" w:sz="4" w:space="0"/>
            </w:tcBorders>
            <w:vAlign w:val="center"/>
          </w:tcPr>
          <w:p>
            <w:pPr>
              <w:widowControl/>
              <w:tabs>
                <w:tab w:val="left" w:pos="492"/>
              </w:tabs>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《旅馆业治安管理办法》；依据文号：中华人民共和国国务院令第732号；条款号：第四条 申请开办旅馆，应经主管部门审查批准，经当地公安机关签署意见，向工商行政管理部门申请登记，领取营业执照后，方准开业。经批准开业的旅馆，如有歇业、转业、合并、迁移、改变名称等情况，应当在工商行政管理部门办理变更登记后3日内，向当地的县、市公安局、公安分局备案。</w:t>
            </w:r>
          </w:p>
        </w:tc>
        <w:tc>
          <w:tcPr>
            <w:tcW w:w="3076" w:type="dxa"/>
            <w:gridSpan w:val="6"/>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1、受理责任： 公示依法应当提交的材料；一次性告知补正材料；依法受理或不予受理（不予受理的告知理由）。</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2、审查责任：对申报信息进行审核，对纸质申报材料与电子信息进行比对，提出初审意见。</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3、决定责任：作出行政许可或者不予行政许可的决定（不予许可的告知理由）；按时办结；法定告知。</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4、送达责任：制发审核证明；信息公开。</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5.事后监管责任：开展后续监督管理。</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6.其他法律法规规章文件规定应履行的责任。</w:t>
            </w:r>
          </w:p>
        </w:tc>
        <w:tc>
          <w:tcPr>
            <w:tcW w:w="1627" w:type="dxa"/>
            <w:gridSpan w:val="3"/>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因不履行或不正确履行行政职责，有下列情形的，公安机关及相关工作人员应承担相应责任：</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1、对符合条件的申请不予受理的；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2、未依法说明不受理申请或者不予行政许可理由的；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3、依法应当公开事项和申请所需材料而不公开的；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4、无法定依据实施行或者超越法定权限作出行政权力决定的；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5、超过法定期限或者违反法定程序实施行政权力的；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6、行政权力实施后续监管不到位，造成严重后果的；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7、一年内受到二次以上投诉，且投诉属实，情节严重、影响恶劣的；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8、在实施行政权力、实施监督检查中索取或者收受他人财物或者谋取其他利益的；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9、其他违反法律法规规章文件规定的行为</w:t>
            </w:r>
          </w:p>
        </w:tc>
        <w:tc>
          <w:tcPr>
            <w:tcW w:w="1222" w:type="dxa"/>
            <w:gridSpan w:val="3"/>
            <w:tcBorders>
              <w:top w:val="single" w:color="auto" w:sz="4" w:space="0"/>
              <w:left w:val="nil"/>
              <w:bottom w:val="single" w:color="auto" w:sz="4" w:space="0"/>
              <w:right w:val="nil"/>
            </w:tcBorders>
          </w:tcPr>
          <w:p>
            <w:pPr>
              <w:spacing w:line="240" w:lineRule="exact"/>
              <w:textAlignment w:val="center"/>
              <w:rPr>
                <w:sz w:val="20"/>
                <w:szCs w:val="20"/>
              </w:rPr>
            </w:pPr>
          </w:p>
        </w:tc>
        <w:tc>
          <w:tcPr>
            <w:tcW w:w="236" w:type="dxa"/>
            <w:tcBorders>
              <w:top w:val="single" w:color="auto" w:sz="4" w:space="0"/>
              <w:left w:val="nil"/>
              <w:bottom w:val="single" w:color="auto" w:sz="4" w:space="0"/>
              <w:right w:val="single" w:color="auto" w:sz="4" w:space="0"/>
            </w:tcBorders>
            <w:vAlign w:val="center"/>
          </w:tcPr>
          <w:p>
            <w:pPr>
              <w:spacing w:line="240" w:lineRule="exact"/>
              <w:textAlignment w:val="center"/>
              <w:rP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7" w:type="dxa"/>
          <w:trHeight w:val="6815" w:hRule="atLeast"/>
        </w:trPr>
        <w:tc>
          <w:tcPr>
            <w:tcW w:w="4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hint="default" w:eastAsia="仿宋_GB2312"/>
                <w:sz w:val="20"/>
                <w:szCs w:val="20"/>
                <w:lang w:val="en-US" w:eastAsia="zh-CN"/>
              </w:rPr>
            </w:pPr>
            <w:r>
              <w:rPr>
                <w:rFonts w:hint="eastAsia"/>
                <w:sz w:val="20"/>
                <w:szCs w:val="20"/>
                <w:lang w:val="en-US" w:eastAsia="zh-CN"/>
              </w:rPr>
              <w:t>73</w:t>
            </w:r>
          </w:p>
        </w:tc>
        <w:tc>
          <w:tcPr>
            <w:tcW w:w="589" w:type="dxa"/>
            <w:tcBorders>
              <w:top w:val="single" w:color="auto" w:sz="4" w:space="0"/>
              <w:left w:val="nil"/>
              <w:bottom w:val="single" w:color="auto" w:sz="4" w:space="0"/>
              <w:right w:val="single" w:color="auto" w:sz="4" w:space="0"/>
            </w:tcBorders>
            <w:vAlign w:val="center"/>
          </w:tcPr>
          <w:p>
            <w:pPr>
              <w:spacing w:line="240" w:lineRule="exact"/>
              <w:jc w:val="center"/>
              <w:textAlignment w:val="center"/>
              <w:rPr>
                <w:sz w:val="20"/>
                <w:szCs w:val="20"/>
              </w:rPr>
            </w:pPr>
            <w:r>
              <w:rPr>
                <w:rFonts w:hint="eastAsia"/>
                <w:sz w:val="20"/>
                <w:szCs w:val="20"/>
                <w:lang w:eastAsia="zh-CN"/>
              </w:rPr>
              <w:t>行政备案</w:t>
            </w:r>
          </w:p>
        </w:tc>
        <w:tc>
          <w:tcPr>
            <w:tcW w:w="1189" w:type="dxa"/>
            <w:gridSpan w:val="2"/>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 xml:space="preserve"> 印章刻制备案</w:t>
            </w:r>
          </w:p>
        </w:tc>
        <w:tc>
          <w:tcPr>
            <w:tcW w:w="1212" w:type="dxa"/>
            <w:gridSpan w:val="4"/>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w:t>
            </w:r>
            <w:r>
              <w:rPr>
                <w:rFonts w:hint="eastAsia" w:ascii="仿宋_GB2312" w:hAnsi="Arial" w:cs="Arial"/>
                <w:color w:val="000000" w:themeColor="text1"/>
                <w:kern w:val="0"/>
                <w:sz w:val="13"/>
                <w:szCs w:val="13"/>
                <w:lang w:eastAsia="zh-CN"/>
              </w:rPr>
              <w:t>治安管理大队</w:t>
            </w:r>
          </w:p>
        </w:tc>
        <w:tc>
          <w:tcPr>
            <w:tcW w:w="5069" w:type="dxa"/>
            <w:gridSpan w:val="7"/>
            <w:tcBorders>
              <w:top w:val="single" w:color="auto" w:sz="4" w:space="0"/>
              <w:left w:val="nil"/>
              <w:bottom w:val="single" w:color="auto" w:sz="4" w:space="0"/>
              <w:right w:val="single" w:color="auto" w:sz="4" w:space="0"/>
            </w:tcBorders>
            <w:vAlign w:val="center"/>
          </w:tcPr>
          <w:p>
            <w:pPr>
              <w:widowControl/>
              <w:tabs>
                <w:tab w:val="left" w:pos="492"/>
              </w:tabs>
              <w:rPr>
                <w:rFonts w:hint="eastAsia" w:ascii="仿宋_GB2312" w:hAnsi="Arial" w:cs="Arial"/>
                <w:color w:val="000000" w:themeColor="text1"/>
                <w:w w:val="80"/>
                <w:kern w:val="0"/>
                <w:sz w:val="15"/>
                <w:szCs w:val="13"/>
              </w:rPr>
            </w:pPr>
            <w:r>
              <w:rPr>
                <w:rFonts w:hint="eastAsia" w:ascii="仿宋_GB2312" w:hAnsi="Arial" w:cs="Arial"/>
                <w:color w:val="000000" w:themeColor="text1"/>
                <w:w w:val="80"/>
                <w:kern w:val="0"/>
                <w:sz w:val="15"/>
                <w:szCs w:val="13"/>
              </w:rPr>
              <w:t>一、《印铸刻字业暂行管理规则》（1951年8月15日公安部颁布）第六条  凡经营印铸刻字业者，均须遵守下列事项：一、遇有下列各项印刷铸刻情形之一者，须将底样及委托印刷刻字之机关证明文件，随时呈送当地人民公安机关核准备案后方得印制。</w:t>
            </w:r>
          </w:p>
          <w:p>
            <w:pPr>
              <w:widowControl/>
              <w:tabs>
                <w:tab w:val="left" w:pos="492"/>
              </w:tabs>
              <w:rPr>
                <w:rFonts w:ascii="仿宋_GB2312" w:hAnsi="Arial" w:cs="Arial"/>
                <w:color w:val="000000" w:themeColor="text1"/>
                <w:kern w:val="0"/>
                <w:sz w:val="15"/>
                <w:szCs w:val="13"/>
              </w:rPr>
            </w:pPr>
            <w:r>
              <w:rPr>
                <w:rFonts w:hint="eastAsia" w:ascii="仿宋_GB2312" w:hAnsi="Arial" w:cs="Arial"/>
                <w:color w:val="000000" w:themeColor="text1"/>
                <w:w w:val="80"/>
                <w:kern w:val="0"/>
                <w:sz w:val="15"/>
                <w:szCs w:val="13"/>
              </w:rPr>
              <w:t xml:space="preserve">二、《国务院关于第三批取消中央指定地方实施行政许可事项的决定》（国发〔2017〕7号）第9项 公章刻制取消审批后，实行公章刻制备案管理，继续保留公安机关对公章刻制企业的审批。要修订《印铸刻字业暂行管理规则》，明确监管标准、要求和处罚措施，要求公章刻制企业在刻制公章后，将用章单位、公章刻制申请人、印模等基本信息报公安机关备案。公安机关要加强事中事后监管，建立统一的公章治安管理信息系统，逐步实现公章刻制网上备案、信息采集及公众查询。                                                                             </w:t>
            </w:r>
          </w:p>
        </w:tc>
        <w:tc>
          <w:tcPr>
            <w:tcW w:w="1786" w:type="dxa"/>
            <w:gridSpan w:val="3"/>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1、受理责任： 公示依法应当提交的材料；一次性告知补正材料；依法受理或不予受理（不予受理的告知理由）。</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2、审查责任：对申报信息进行审核，对纸质申报材料与电子信息进行比对，提出初审意见。</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3、决定责任：作出行政许可或者不予行政许可的决定（不予许可的告知理由）；按时办结；法定告知。</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4、送达责任：制发审核证明；信息公开。</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5.事后监管责任：开展后续监督管理。</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6.其他法律法规规章文件规定应履行的责任。</w:t>
            </w:r>
          </w:p>
        </w:tc>
        <w:tc>
          <w:tcPr>
            <w:tcW w:w="1627" w:type="dxa"/>
            <w:gridSpan w:val="3"/>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因不履行或不正确履行行政职责，有下列情形的，公安机关及相关工作人员应承担相应责任：</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1、对符合条件的申请不予受理的；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2、未依法说明不受理申请或者不予行政许可理由的；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3、依法应当公开事项和申请所需材料而不公开的；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4、无法定依据实施行或者超越法定权限作出行政权力决定的；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5、超过法定期限或者违反法定程序实施行政权力的；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6、行政权力实施后续监管不到位，造成严重后果的；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7、一年内受到二次以上投诉，且投诉属实，情节严重、影响恶劣的；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8、在实施行政权力、实施监督检查中索取或者收受他人财物或者谋取其他利益的；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9、其他违反法律法规规章文件规定的行为</w:t>
            </w:r>
          </w:p>
        </w:tc>
        <w:tc>
          <w:tcPr>
            <w:tcW w:w="1222" w:type="dxa"/>
            <w:gridSpan w:val="3"/>
            <w:tcBorders>
              <w:top w:val="single" w:color="auto" w:sz="4" w:space="0"/>
              <w:left w:val="nil"/>
              <w:bottom w:val="single" w:color="auto" w:sz="4" w:space="0"/>
              <w:right w:val="nil"/>
            </w:tcBorders>
          </w:tcPr>
          <w:p>
            <w:pPr>
              <w:spacing w:line="240" w:lineRule="exact"/>
              <w:textAlignment w:val="center"/>
              <w:rPr>
                <w:sz w:val="20"/>
                <w:szCs w:val="20"/>
              </w:rPr>
            </w:pPr>
          </w:p>
        </w:tc>
        <w:tc>
          <w:tcPr>
            <w:tcW w:w="236" w:type="dxa"/>
            <w:tcBorders>
              <w:top w:val="single" w:color="auto" w:sz="4" w:space="0"/>
              <w:left w:val="nil"/>
              <w:bottom w:val="single" w:color="auto" w:sz="4" w:space="0"/>
              <w:right w:val="single" w:color="auto" w:sz="4" w:space="0"/>
            </w:tcBorders>
            <w:vAlign w:val="center"/>
          </w:tcPr>
          <w:p>
            <w:pPr>
              <w:spacing w:line="240" w:lineRule="exact"/>
              <w:textAlignment w:val="center"/>
              <w:rP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7" w:type="dxa"/>
          <w:trHeight w:val="7361" w:hRule="atLeast"/>
        </w:trPr>
        <w:tc>
          <w:tcPr>
            <w:tcW w:w="4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hint="default" w:eastAsia="仿宋_GB2312"/>
                <w:sz w:val="20"/>
                <w:szCs w:val="20"/>
                <w:lang w:val="en-US" w:eastAsia="zh-CN"/>
              </w:rPr>
            </w:pPr>
            <w:r>
              <w:rPr>
                <w:rFonts w:hint="eastAsia"/>
                <w:sz w:val="20"/>
                <w:szCs w:val="20"/>
                <w:lang w:val="en-US" w:eastAsia="zh-CN"/>
              </w:rPr>
              <w:t>74</w:t>
            </w:r>
          </w:p>
        </w:tc>
        <w:tc>
          <w:tcPr>
            <w:tcW w:w="589" w:type="dxa"/>
            <w:tcBorders>
              <w:top w:val="single" w:color="auto" w:sz="4" w:space="0"/>
              <w:left w:val="nil"/>
              <w:bottom w:val="single" w:color="auto" w:sz="4" w:space="0"/>
              <w:right w:val="single" w:color="auto" w:sz="4" w:space="0"/>
            </w:tcBorders>
            <w:vAlign w:val="center"/>
          </w:tcPr>
          <w:p>
            <w:pPr>
              <w:spacing w:line="240" w:lineRule="exact"/>
              <w:jc w:val="center"/>
              <w:textAlignment w:val="center"/>
              <w:rPr>
                <w:sz w:val="20"/>
                <w:szCs w:val="20"/>
              </w:rPr>
            </w:pPr>
            <w:r>
              <w:rPr>
                <w:rFonts w:hint="eastAsia"/>
                <w:sz w:val="20"/>
                <w:szCs w:val="20"/>
                <w:lang w:eastAsia="zh-CN"/>
              </w:rPr>
              <w:t>行政备案</w:t>
            </w:r>
          </w:p>
        </w:tc>
        <w:tc>
          <w:tcPr>
            <w:tcW w:w="1189" w:type="dxa"/>
            <w:gridSpan w:val="2"/>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娱乐场所备案</w:t>
            </w:r>
          </w:p>
        </w:tc>
        <w:tc>
          <w:tcPr>
            <w:tcW w:w="1212" w:type="dxa"/>
            <w:gridSpan w:val="4"/>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w:t>
            </w:r>
            <w:r>
              <w:rPr>
                <w:rFonts w:hint="eastAsia" w:ascii="仿宋_GB2312" w:hAnsi="Arial" w:cs="Arial"/>
                <w:color w:val="000000" w:themeColor="text1"/>
                <w:kern w:val="0"/>
                <w:sz w:val="13"/>
                <w:szCs w:val="13"/>
                <w:lang w:eastAsia="zh-CN"/>
              </w:rPr>
              <w:t>治安管理大队</w:t>
            </w:r>
          </w:p>
        </w:tc>
        <w:tc>
          <w:tcPr>
            <w:tcW w:w="5069" w:type="dxa"/>
            <w:gridSpan w:val="7"/>
            <w:tcBorders>
              <w:top w:val="single" w:color="auto" w:sz="4" w:space="0"/>
              <w:left w:val="nil"/>
              <w:bottom w:val="single" w:color="auto" w:sz="4" w:space="0"/>
              <w:right w:val="single" w:color="auto" w:sz="4" w:space="0"/>
            </w:tcBorders>
            <w:vAlign w:val="center"/>
          </w:tcPr>
          <w:p>
            <w:pPr>
              <w:widowControl/>
              <w:tabs>
                <w:tab w:val="left" w:pos="492"/>
              </w:tabs>
              <w:spacing w:line="240" w:lineRule="atLeast"/>
              <w:rPr>
                <w:rFonts w:hint="eastAsia" w:ascii="仿宋_GB2312" w:hAnsi="Arial" w:cs="Arial"/>
                <w:color w:val="000000" w:themeColor="text1"/>
                <w:w w:val="80"/>
                <w:kern w:val="0"/>
                <w:sz w:val="15"/>
                <w:szCs w:val="13"/>
              </w:rPr>
            </w:pPr>
            <w:r>
              <w:rPr>
                <w:rFonts w:hint="eastAsia" w:ascii="仿宋_GB2312" w:hAnsi="Arial" w:cs="Arial"/>
                <w:color w:val="000000" w:themeColor="text1"/>
                <w:w w:val="80"/>
                <w:kern w:val="0"/>
                <w:sz w:val="15"/>
                <w:szCs w:val="13"/>
              </w:rPr>
              <w:t>一、《娱乐场所管理条例》（2006年3月1日起施行，国务院令第458号）；条款号：第十一条　...娱乐场所依法取得营业执照后，应当在15日内向所在地县级公安部门备案。第十二条　娱乐场所改建、扩建营业场所或者变更场地、主要设施设备、投资人员，或者变更娱乐经营许可证载明的事项的，应当向原发证机关申请重新核发娱乐经营许可证，并向公安部门备案；</w:t>
            </w:r>
          </w:p>
          <w:p>
            <w:pPr>
              <w:widowControl/>
              <w:tabs>
                <w:tab w:val="left" w:pos="492"/>
              </w:tabs>
              <w:spacing w:line="240" w:lineRule="atLeast"/>
              <w:rPr>
                <w:rFonts w:ascii="仿宋_GB2312" w:hAnsi="Arial" w:cs="Arial"/>
                <w:color w:val="000000" w:themeColor="text1"/>
                <w:w w:val="80"/>
                <w:kern w:val="0"/>
                <w:sz w:val="15"/>
                <w:szCs w:val="13"/>
              </w:rPr>
            </w:pPr>
            <w:r>
              <w:rPr>
                <w:rFonts w:hint="eastAsia" w:ascii="仿宋_GB2312" w:hAnsi="Arial" w:cs="Arial"/>
                <w:color w:val="000000" w:themeColor="text1"/>
                <w:w w:val="80"/>
                <w:kern w:val="0"/>
                <w:sz w:val="15"/>
                <w:szCs w:val="13"/>
              </w:rPr>
              <w:t>二、《娱乐场所治安管理办法》依据文号：中华人民共和国公安部令第103号；条款号：第四条  娱乐场所领取营业执照后，应当在15日内向所在地县(市)公安局、城市公安分局治安部门备案;县(市)公安局、城市公安分局治安部门受理备案后，应当在5日内将备案资料通报娱乐场所所在辖区公安派出所。县(市)公安局、城市公安分局治安部门对备案的娱乐场所应当统一建立管理档案。;(九)转借、转让用户账号的。</w:t>
            </w:r>
          </w:p>
        </w:tc>
        <w:tc>
          <w:tcPr>
            <w:tcW w:w="1786" w:type="dxa"/>
            <w:gridSpan w:val="3"/>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1、受理责任： 公示依法应当提交的材料；一次性告知补正材料；依法受理或不予受理（不予受理的告知理由）。</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2、审查责任：对申报信息进行审核，对纸质申报材料与电子信息进行比对，提出初审意见。</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3、决定责任：作出行政许可或者不予行政许可的决定（不予许可的告知理由）；按时办结；法定告知。</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4、送达责任：制发审核证明；信息公开。</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5.事后监管责任：开展后续监督管理。</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6.其他法律法规规章文件规定应履行的责任。</w:t>
            </w:r>
          </w:p>
        </w:tc>
        <w:tc>
          <w:tcPr>
            <w:tcW w:w="1627" w:type="dxa"/>
            <w:gridSpan w:val="3"/>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因不履行或不正确履行行政职责，有下列情形的，公安机关及相关工作人员应承担相应责任：</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1、对符合条件的申请不予受理的；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2、未依法说明不受理申请或者不予行政许可理由的；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3、依法应当公开事项和申请所需材料而不公开的；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4、无法定依据实施行或者超越法定权限作出行政权力决定的；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5、超过法定期限或者违反法定程序实施行政权力的；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6、行政权力实施后续监管不到位，造成严重后果的；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7、一年内受到二次以上投诉，且投诉属实，情节严重、影响恶劣的；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8、在实施行政权力、实施监督检查中索取或者收受他人财物或者谋取其他利益的；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9、其他违反法律法规规章文件规定的行为</w:t>
            </w:r>
          </w:p>
        </w:tc>
        <w:tc>
          <w:tcPr>
            <w:tcW w:w="1222" w:type="dxa"/>
            <w:gridSpan w:val="3"/>
            <w:tcBorders>
              <w:top w:val="single" w:color="auto" w:sz="4" w:space="0"/>
              <w:left w:val="nil"/>
              <w:bottom w:val="single" w:color="auto" w:sz="4" w:space="0"/>
              <w:right w:val="nil"/>
            </w:tcBorders>
          </w:tcPr>
          <w:p>
            <w:pPr>
              <w:spacing w:line="240" w:lineRule="exact"/>
              <w:textAlignment w:val="center"/>
              <w:rPr>
                <w:sz w:val="20"/>
                <w:szCs w:val="20"/>
              </w:rPr>
            </w:pPr>
          </w:p>
        </w:tc>
        <w:tc>
          <w:tcPr>
            <w:tcW w:w="236" w:type="dxa"/>
            <w:tcBorders>
              <w:top w:val="single" w:color="auto" w:sz="4" w:space="0"/>
              <w:left w:val="nil"/>
              <w:bottom w:val="single" w:color="auto" w:sz="4" w:space="0"/>
              <w:right w:val="single" w:color="auto" w:sz="4" w:space="0"/>
            </w:tcBorders>
            <w:vAlign w:val="center"/>
          </w:tcPr>
          <w:p>
            <w:pPr>
              <w:spacing w:line="240" w:lineRule="exact"/>
              <w:textAlignment w:val="center"/>
              <w:rP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7" w:type="dxa"/>
          <w:trHeight w:val="7361" w:hRule="atLeast"/>
        </w:trPr>
        <w:tc>
          <w:tcPr>
            <w:tcW w:w="4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hint="default" w:eastAsia="仿宋_GB2312"/>
                <w:sz w:val="20"/>
                <w:szCs w:val="20"/>
                <w:lang w:val="en-US" w:eastAsia="zh-CN"/>
              </w:rPr>
            </w:pPr>
            <w:r>
              <w:rPr>
                <w:rFonts w:hint="eastAsia"/>
                <w:sz w:val="20"/>
                <w:szCs w:val="20"/>
                <w:lang w:val="en-US" w:eastAsia="zh-CN"/>
              </w:rPr>
              <w:t>75</w:t>
            </w:r>
          </w:p>
        </w:tc>
        <w:tc>
          <w:tcPr>
            <w:tcW w:w="589" w:type="dxa"/>
            <w:tcBorders>
              <w:top w:val="single" w:color="auto" w:sz="4" w:space="0"/>
              <w:left w:val="nil"/>
              <w:bottom w:val="single" w:color="auto" w:sz="4" w:space="0"/>
              <w:right w:val="single" w:color="auto" w:sz="4" w:space="0"/>
            </w:tcBorders>
            <w:vAlign w:val="center"/>
          </w:tcPr>
          <w:p>
            <w:pPr>
              <w:spacing w:line="240" w:lineRule="exact"/>
              <w:jc w:val="center"/>
              <w:textAlignment w:val="center"/>
              <w:rPr>
                <w:rFonts w:hint="eastAsia"/>
                <w:sz w:val="20"/>
                <w:szCs w:val="20"/>
              </w:rPr>
            </w:pPr>
            <w:r>
              <w:rPr>
                <w:rFonts w:hint="eastAsia"/>
                <w:sz w:val="20"/>
                <w:szCs w:val="20"/>
                <w:lang w:eastAsia="zh-CN"/>
              </w:rPr>
              <w:t>行政备案</w:t>
            </w:r>
          </w:p>
        </w:tc>
        <w:tc>
          <w:tcPr>
            <w:tcW w:w="1189" w:type="dxa"/>
            <w:gridSpan w:val="2"/>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hint="eastAsia" w:ascii="仿宋_GB2312" w:hAnsi="Arial" w:cs="Arial"/>
                <w:color w:val="000000" w:themeColor="text1"/>
                <w:kern w:val="0"/>
                <w:sz w:val="13"/>
                <w:szCs w:val="13"/>
              </w:rPr>
            </w:pPr>
            <w:r>
              <w:rPr>
                <w:rFonts w:hint="eastAsia" w:ascii="仿宋_GB2312" w:hAnsi="Arial" w:cs="Arial"/>
                <w:color w:val="000000" w:themeColor="text1"/>
                <w:kern w:val="0"/>
                <w:sz w:val="13"/>
                <w:szCs w:val="13"/>
              </w:rPr>
              <w:t>销售、购买剧毒化学品、易制爆危险化学品的情况备案</w:t>
            </w:r>
          </w:p>
        </w:tc>
        <w:tc>
          <w:tcPr>
            <w:tcW w:w="1212" w:type="dxa"/>
            <w:gridSpan w:val="4"/>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hint="eastAsia"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w:t>
            </w:r>
            <w:r>
              <w:rPr>
                <w:rFonts w:hint="eastAsia" w:ascii="仿宋_GB2312" w:hAnsi="Arial" w:cs="Arial"/>
                <w:color w:val="000000" w:themeColor="text1"/>
                <w:kern w:val="0"/>
                <w:sz w:val="13"/>
                <w:szCs w:val="13"/>
                <w:lang w:eastAsia="zh-CN"/>
              </w:rPr>
              <w:t>治安管理大队</w:t>
            </w:r>
          </w:p>
        </w:tc>
        <w:tc>
          <w:tcPr>
            <w:tcW w:w="5069" w:type="dxa"/>
            <w:gridSpan w:val="7"/>
            <w:tcBorders>
              <w:top w:val="single" w:color="auto" w:sz="4" w:space="0"/>
              <w:left w:val="nil"/>
              <w:bottom w:val="single" w:color="auto" w:sz="4" w:space="0"/>
              <w:right w:val="single" w:color="auto" w:sz="4" w:space="0"/>
            </w:tcBorders>
            <w:vAlign w:val="center"/>
          </w:tcPr>
          <w:p>
            <w:pPr>
              <w:widowControl/>
              <w:tabs>
                <w:tab w:val="left" w:pos="492"/>
              </w:tabs>
              <w:spacing w:line="240" w:lineRule="atLeast"/>
              <w:rPr>
                <w:rFonts w:hint="eastAsia" w:ascii="仿宋_GB2312" w:hAnsi="Arial" w:cs="Arial"/>
                <w:color w:val="000000" w:themeColor="text1"/>
                <w:w w:val="80"/>
                <w:kern w:val="0"/>
                <w:sz w:val="15"/>
                <w:szCs w:val="13"/>
              </w:rPr>
            </w:pPr>
            <w:r>
              <w:rPr>
                <w:rFonts w:hint="eastAsia" w:ascii="仿宋_GB2312" w:hAnsi="Arial" w:cs="Arial"/>
                <w:color w:val="000000" w:themeColor="text1"/>
                <w:w w:val="80"/>
                <w:kern w:val="0"/>
                <w:sz w:val="15"/>
                <w:szCs w:val="13"/>
              </w:rPr>
              <w:t>《危险化学品安全管理条例》（国务院令第344号 2011年修订12月1日施行）；条款号：第四十一条  ……剧毒化学品、易制爆危险化学品的销售企业、购买单位应当在销售、购买后5日内，将所销售、购买的剧毒化学品、易制爆危险化学品的品种、数量以及流向信息报所在地县级人民政府公安机关备案，并输入计算机系统。</w:t>
            </w:r>
          </w:p>
        </w:tc>
        <w:tc>
          <w:tcPr>
            <w:tcW w:w="1786" w:type="dxa"/>
            <w:gridSpan w:val="3"/>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hint="eastAsia" w:ascii="仿宋_GB2312" w:hAnsi="Arial" w:cs="Arial"/>
                <w:color w:val="000000" w:themeColor="text1"/>
                <w:kern w:val="0"/>
                <w:sz w:val="13"/>
                <w:szCs w:val="13"/>
              </w:rPr>
            </w:pPr>
            <w:r>
              <w:rPr>
                <w:rFonts w:hint="eastAsia" w:ascii="仿宋_GB2312" w:hAnsi="Arial" w:cs="Arial"/>
                <w:color w:val="000000" w:themeColor="text1"/>
                <w:kern w:val="0"/>
                <w:sz w:val="13"/>
                <w:szCs w:val="13"/>
              </w:rPr>
              <w:t>1、受理责任： 公示依法应当提交的材料；一次性告知补正材料；依法受理或不予受理（不予受理的告知理由）。</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2、审查责任：对申报信息进行审核，对纸质申报材料与电子信息进行比对，提出初审意见。</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3、决定责任：作出行政许可或者不予行政许可的决定（不予许可的告知理由）；按时办结；法定告知。</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4、送达责任：制发审核证明；信息公开。</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5.事后监管责任：开展后续监督管理。</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6.其他法律法规规章文件规定应履行的责任。</w:t>
            </w:r>
          </w:p>
        </w:tc>
        <w:tc>
          <w:tcPr>
            <w:tcW w:w="1627" w:type="dxa"/>
            <w:gridSpan w:val="3"/>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hint="eastAsia"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因不履行或不正确履行行政职责，有下列情形的，公安机关及相关工作人员应承担相应责任：</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1、对符合条件的申请不予受理的；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2、未依法说明不受理申请或者不予行政许可理由的；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3、依法应当公开事项和申请所需材料而不公开的；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4、无法定依据实施行或者超越法定权限作出行政权力决定的；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5、超过法定期限或者违反法定程序实施行政权力的；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6、行政权力实施后续监管不到位，造成严重后果的；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7、一年内受到二次以上投诉，且投诉属实，情节严重、影响恶劣的；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8、在实施行政权力、实施监督检查中索取或者收受他人财物或者谋取其他利益的；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9、其他违反法律法规规章文件规定的行为</w:t>
            </w:r>
          </w:p>
        </w:tc>
        <w:tc>
          <w:tcPr>
            <w:tcW w:w="1222" w:type="dxa"/>
            <w:gridSpan w:val="3"/>
            <w:tcBorders>
              <w:top w:val="single" w:color="auto" w:sz="4" w:space="0"/>
              <w:left w:val="nil"/>
              <w:bottom w:val="single" w:color="auto" w:sz="4" w:space="0"/>
              <w:right w:val="nil"/>
            </w:tcBorders>
          </w:tcPr>
          <w:p>
            <w:pPr>
              <w:spacing w:line="240" w:lineRule="exact"/>
              <w:textAlignment w:val="center"/>
              <w:rPr>
                <w:sz w:val="20"/>
                <w:szCs w:val="20"/>
              </w:rPr>
            </w:pPr>
          </w:p>
        </w:tc>
        <w:tc>
          <w:tcPr>
            <w:tcW w:w="236" w:type="dxa"/>
            <w:tcBorders>
              <w:top w:val="single" w:color="auto" w:sz="4" w:space="0"/>
              <w:left w:val="nil"/>
              <w:bottom w:val="single" w:color="auto" w:sz="4" w:space="0"/>
              <w:right w:val="single" w:color="auto" w:sz="4" w:space="0"/>
            </w:tcBorders>
            <w:vAlign w:val="center"/>
          </w:tcPr>
          <w:p>
            <w:pPr>
              <w:spacing w:line="240" w:lineRule="exact"/>
              <w:textAlignment w:val="center"/>
              <w:rP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7" w:type="dxa"/>
          <w:trHeight w:val="7361" w:hRule="atLeast"/>
        </w:trPr>
        <w:tc>
          <w:tcPr>
            <w:tcW w:w="4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hint="default"/>
                <w:sz w:val="20"/>
                <w:szCs w:val="20"/>
                <w:lang w:val="en-US" w:eastAsia="zh-CN"/>
              </w:rPr>
            </w:pPr>
            <w:r>
              <w:rPr>
                <w:rFonts w:hint="eastAsia"/>
                <w:sz w:val="20"/>
                <w:szCs w:val="20"/>
                <w:lang w:val="en-US" w:eastAsia="zh-CN"/>
              </w:rPr>
              <w:t>76</w:t>
            </w:r>
          </w:p>
        </w:tc>
        <w:tc>
          <w:tcPr>
            <w:tcW w:w="589" w:type="dxa"/>
            <w:tcBorders>
              <w:top w:val="single" w:color="auto" w:sz="4" w:space="0"/>
              <w:left w:val="nil"/>
              <w:bottom w:val="single" w:color="auto" w:sz="4" w:space="0"/>
              <w:right w:val="single" w:color="auto" w:sz="4" w:space="0"/>
            </w:tcBorders>
            <w:vAlign w:val="center"/>
          </w:tcPr>
          <w:p>
            <w:pPr>
              <w:spacing w:line="240" w:lineRule="exact"/>
              <w:jc w:val="center"/>
              <w:textAlignment w:val="center"/>
              <w:rPr>
                <w:rFonts w:hint="eastAsia"/>
                <w:sz w:val="20"/>
                <w:szCs w:val="20"/>
              </w:rPr>
            </w:pPr>
            <w:r>
              <w:rPr>
                <w:rFonts w:hint="eastAsia"/>
                <w:sz w:val="20"/>
                <w:szCs w:val="20"/>
                <w:lang w:eastAsia="zh-CN"/>
              </w:rPr>
              <w:t>行政备案</w:t>
            </w:r>
          </w:p>
        </w:tc>
        <w:tc>
          <w:tcPr>
            <w:tcW w:w="1189" w:type="dxa"/>
            <w:gridSpan w:val="2"/>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hint="eastAsia" w:ascii="仿宋_GB2312" w:hAnsi="Arial" w:cs="Arial"/>
                <w:color w:val="000000" w:themeColor="text1"/>
                <w:kern w:val="0"/>
                <w:sz w:val="13"/>
                <w:szCs w:val="13"/>
              </w:rPr>
            </w:pPr>
            <w:r>
              <w:rPr>
                <w:rFonts w:hint="eastAsia" w:ascii="仿宋_GB2312" w:hAnsi="Arial" w:cs="Arial"/>
                <w:color w:val="000000" w:themeColor="text1"/>
                <w:kern w:val="0"/>
                <w:sz w:val="13"/>
                <w:szCs w:val="13"/>
              </w:rPr>
              <w:t xml:space="preserve"> 民用爆炸物品购销情况备案</w:t>
            </w:r>
          </w:p>
        </w:tc>
        <w:tc>
          <w:tcPr>
            <w:tcW w:w="1212" w:type="dxa"/>
            <w:gridSpan w:val="4"/>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hint="eastAsia"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w:t>
            </w:r>
            <w:r>
              <w:rPr>
                <w:rFonts w:hint="eastAsia" w:ascii="仿宋_GB2312" w:hAnsi="Arial" w:cs="Arial"/>
                <w:color w:val="000000" w:themeColor="text1"/>
                <w:kern w:val="0"/>
                <w:sz w:val="13"/>
                <w:szCs w:val="13"/>
                <w:lang w:eastAsia="zh-CN"/>
              </w:rPr>
              <w:t>治安管理大队</w:t>
            </w:r>
          </w:p>
        </w:tc>
        <w:tc>
          <w:tcPr>
            <w:tcW w:w="5069" w:type="dxa"/>
            <w:gridSpan w:val="7"/>
            <w:tcBorders>
              <w:top w:val="single" w:color="auto" w:sz="4" w:space="0"/>
              <w:left w:val="nil"/>
              <w:bottom w:val="single" w:color="auto" w:sz="4" w:space="0"/>
              <w:right w:val="single" w:color="auto" w:sz="4" w:space="0"/>
            </w:tcBorders>
            <w:vAlign w:val="center"/>
          </w:tcPr>
          <w:p>
            <w:pPr>
              <w:widowControl/>
              <w:tabs>
                <w:tab w:val="left" w:pos="492"/>
              </w:tabs>
              <w:spacing w:line="240" w:lineRule="atLeast"/>
              <w:jc w:val="left"/>
              <w:rPr>
                <w:rFonts w:hint="eastAsia" w:ascii="仿宋_GB2312" w:hAnsi="Arial" w:cs="Arial"/>
                <w:color w:val="000000" w:themeColor="text1"/>
                <w:w w:val="80"/>
                <w:kern w:val="0"/>
                <w:sz w:val="15"/>
                <w:szCs w:val="13"/>
              </w:rPr>
            </w:pPr>
            <w:r>
              <w:rPr>
                <w:rFonts w:hint="eastAsia" w:ascii="仿宋_GB2312" w:hAnsi="Arial" w:cs="Arial"/>
                <w:color w:val="000000" w:themeColor="text1"/>
                <w:kern w:val="0"/>
                <w:sz w:val="13"/>
                <w:szCs w:val="13"/>
              </w:rPr>
              <w:t>一、《民用爆炸物品安全管理条例》（国务院令第466号  2006年9月1日施行）第二十四条　销售民用爆炸物品的企业，应当自民用爆炸物品买卖成交之日起3日内，将销售的品种、数量和购买单位向所在地省、自治区、直辖市人民政府国防科技工业主管部门和所在地县级人民政府公安机关备案。购买民用爆炸物品的单位，应当自民用爆炸物品买卖成交之日起3日内，将购买的品种、数量向所在地县级人民政府公安机关备案。                                                                                                                                                二、《河北省民用爆炸物品安全管理实施办法》（河北省人民政府令[2008]第4号）第十九条 ...民用爆炸物品销售企业持《民用爆炸物品销售许可证》到工商行政管理部门办理工商登记后，方可销售民用爆炸物品。民用爆炸物品销售企业应当在办理工商登记后3日内，向所在地县级人民政府公安机关备案。第二十二条 销售民用爆炸物品和硝酸铵的企业，应当自民用爆炸物品买卖成交之日起3日内，将销售的品种、数量、购买单位向省国防科技工业主管部门和所在地县级人民政府公安机关备案。第二十三条 ...购买民用爆炸物品的单位，应当自民用爆炸物品买卖成交之日起3日内，将购买的品种、数量向所在地县级人民政府公安机关备案。</w:t>
            </w:r>
          </w:p>
        </w:tc>
        <w:tc>
          <w:tcPr>
            <w:tcW w:w="1786" w:type="dxa"/>
            <w:gridSpan w:val="3"/>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hint="eastAsia" w:ascii="仿宋_GB2312" w:hAnsi="Arial" w:cs="Arial"/>
                <w:color w:val="000000" w:themeColor="text1"/>
                <w:kern w:val="0"/>
                <w:sz w:val="13"/>
                <w:szCs w:val="13"/>
              </w:rPr>
            </w:pPr>
            <w:r>
              <w:rPr>
                <w:rFonts w:hint="eastAsia" w:ascii="仿宋_GB2312" w:hAnsi="Arial" w:cs="Arial"/>
                <w:color w:val="000000" w:themeColor="text1"/>
                <w:kern w:val="0"/>
                <w:sz w:val="13"/>
                <w:szCs w:val="13"/>
              </w:rPr>
              <w:t>1、受理责任： 公示依法应当提交的材料；一次性告知补正材料；依法受理或不予受理（不予受理的告知理由）。</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2、审查责任：对申报信息进行审核，对纸质申报材料与电子信息进行比对，提出初审意见。</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3、决定责任：作出行政许可或者不予行政许可的决定（不予许可的告知理由）；按时办结；法定告知。</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4、送达责任：制发审核证明；信息公开。</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5.事后监管责任：开展后续监督管理。</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6.其他法律法规规章文件规定应履行的责任。</w:t>
            </w:r>
          </w:p>
        </w:tc>
        <w:tc>
          <w:tcPr>
            <w:tcW w:w="1627" w:type="dxa"/>
            <w:gridSpan w:val="3"/>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hint="eastAsia"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因不履行或不正确履行行政职责，有下列情形的，公安机关及相关工作人员应承担相应责任：</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1、对符合条件的申请不予受理的；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2、未依法说明不受理申请或者不予行政许可理由的；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3、依法应当公开事项和申请所需材料而不公开的；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4、无法定依据实施行或者超越法定权限作出行政权力决定的；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5、超过法定期限或者违反法定程序实施行政权力的；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6、行政权力实施后续监管不到位，造成严重后果的；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7、一年内受到二次以上投诉，且投诉属实，情节严重、影响恶劣的；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8、在实施行政权力、实施监督检查中索取或者收受他人财物或者谋取其他利益的；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9、其他违反法律法规规章文件规定的行为</w:t>
            </w:r>
          </w:p>
        </w:tc>
        <w:tc>
          <w:tcPr>
            <w:tcW w:w="1222" w:type="dxa"/>
            <w:gridSpan w:val="3"/>
            <w:tcBorders>
              <w:top w:val="single" w:color="auto" w:sz="4" w:space="0"/>
              <w:left w:val="nil"/>
              <w:bottom w:val="single" w:color="auto" w:sz="4" w:space="0"/>
              <w:right w:val="nil"/>
            </w:tcBorders>
          </w:tcPr>
          <w:p>
            <w:pPr>
              <w:spacing w:line="240" w:lineRule="exact"/>
              <w:textAlignment w:val="center"/>
              <w:rPr>
                <w:sz w:val="20"/>
                <w:szCs w:val="20"/>
              </w:rPr>
            </w:pPr>
          </w:p>
        </w:tc>
        <w:tc>
          <w:tcPr>
            <w:tcW w:w="236" w:type="dxa"/>
            <w:tcBorders>
              <w:top w:val="single" w:color="auto" w:sz="4" w:space="0"/>
              <w:left w:val="nil"/>
              <w:bottom w:val="single" w:color="auto" w:sz="4" w:space="0"/>
              <w:right w:val="single" w:color="auto" w:sz="4" w:space="0"/>
            </w:tcBorders>
            <w:vAlign w:val="center"/>
          </w:tcPr>
          <w:p>
            <w:pPr>
              <w:spacing w:line="240" w:lineRule="exact"/>
              <w:textAlignment w:val="center"/>
              <w:rP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7" w:type="dxa"/>
          <w:trHeight w:val="7361" w:hRule="atLeast"/>
        </w:trPr>
        <w:tc>
          <w:tcPr>
            <w:tcW w:w="4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hint="default"/>
                <w:sz w:val="20"/>
                <w:szCs w:val="20"/>
                <w:lang w:val="en-US" w:eastAsia="zh-CN"/>
              </w:rPr>
            </w:pPr>
            <w:r>
              <w:rPr>
                <w:rFonts w:hint="eastAsia"/>
                <w:sz w:val="20"/>
                <w:szCs w:val="20"/>
                <w:lang w:val="en-US" w:eastAsia="zh-CN"/>
              </w:rPr>
              <w:t>77</w:t>
            </w:r>
          </w:p>
        </w:tc>
        <w:tc>
          <w:tcPr>
            <w:tcW w:w="589" w:type="dxa"/>
            <w:tcBorders>
              <w:top w:val="single" w:color="auto" w:sz="4" w:space="0"/>
              <w:left w:val="nil"/>
              <w:bottom w:val="single" w:color="auto" w:sz="4" w:space="0"/>
              <w:right w:val="single" w:color="auto" w:sz="4" w:space="0"/>
            </w:tcBorders>
            <w:vAlign w:val="center"/>
          </w:tcPr>
          <w:p>
            <w:pPr>
              <w:spacing w:line="240" w:lineRule="exact"/>
              <w:jc w:val="center"/>
              <w:textAlignment w:val="center"/>
              <w:rPr>
                <w:rFonts w:hint="eastAsia"/>
                <w:sz w:val="20"/>
                <w:szCs w:val="20"/>
              </w:rPr>
            </w:pPr>
            <w:r>
              <w:rPr>
                <w:rFonts w:hint="eastAsia"/>
                <w:sz w:val="20"/>
                <w:szCs w:val="20"/>
                <w:lang w:eastAsia="zh-CN"/>
              </w:rPr>
              <w:t>行政备案</w:t>
            </w:r>
          </w:p>
        </w:tc>
        <w:tc>
          <w:tcPr>
            <w:tcW w:w="1189" w:type="dxa"/>
            <w:gridSpan w:val="2"/>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hint="eastAsia" w:ascii="仿宋_GB2312" w:hAnsi="Arial" w:cs="Arial"/>
                <w:color w:val="000000" w:themeColor="text1"/>
                <w:kern w:val="0"/>
                <w:sz w:val="13"/>
                <w:szCs w:val="13"/>
              </w:rPr>
            </w:pPr>
            <w:r>
              <w:rPr>
                <w:rFonts w:hint="eastAsia" w:ascii="仿宋_GB2312" w:hAnsi="Arial" w:cs="Arial"/>
                <w:color w:val="000000" w:themeColor="text1"/>
                <w:kern w:val="0"/>
                <w:sz w:val="13"/>
                <w:szCs w:val="13"/>
              </w:rPr>
              <w:t>民用爆炸物品生产企业备案</w:t>
            </w:r>
          </w:p>
        </w:tc>
        <w:tc>
          <w:tcPr>
            <w:tcW w:w="1212" w:type="dxa"/>
            <w:gridSpan w:val="4"/>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hint="eastAsia"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w:t>
            </w:r>
            <w:r>
              <w:rPr>
                <w:rFonts w:hint="eastAsia" w:ascii="仿宋_GB2312" w:hAnsi="Arial" w:cs="Arial"/>
                <w:color w:val="000000" w:themeColor="text1"/>
                <w:kern w:val="0"/>
                <w:sz w:val="13"/>
                <w:szCs w:val="13"/>
                <w:lang w:eastAsia="zh-CN"/>
              </w:rPr>
              <w:t>治安管理大队</w:t>
            </w:r>
          </w:p>
        </w:tc>
        <w:tc>
          <w:tcPr>
            <w:tcW w:w="5069" w:type="dxa"/>
            <w:gridSpan w:val="7"/>
            <w:tcBorders>
              <w:top w:val="single" w:color="auto" w:sz="4" w:space="0"/>
              <w:left w:val="nil"/>
              <w:bottom w:val="single" w:color="auto" w:sz="4" w:space="0"/>
              <w:right w:val="single" w:color="auto" w:sz="4" w:space="0"/>
            </w:tcBorders>
            <w:vAlign w:val="center"/>
          </w:tcPr>
          <w:p>
            <w:pPr>
              <w:widowControl/>
              <w:tabs>
                <w:tab w:val="left" w:pos="492"/>
              </w:tabs>
              <w:spacing w:line="240" w:lineRule="atLeast"/>
              <w:jc w:val="left"/>
              <w:rPr>
                <w:rFonts w:hint="eastAsia" w:ascii="仿宋_GB2312" w:hAnsi="Arial" w:cs="Arial"/>
                <w:color w:val="000000" w:themeColor="text1"/>
                <w:kern w:val="0"/>
                <w:sz w:val="13"/>
                <w:szCs w:val="13"/>
              </w:rPr>
            </w:pPr>
            <w:r>
              <w:rPr>
                <w:rFonts w:hint="eastAsia" w:ascii="仿宋_GB2312" w:hAnsi="Arial" w:cs="Arial"/>
                <w:color w:val="000000" w:themeColor="text1"/>
                <w:kern w:val="0"/>
                <w:sz w:val="13"/>
                <w:szCs w:val="13"/>
              </w:rPr>
              <w:t>一、《民用爆炸物品安全管理条例》（国务院令第466号）第十三条 ...民用爆炸物品生产企业应当在办理工商登记后3日内，向所在地县级人民政府公安机关备案；                                          二、《河北省民用爆炸物品安全管理实施办法》（河北省人民政府令〔2008〕第4号）第十条　民用爆炸物品生产企业持经国务院国防科技工业主管部门批准并标注安全生产许可的《民用爆炸物品生产许可证》，到工商行政管理部门办理工商登记后，方可生产、销售民用爆炸物品。民用爆炸物品生产企业应当在办理工商登记后3日内，向所在地县级人民政府公安机关备案。</w:t>
            </w:r>
          </w:p>
        </w:tc>
        <w:tc>
          <w:tcPr>
            <w:tcW w:w="1786" w:type="dxa"/>
            <w:gridSpan w:val="3"/>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hint="eastAsia" w:ascii="仿宋_GB2312" w:hAnsi="Arial" w:cs="Arial"/>
                <w:color w:val="000000" w:themeColor="text1"/>
                <w:kern w:val="0"/>
                <w:sz w:val="13"/>
                <w:szCs w:val="13"/>
              </w:rPr>
            </w:pPr>
            <w:r>
              <w:rPr>
                <w:rFonts w:hint="eastAsia" w:ascii="仿宋_GB2312" w:hAnsi="Arial" w:cs="Arial"/>
                <w:color w:val="000000" w:themeColor="text1"/>
                <w:kern w:val="0"/>
                <w:sz w:val="13"/>
                <w:szCs w:val="13"/>
              </w:rPr>
              <w:t>1、受理责任： 公示依法应当提交的材料；一次性告知补正材料；依法受理或不予受理（不予受理的告知理由）。</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2、审查责任：对申报信息进行审核，对纸质申报材料与电子信息进行比对，提出初审意见。</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3、决定责任：作出行政许可或者不予行政许可的决定（不予许可的告知理由）；按时办结；法定告知。</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4、送达责任：制发审核证明；信息公开。</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5.事后监管责任：开展后续监督管理。</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6.其他法律法规规章文件规定应履行的责任。</w:t>
            </w:r>
          </w:p>
        </w:tc>
        <w:tc>
          <w:tcPr>
            <w:tcW w:w="1627" w:type="dxa"/>
            <w:gridSpan w:val="3"/>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hint="eastAsia"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因不履行或不正确履行行政职责，有下列情形的，公安机关及相关工作人员应承担相应责任：</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1、对符合条件的申请不予受理的；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2、未依法说明不受理申请或者不予行政许可理由的；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3、依法应当公开事项和申请所需材料而不公开的；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4、无法定依据实施行或者超越法定权限作出行政权力决定的；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5、超过法定期限或者违反法定程序实施行政权力的；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6、行政权力实施后续监管不到位，造成严重后果的；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7、一年内受到二次以上投诉，且投诉属实，情节严重、影响恶劣的；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8、在实施行政权力、实施监督检查中索取或者收受他人财物或者谋取其他利益的；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9、其他违反法律法规规章文件规定的行为</w:t>
            </w:r>
          </w:p>
        </w:tc>
        <w:tc>
          <w:tcPr>
            <w:tcW w:w="1222" w:type="dxa"/>
            <w:gridSpan w:val="3"/>
            <w:tcBorders>
              <w:top w:val="single" w:color="auto" w:sz="4" w:space="0"/>
              <w:left w:val="nil"/>
              <w:bottom w:val="single" w:color="auto" w:sz="4" w:space="0"/>
              <w:right w:val="nil"/>
            </w:tcBorders>
          </w:tcPr>
          <w:p>
            <w:pPr>
              <w:spacing w:line="240" w:lineRule="exact"/>
              <w:textAlignment w:val="center"/>
              <w:rPr>
                <w:sz w:val="20"/>
                <w:szCs w:val="20"/>
              </w:rPr>
            </w:pPr>
          </w:p>
        </w:tc>
        <w:tc>
          <w:tcPr>
            <w:tcW w:w="236" w:type="dxa"/>
            <w:tcBorders>
              <w:top w:val="single" w:color="auto" w:sz="4" w:space="0"/>
              <w:left w:val="nil"/>
              <w:bottom w:val="single" w:color="auto" w:sz="4" w:space="0"/>
              <w:right w:val="single" w:color="auto" w:sz="4" w:space="0"/>
            </w:tcBorders>
            <w:vAlign w:val="center"/>
          </w:tcPr>
          <w:p>
            <w:pPr>
              <w:spacing w:line="240" w:lineRule="exact"/>
              <w:textAlignment w:val="center"/>
              <w:rP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7" w:type="dxa"/>
          <w:trHeight w:val="7361" w:hRule="atLeast"/>
        </w:trPr>
        <w:tc>
          <w:tcPr>
            <w:tcW w:w="4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hint="default"/>
                <w:sz w:val="20"/>
                <w:szCs w:val="20"/>
                <w:lang w:val="en-US" w:eastAsia="zh-CN"/>
              </w:rPr>
            </w:pPr>
            <w:r>
              <w:rPr>
                <w:rFonts w:hint="eastAsia"/>
                <w:sz w:val="20"/>
                <w:szCs w:val="20"/>
                <w:lang w:val="en-US" w:eastAsia="zh-CN"/>
              </w:rPr>
              <w:t>78</w:t>
            </w:r>
          </w:p>
        </w:tc>
        <w:tc>
          <w:tcPr>
            <w:tcW w:w="589" w:type="dxa"/>
            <w:tcBorders>
              <w:top w:val="single" w:color="auto" w:sz="4" w:space="0"/>
              <w:left w:val="nil"/>
              <w:bottom w:val="single" w:color="auto" w:sz="4" w:space="0"/>
              <w:right w:val="single" w:color="auto" w:sz="4" w:space="0"/>
            </w:tcBorders>
            <w:vAlign w:val="center"/>
          </w:tcPr>
          <w:p>
            <w:pPr>
              <w:spacing w:line="240" w:lineRule="exact"/>
              <w:jc w:val="center"/>
              <w:textAlignment w:val="center"/>
              <w:rPr>
                <w:rFonts w:hint="eastAsia"/>
                <w:sz w:val="20"/>
                <w:szCs w:val="20"/>
              </w:rPr>
            </w:pPr>
            <w:r>
              <w:rPr>
                <w:rFonts w:hint="eastAsia"/>
                <w:sz w:val="20"/>
                <w:szCs w:val="20"/>
                <w:lang w:eastAsia="zh-CN"/>
              </w:rPr>
              <w:t>行政备案</w:t>
            </w:r>
          </w:p>
        </w:tc>
        <w:tc>
          <w:tcPr>
            <w:tcW w:w="1189" w:type="dxa"/>
            <w:gridSpan w:val="2"/>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hint="eastAsia" w:ascii="仿宋_GB2312" w:hAnsi="Arial" w:cs="Arial"/>
                <w:color w:val="000000" w:themeColor="text1"/>
                <w:kern w:val="0"/>
                <w:sz w:val="13"/>
                <w:szCs w:val="13"/>
              </w:rPr>
            </w:pPr>
            <w:r>
              <w:rPr>
                <w:rFonts w:hint="eastAsia" w:ascii="仿宋_GB2312" w:hAnsi="Arial" w:cs="Arial"/>
                <w:color w:val="000000" w:themeColor="text1"/>
                <w:kern w:val="0"/>
                <w:sz w:val="13"/>
                <w:szCs w:val="13"/>
              </w:rPr>
              <w:t>易制爆危险化学品从业单位转产、停产停业后生产装置、储存设施、库存处置方案备案</w:t>
            </w:r>
          </w:p>
        </w:tc>
        <w:tc>
          <w:tcPr>
            <w:tcW w:w="1212" w:type="dxa"/>
            <w:gridSpan w:val="4"/>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hint="eastAsia"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w:t>
            </w:r>
            <w:r>
              <w:rPr>
                <w:rFonts w:hint="eastAsia" w:ascii="仿宋_GB2312" w:hAnsi="Arial" w:cs="Arial"/>
                <w:color w:val="000000" w:themeColor="text1"/>
                <w:kern w:val="0"/>
                <w:sz w:val="13"/>
                <w:szCs w:val="13"/>
                <w:lang w:eastAsia="zh-CN"/>
              </w:rPr>
              <w:t>治安管理大队</w:t>
            </w:r>
          </w:p>
        </w:tc>
        <w:tc>
          <w:tcPr>
            <w:tcW w:w="5069" w:type="dxa"/>
            <w:gridSpan w:val="7"/>
            <w:tcBorders>
              <w:top w:val="single" w:color="auto" w:sz="4" w:space="0"/>
              <w:left w:val="nil"/>
              <w:bottom w:val="single" w:color="auto" w:sz="4" w:space="0"/>
              <w:right w:val="single" w:color="auto" w:sz="4" w:space="0"/>
            </w:tcBorders>
            <w:vAlign w:val="center"/>
          </w:tcPr>
          <w:p>
            <w:pPr>
              <w:widowControl/>
              <w:tabs>
                <w:tab w:val="left" w:pos="492"/>
              </w:tabs>
              <w:spacing w:line="240" w:lineRule="atLeast"/>
              <w:jc w:val="left"/>
              <w:rPr>
                <w:rFonts w:hint="eastAsia" w:ascii="仿宋_GB2312" w:hAnsi="Arial" w:cs="Arial"/>
                <w:color w:val="000000" w:themeColor="text1"/>
                <w:kern w:val="0"/>
                <w:sz w:val="13"/>
                <w:szCs w:val="13"/>
              </w:rPr>
            </w:pPr>
            <w:r>
              <w:rPr>
                <w:rFonts w:hint="eastAsia" w:ascii="仿宋_GB2312" w:hAnsi="Arial" w:cs="Arial"/>
                <w:color w:val="000000" w:themeColor="text1"/>
                <w:kern w:val="0"/>
                <w:sz w:val="13"/>
                <w:szCs w:val="13"/>
              </w:rPr>
              <w:t>《易制爆危险化学品治安管理办法》（中华人民共和国公安部令第154号）第十七条　易制爆危险化学品从业单位转产、停产、停业或者解散的，应当将生产装置、储存设施以及库存易制爆危险化学品的处置方案报主管部门和所在地县级公安机关备案。</w:t>
            </w:r>
          </w:p>
        </w:tc>
        <w:tc>
          <w:tcPr>
            <w:tcW w:w="1786" w:type="dxa"/>
            <w:gridSpan w:val="3"/>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hint="eastAsia" w:ascii="仿宋_GB2312" w:hAnsi="Arial" w:cs="Arial"/>
                <w:color w:val="000000" w:themeColor="text1"/>
                <w:kern w:val="0"/>
                <w:sz w:val="13"/>
                <w:szCs w:val="13"/>
              </w:rPr>
            </w:pPr>
            <w:r>
              <w:rPr>
                <w:rFonts w:hint="eastAsia" w:ascii="仿宋_GB2312" w:hAnsi="Arial" w:cs="Arial"/>
                <w:color w:val="000000" w:themeColor="text1"/>
                <w:kern w:val="0"/>
                <w:sz w:val="13"/>
                <w:szCs w:val="13"/>
              </w:rPr>
              <w:t>1、受理责任： 公示依法应当提交的材料；一次性告知补正材料；依法受理或不予受理（不予受理的告知理由）。</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2、审查责任：对申报信息进行审核，对纸质申报材料与电子信息进行比对，提出初审意见。</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3、决定责任：作出行政许可或者不予行政许可的决定（不予许可的告知理由）；按时办结；法定告知。</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4、送达责任：制发审核证明；信息公开。</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5.事后监管责任：开展后续监督管理。</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6.其他法律法规规章文件规定应履行的责任。</w:t>
            </w:r>
          </w:p>
        </w:tc>
        <w:tc>
          <w:tcPr>
            <w:tcW w:w="1627" w:type="dxa"/>
            <w:gridSpan w:val="3"/>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hint="eastAsia"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因不履行或不正确履行行政职责，有下列情形的，公安机关及相关工作人员应承担相应责任：</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1、对符合条件的申请不予受理的；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2、未依法说明不受理申请或者不予行政许可理由的；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3、依法应当公开事项和申请所需材料而不公开的；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4、无法定依据实施行或者超越法定权限作出行政权力决定的；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5、超过法定期限或者违反法定程序实施行政权力的；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6、行政权力实施后续监管不到位，造成严重后果的；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7、一年内受到二次以上投诉，且投诉属实，情节严重、影响恶劣的；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8、在实施行政权力、实施监督检查中索取或者收受他人财物或者谋取其他利益的；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9、其他违反法律法规规章文件规定的行为</w:t>
            </w:r>
          </w:p>
        </w:tc>
        <w:tc>
          <w:tcPr>
            <w:tcW w:w="1222" w:type="dxa"/>
            <w:gridSpan w:val="3"/>
            <w:tcBorders>
              <w:top w:val="single" w:color="auto" w:sz="4" w:space="0"/>
              <w:left w:val="nil"/>
              <w:bottom w:val="single" w:color="auto" w:sz="4" w:space="0"/>
              <w:right w:val="nil"/>
            </w:tcBorders>
          </w:tcPr>
          <w:p>
            <w:pPr>
              <w:spacing w:line="240" w:lineRule="exact"/>
              <w:textAlignment w:val="center"/>
              <w:rPr>
                <w:sz w:val="20"/>
                <w:szCs w:val="20"/>
              </w:rPr>
            </w:pPr>
          </w:p>
        </w:tc>
        <w:tc>
          <w:tcPr>
            <w:tcW w:w="236" w:type="dxa"/>
            <w:tcBorders>
              <w:top w:val="single" w:color="auto" w:sz="4" w:space="0"/>
              <w:left w:val="nil"/>
              <w:bottom w:val="single" w:color="auto" w:sz="4" w:space="0"/>
              <w:right w:val="single" w:color="auto" w:sz="4" w:space="0"/>
            </w:tcBorders>
            <w:vAlign w:val="center"/>
          </w:tcPr>
          <w:p>
            <w:pPr>
              <w:spacing w:line="240" w:lineRule="exact"/>
              <w:textAlignment w:val="center"/>
              <w:rP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7" w:type="dxa"/>
          <w:trHeight w:val="7361" w:hRule="atLeast"/>
        </w:trPr>
        <w:tc>
          <w:tcPr>
            <w:tcW w:w="4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hint="default"/>
                <w:sz w:val="20"/>
                <w:szCs w:val="20"/>
                <w:lang w:val="en-US" w:eastAsia="zh-CN"/>
              </w:rPr>
            </w:pPr>
            <w:r>
              <w:rPr>
                <w:rFonts w:hint="eastAsia"/>
                <w:sz w:val="20"/>
                <w:szCs w:val="20"/>
                <w:lang w:val="en-US" w:eastAsia="zh-CN"/>
              </w:rPr>
              <w:t>79</w:t>
            </w:r>
          </w:p>
        </w:tc>
        <w:tc>
          <w:tcPr>
            <w:tcW w:w="589" w:type="dxa"/>
            <w:tcBorders>
              <w:top w:val="single" w:color="auto" w:sz="4" w:space="0"/>
              <w:left w:val="nil"/>
              <w:bottom w:val="single" w:color="auto" w:sz="4" w:space="0"/>
              <w:right w:val="single" w:color="auto" w:sz="4" w:space="0"/>
            </w:tcBorders>
            <w:vAlign w:val="center"/>
          </w:tcPr>
          <w:p>
            <w:pPr>
              <w:spacing w:line="240" w:lineRule="exact"/>
              <w:jc w:val="center"/>
              <w:textAlignment w:val="center"/>
              <w:rPr>
                <w:rFonts w:hint="eastAsia"/>
                <w:sz w:val="20"/>
                <w:szCs w:val="20"/>
              </w:rPr>
            </w:pPr>
            <w:r>
              <w:rPr>
                <w:rFonts w:hint="eastAsia"/>
                <w:sz w:val="20"/>
                <w:szCs w:val="20"/>
                <w:lang w:eastAsia="zh-CN"/>
              </w:rPr>
              <w:t>行政备案</w:t>
            </w:r>
          </w:p>
        </w:tc>
        <w:tc>
          <w:tcPr>
            <w:tcW w:w="1189" w:type="dxa"/>
            <w:gridSpan w:val="2"/>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hint="eastAsia" w:ascii="仿宋_GB2312" w:hAnsi="Arial" w:cs="Arial"/>
                <w:color w:val="000000" w:themeColor="text1"/>
                <w:kern w:val="0"/>
                <w:sz w:val="13"/>
                <w:szCs w:val="13"/>
              </w:rPr>
            </w:pPr>
            <w:r>
              <w:rPr>
                <w:rFonts w:hint="eastAsia" w:ascii="仿宋_GB2312" w:hAnsi="Arial" w:cs="Arial"/>
                <w:color w:val="000000" w:themeColor="text1"/>
                <w:kern w:val="0"/>
                <w:sz w:val="13"/>
                <w:szCs w:val="13"/>
              </w:rPr>
              <w:t>易制爆危险化学品从业单位治安保卫机构和人员备案</w:t>
            </w:r>
          </w:p>
        </w:tc>
        <w:tc>
          <w:tcPr>
            <w:tcW w:w="1212" w:type="dxa"/>
            <w:gridSpan w:val="4"/>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hint="eastAsia"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w:t>
            </w:r>
            <w:r>
              <w:rPr>
                <w:rFonts w:hint="eastAsia" w:ascii="仿宋_GB2312" w:hAnsi="Arial" w:cs="Arial"/>
                <w:color w:val="000000" w:themeColor="text1"/>
                <w:kern w:val="0"/>
                <w:sz w:val="13"/>
                <w:szCs w:val="13"/>
                <w:lang w:eastAsia="zh-CN"/>
              </w:rPr>
              <w:t>治安管理大队</w:t>
            </w:r>
          </w:p>
        </w:tc>
        <w:tc>
          <w:tcPr>
            <w:tcW w:w="5069" w:type="dxa"/>
            <w:gridSpan w:val="7"/>
            <w:tcBorders>
              <w:top w:val="single" w:color="auto" w:sz="4" w:space="0"/>
              <w:left w:val="nil"/>
              <w:bottom w:val="single" w:color="auto" w:sz="4" w:space="0"/>
              <w:right w:val="single" w:color="auto" w:sz="4" w:space="0"/>
            </w:tcBorders>
            <w:vAlign w:val="center"/>
          </w:tcPr>
          <w:p>
            <w:pPr>
              <w:widowControl/>
              <w:tabs>
                <w:tab w:val="left" w:pos="492"/>
              </w:tabs>
              <w:spacing w:line="240" w:lineRule="atLeast"/>
              <w:jc w:val="left"/>
              <w:rPr>
                <w:rFonts w:hint="eastAsia" w:ascii="仿宋_GB2312" w:hAnsi="Arial" w:cs="Arial"/>
                <w:color w:val="000000" w:themeColor="text1"/>
                <w:kern w:val="0"/>
                <w:sz w:val="13"/>
                <w:szCs w:val="13"/>
              </w:rPr>
            </w:pPr>
            <w:r>
              <w:rPr>
                <w:rFonts w:hint="eastAsia" w:ascii="仿宋_GB2312" w:hAnsi="Arial" w:cs="Arial"/>
                <w:color w:val="000000" w:themeColor="text1"/>
                <w:kern w:val="0"/>
                <w:sz w:val="13"/>
                <w:szCs w:val="13"/>
              </w:rPr>
              <w:t>《易制爆危险化学品治安管理办法》（中华人民共和国公安部令第154号）第二十五条　易制爆危险化学品从业单位应当设置治安保卫机构，建立健全治安保卫制度，配备专职治安保卫人员负责易制爆危险化学品治安保卫工作，并将治安保卫机构的设置和人员的配备情况报所在地县级公安机关备案。治安保卫人员应当符合国家有关标准和规范要求，经培训后上岗。</w:t>
            </w:r>
          </w:p>
        </w:tc>
        <w:tc>
          <w:tcPr>
            <w:tcW w:w="1786" w:type="dxa"/>
            <w:gridSpan w:val="3"/>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hint="eastAsia" w:ascii="仿宋_GB2312" w:hAnsi="Arial" w:cs="Arial"/>
                <w:color w:val="000000" w:themeColor="text1"/>
                <w:kern w:val="0"/>
                <w:sz w:val="13"/>
                <w:szCs w:val="13"/>
              </w:rPr>
            </w:pPr>
            <w:r>
              <w:rPr>
                <w:rFonts w:hint="eastAsia" w:ascii="仿宋_GB2312" w:hAnsi="Arial" w:cs="Arial"/>
                <w:color w:val="000000" w:themeColor="text1"/>
                <w:kern w:val="0"/>
                <w:sz w:val="13"/>
                <w:szCs w:val="13"/>
              </w:rPr>
              <w:t>1、受理责任： 公示依法应当提交的材料；一次性告知补正材料；依法受理或不予受理（不予受理的告知理由）。</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2、审查责任：对申报信息进行审核，对纸质申报材料与电子信息进行比对，提出初审意见。</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3、决定责任：作出行政许可或者不予行政许可的决定（不予许可的告知理由）；按时办结；法定告知。</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4、送达责任：制发审核证明；信息公开。</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5.事后监管责任：开展后续监督管理。</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6.其他法律法规规章文件规定应履行的责任。</w:t>
            </w:r>
          </w:p>
        </w:tc>
        <w:tc>
          <w:tcPr>
            <w:tcW w:w="1627" w:type="dxa"/>
            <w:gridSpan w:val="3"/>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hint="eastAsia"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因不履行或不正确履行行政职责，有下列情形的，公安机关及相关工作人员应承担相应责任：</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1、对符合条件的申请不予受理的；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2、未依法说明不受理申请或者不予行政许可理由的；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3、依法应当公开事项和申请所需材料而不公开的；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4、无法定依据实施行或者超越法定权限作出行政权力决定的；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5、超过法定期限或者违反法定程序实施行政权力的；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6、行政权力实施后续监管不到位，造成严重后果的；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7、一年内受到二次以上投诉，且投诉属实，情节严重、影响恶劣的；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8、在实施行政权力、实施监督检查中索取或者收受他人财物或者谋取其他利益的；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9、其他违反法律法规规章文件规定的行为</w:t>
            </w:r>
          </w:p>
        </w:tc>
        <w:tc>
          <w:tcPr>
            <w:tcW w:w="1222" w:type="dxa"/>
            <w:gridSpan w:val="3"/>
            <w:tcBorders>
              <w:top w:val="single" w:color="auto" w:sz="4" w:space="0"/>
              <w:left w:val="nil"/>
              <w:bottom w:val="single" w:color="auto" w:sz="4" w:space="0"/>
              <w:right w:val="nil"/>
            </w:tcBorders>
          </w:tcPr>
          <w:p>
            <w:pPr>
              <w:spacing w:line="240" w:lineRule="exact"/>
              <w:textAlignment w:val="center"/>
              <w:rPr>
                <w:sz w:val="20"/>
                <w:szCs w:val="20"/>
              </w:rPr>
            </w:pPr>
          </w:p>
        </w:tc>
        <w:tc>
          <w:tcPr>
            <w:tcW w:w="236" w:type="dxa"/>
            <w:tcBorders>
              <w:top w:val="single" w:color="auto" w:sz="4" w:space="0"/>
              <w:left w:val="nil"/>
              <w:bottom w:val="single" w:color="auto" w:sz="4" w:space="0"/>
              <w:right w:val="single" w:color="auto" w:sz="4" w:space="0"/>
            </w:tcBorders>
            <w:vAlign w:val="center"/>
          </w:tcPr>
          <w:p>
            <w:pPr>
              <w:spacing w:line="240" w:lineRule="exact"/>
              <w:textAlignment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7344" w:hRule="exact"/>
        </w:trPr>
        <w:tc>
          <w:tcPr>
            <w:tcW w:w="456" w:type="dxa"/>
            <w:tcBorders>
              <w:top w:val="single" w:color="auto" w:sz="4" w:space="0"/>
              <w:left w:val="single" w:color="auto" w:sz="4" w:space="0"/>
              <w:bottom w:val="single" w:color="auto" w:sz="4" w:space="0"/>
              <w:right w:val="single" w:color="auto" w:sz="4" w:space="0"/>
            </w:tcBorders>
            <w:vAlign w:val="center"/>
          </w:tcPr>
          <w:p>
            <w:pPr>
              <w:rPr>
                <w:rFonts w:hint="default" w:ascii="仿宋_GB2312" w:eastAsia="仿宋_GB2312"/>
                <w:sz w:val="15"/>
                <w:szCs w:val="15"/>
                <w:lang w:val="en-US" w:eastAsia="zh-CN"/>
              </w:rPr>
            </w:pPr>
            <w:r>
              <w:rPr>
                <w:rFonts w:hint="eastAsia" w:ascii="仿宋_GB2312"/>
                <w:sz w:val="15"/>
                <w:szCs w:val="15"/>
                <w:lang w:val="en-US" w:eastAsia="zh-CN"/>
              </w:rPr>
              <w:t>80</w:t>
            </w:r>
          </w:p>
        </w:tc>
        <w:tc>
          <w:tcPr>
            <w:tcW w:w="58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15"/>
                <w:szCs w:val="15"/>
                <w:lang w:eastAsia="zh-CN"/>
              </w:rPr>
            </w:pPr>
            <w:r>
              <w:rPr>
                <w:rFonts w:hint="eastAsia" w:ascii="仿宋_GB2312"/>
                <w:sz w:val="15"/>
                <w:szCs w:val="15"/>
              </w:rPr>
              <w:t>行政</w:t>
            </w:r>
            <w:r>
              <w:rPr>
                <w:rFonts w:hint="eastAsia" w:ascii="仿宋_GB2312"/>
                <w:sz w:val="15"/>
                <w:szCs w:val="15"/>
                <w:lang w:eastAsia="zh-CN"/>
              </w:rPr>
              <w:t>备案</w:t>
            </w:r>
          </w:p>
        </w:tc>
        <w:tc>
          <w:tcPr>
            <w:tcW w:w="1189"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sz w:val="15"/>
                <w:szCs w:val="15"/>
              </w:rPr>
            </w:pPr>
            <w:r>
              <w:rPr>
                <w:rFonts w:hint="eastAsia" w:ascii="仿宋_GB2312"/>
                <w:sz w:val="15"/>
                <w:szCs w:val="15"/>
              </w:rPr>
              <w:t>第二类、第三类易制毒化学品购买备案证明</w:t>
            </w:r>
          </w:p>
        </w:tc>
        <w:tc>
          <w:tcPr>
            <w:tcW w:w="965"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sz w:val="15"/>
                <w:szCs w:val="15"/>
              </w:rPr>
            </w:pPr>
            <w:r>
              <w:rPr>
                <w:rFonts w:hint="eastAsia" w:ascii="仿宋_GB2312"/>
                <w:sz w:val="15"/>
                <w:szCs w:val="15"/>
              </w:rPr>
              <w:t>唐山市公安局开平分局刑警大队</w:t>
            </w:r>
          </w:p>
        </w:tc>
        <w:tc>
          <w:tcPr>
            <w:tcW w:w="5065" w:type="dxa"/>
            <w:gridSpan w:val="8"/>
            <w:tcBorders>
              <w:top w:val="single" w:color="auto" w:sz="4" w:space="0"/>
              <w:left w:val="single" w:color="auto" w:sz="4" w:space="0"/>
              <w:bottom w:val="single" w:color="auto" w:sz="4" w:space="0"/>
              <w:right w:val="single" w:color="auto" w:sz="4" w:space="0"/>
            </w:tcBorders>
            <w:vAlign w:val="center"/>
          </w:tcPr>
          <w:p>
            <w:pPr>
              <w:rPr>
                <w:rFonts w:ascii="仿宋_GB2312"/>
                <w:sz w:val="15"/>
                <w:szCs w:val="15"/>
              </w:rPr>
            </w:pPr>
            <w:r>
              <w:rPr>
                <w:rFonts w:hint="eastAsia" w:ascii="仿宋_GB2312"/>
                <w:sz w:val="15"/>
                <w:szCs w:val="15"/>
              </w:rPr>
              <w:t>易制毒化学品管理条例（</w:t>
            </w:r>
            <w:r>
              <w:rPr>
                <w:rFonts w:ascii="仿宋_GB2312"/>
                <w:sz w:val="15"/>
                <w:szCs w:val="15"/>
              </w:rPr>
              <w:t>2018</w:t>
            </w:r>
            <w:r>
              <w:rPr>
                <w:rFonts w:hint="eastAsia" w:ascii="仿宋_GB2312"/>
                <w:sz w:val="15"/>
                <w:szCs w:val="15"/>
              </w:rPr>
              <w:t>年</w:t>
            </w:r>
            <w:r>
              <w:rPr>
                <w:rFonts w:ascii="仿宋_GB2312"/>
                <w:sz w:val="15"/>
                <w:szCs w:val="15"/>
              </w:rPr>
              <w:t>9</w:t>
            </w:r>
            <w:r>
              <w:rPr>
                <w:rFonts w:hint="eastAsia" w:ascii="仿宋_GB2312"/>
                <w:sz w:val="15"/>
                <w:szCs w:val="15"/>
              </w:rPr>
              <w:t>月</w:t>
            </w:r>
            <w:r>
              <w:rPr>
                <w:rFonts w:ascii="仿宋_GB2312"/>
                <w:sz w:val="15"/>
                <w:szCs w:val="15"/>
              </w:rPr>
              <w:t>18</w:t>
            </w:r>
            <w:r>
              <w:rPr>
                <w:rFonts w:hint="eastAsia" w:ascii="仿宋_GB2312"/>
                <w:sz w:val="15"/>
                <w:szCs w:val="15"/>
              </w:rPr>
              <w:t>日修正版）第十七条：购买第二类、第三类易制毒化学品的</w:t>
            </w:r>
            <w:r>
              <w:rPr>
                <w:rFonts w:ascii="仿宋_GB2312"/>
                <w:sz w:val="15"/>
                <w:szCs w:val="15"/>
              </w:rPr>
              <w:t>,</w:t>
            </w:r>
            <w:r>
              <w:rPr>
                <w:rFonts w:hint="eastAsia" w:ascii="仿宋_GB2312"/>
                <w:sz w:val="15"/>
                <w:szCs w:val="15"/>
              </w:rPr>
              <w:t>应当在购买前将所需购买的品种、数量</w:t>
            </w:r>
            <w:r>
              <w:rPr>
                <w:rFonts w:ascii="仿宋_GB2312"/>
                <w:sz w:val="15"/>
                <w:szCs w:val="15"/>
              </w:rPr>
              <w:t>,</w:t>
            </w:r>
            <w:r>
              <w:rPr>
                <w:rFonts w:hint="eastAsia" w:ascii="仿宋_GB2312"/>
                <w:sz w:val="15"/>
                <w:szCs w:val="15"/>
              </w:rPr>
              <w:t>向所在地的县级人民政府公安机关备案。</w:t>
            </w:r>
          </w:p>
        </w:tc>
        <w:tc>
          <w:tcPr>
            <w:tcW w:w="1294"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sz w:val="15"/>
                <w:szCs w:val="15"/>
              </w:rPr>
            </w:pPr>
            <w:r>
              <w:rPr>
                <w:rFonts w:hint="eastAsia" w:ascii="仿宋_GB2312"/>
                <w:sz w:val="15"/>
                <w:szCs w:val="15"/>
              </w:rPr>
              <w:t>1、受理责任：公示应当提交的材料，一次性告知补正材料，依法受理或不予受理（不予受理应当告知理由）。</w:t>
            </w:r>
          </w:p>
          <w:p>
            <w:pPr>
              <w:rPr>
                <w:rFonts w:ascii="仿宋_GB2312"/>
                <w:sz w:val="15"/>
                <w:szCs w:val="15"/>
              </w:rPr>
            </w:pPr>
            <w:r>
              <w:rPr>
                <w:rFonts w:hint="eastAsia" w:ascii="仿宋_GB2312"/>
                <w:sz w:val="15"/>
                <w:szCs w:val="15"/>
              </w:rPr>
              <w:t>2、决定责任；作出行政许可或者不予行政许可决定。</w:t>
            </w:r>
          </w:p>
          <w:p>
            <w:pPr>
              <w:rPr>
                <w:rFonts w:ascii="仿宋_GB2312"/>
                <w:sz w:val="15"/>
                <w:szCs w:val="15"/>
              </w:rPr>
            </w:pPr>
            <w:r>
              <w:rPr>
                <w:rFonts w:hint="eastAsia" w:ascii="仿宋_GB2312"/>
                <w:sz w:val="15"/>
                <w:szCs w:val="15"/>
              </w:rPr>
              <w:t>3、事后监管责任：建立实施监督检查的运行机制和管理制度，开展定期和不定期检查，依法采取相关处置措施。</w:t>
            </w:r>
          </w:p>
          <w:p>
            <w:pPr>
              <w:rPr>
                <w:rFonts w:ascii="仿宋_GB2312"/>
                <w:sz w:val="15"/>
                <w:szCs w:val="15"/>
              </w:rPr>
            </w:pPr>
            <w:r>
              <w:rPr>
                <w:rFonts w:hint="eastAsia" w:ascii="仿宋_GB2312"/>
                <w:sz w:val="15"/>
                <w:szCs w:val="15"/>
              </w:rPr>
              <w:t>4、其他法律法规规章文件规定应履行的责任。</w:t>
            </w:r>
          </w:p>
        </w:tc>
        <w:tc>
          <w:tcPr>
            <w:tcW w:w="2370"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sz w:val="15"/>
                <w:szCs w:val="15"/>
              </w:rPr>
            </w:pPr>
            <w:r>
              <w:rPr>
                <w:rFonts w:hint="eastAsia" w:ascii="仿宋_GB2312"/>
                <w:sz w:val="15"/>
                <w:szCs w:val="15"/>
              </w:rPr>
              <w:t>易制毒化学品行政主管部门工作人员在管理工作中有应当许可而不许可、不应当许可而滥许可，不依法受理备案，以及其他滥用职权、玩忽职守、徇私舞弊行为的，依法给予行政处分</w:t>
            </w:r>
            <w:r>
              <w:rPr>
                <w:rFonts w:ascii="仿宋_GB2312"/>
                <w:sz w:val="15"/>
                <w:szCs w:val="15"/>
              </w:rPr>
              <w:t>;</w:t>
            </w:r>
            <w:r>
              <w:rPr>
                <w:rFonts w:hint="eastAsia" w:ascii="仿宋_GB2312"/>
                <w:sz w:val="15"/>
                <w:szCs w:val="15"/>
              </w:rPr>
              <w:t>构成犯罪的，依法追究刑事责任。</w:t>
            </w:r>
          </w:p>
        </w:tc>
        <w:tc>
          <w:tcPr>
            <w:tcW w:w="1098" w:type="dxa"/>
            <w:gridSpan w:val="2"/>
            <w:tcBorders>
              <w:top w:val="single" w:color="auto" w:sz="4" w:space="0"/>
              <w:left w:val="single" w:color="auto" w:sz="4" w:space="0"/>
              <w:bottom w:val="single" w:color="auto" w:sz="4" w:space="0"/>
              <w:right w:val="single" w:color="auto" w:sz="4" w:space="0"/>
            </w:tcBorders>
          </w:tcPr>
          <w:p>
            <w:pPr>
              <w:rPr>
                <w:rFonts w:hint="eastAsia" w:ascii="仿宋_GB231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07" w:type="dxa"/>
          <w:trHeight w:val="8225" w:hRule="exact"/>
        </w:trPr>
        <w:tc>
          <w:tcPr>
            <w:tcW w:w="456" w:type="dxa"/>
            <w:tcBorders>
              <w:top w:val="single" w:color="auto" w:sz="4" w:space="0"/>
              <w:left w:val="single" w:color="auto" w:sz="4" w:space="0"/>
              <w:bottom w:val="single" w:color="auto" w:sz="4" w:space="0"/>
              <w:right w:val="single" w:color="auto" w:sz="4" w:space="0"/>
            </w:tcBorders>
            <w:vAlign w:val="center"/>
          </w:tcPr>
          <w:p>
            <w:pPr>
              <w:tabs>
                <w:tab w:val="left" w:pos="7937"/>
              </w:tabs>
              <w:spacing w:line="240" w:lineRule="exact"/>
              <w:jc w:val="center"/>
              <w:rPr>
                <w:rFonts w:hint="default" w:ascii="宋体" w:hAnsi="宋体" w:eastAsia="宋体"/>
                <w:sz w:val="18"/>
                <w:lang w:val="en-US" w:eastAsia="zh-CN"/>
              </w:rPr>
            </w:pPr>
            <w:r>
              <w:rPr>
                <w:rFonts w:hint="eastAsia" w:ascii="宋体" w:hAnsi="宋体" w:eastAsia="宋体"/>
                <w:sz w:val="18"/>
                <w:lang w:val="en-US" w:eastAsia="zh-CN"/>
              </w:rPr>
              <w:t>81</w:t>
            </w:r>
          </w:p>
        </w:tc>
        <w:tc>
          <w:tcPr>
            <w:tcW w:w="589" w:type="dxa"/>
            <w:tcBorders>
              <w:top w:val="single" w:color="auto" w:sz="4" w:space="0"/>
              <w:left w:val="single" w:color="auto" w:sz="4" w:space="0"/>
              <w:bottom w:val="single" w:color="auto" w:sz="4" w:space="0"/>
              <w:right w:val="single" w:color="auto" w:sz="4" w:space="0"/>
            </w:tcBorders>
            <w:vAlign w:val="center"/>
          </w:tcPr>
          <w:p>
            <w:pPr>
              <w:tabs>
                <w:tab w:val="left" w:pos="7937"/>
              </w:tabs>
              <w:spacing w:line="240" w:lineRule="exact"/>
              <w:jc w:val="center"/>
              <w:rPr>
                <w:rFonts w:hint="eastAsia" w:ascii="宋体" w:hAnsi="宋体" w:eastAsia="宋体"/>
                <w:sz w:val="18"/>
                <w:lang w:eastAsia="zh-CN"/>
              </w:rPr>
            </w:pPr>
            <w:r>
              <w:rPr>
                <w:rFonts w:hint="eastAsia" w:ascii="宋体" w:hAnsi="宋体" w:eastAsia="宋体"/>
                <w:sz w:val="18"/>
              </w:rPr>
              <w:t>行政</w:t>
            </w:r>
            <w:r>
              <w:rPr>
                <w:rFonts w:hint="eastAsia" w:ascii="宋体" w:hAnsi="宋体" w:eastAsia="宋体"/>
                <w:sz w:val="18"/>
                <w:lang w:eastAsia="zh-CN"/>
              </w:rPr>
              <w:t>备案</w:t>
            </w:r>
          </w:p>
        </w:tc>
        <w:tc>
          <w:tcPr>
            <w:tcW w:w="1189" w:type="dxa"/>
            <w:gridSpan w:val="2"/>
            <w:tcBorders>
              <w:top w:val="single" w:color="auto" w:sz="4" w:space="0"/>
              <w:left w:val="single" w:color="auto" w:sz="4" w:space="0"/>
              <w:bottom w:val="single" w:color="auto" w:sz="4" w:space="0"/>
              <w:right w:val="single" w:color="auto" w:sz="4" w:space="0"/>
            </w:tcBorders>
            <w:vAlign w:val="center"/>
          </w:tcPr>
          <w:p>
            <w:pPr>
              <w:tabs>
                <w:tab w:val="left" w:pos="7937"/>
              </w:tabs>
              <w:spacing w:line="240" w:lineRule="exact"/>
              <w:jc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第三类易制毒化学品运输事前备案</w:t>
            </w:r>
          </w:p>
        </w:tc>
        <w:tc>
          <w:tcPr>
            <w:tcW w:w="965" w:type="dxa"/>
            <w:gridSpan w:val="2"/>
            <w:tcBorders>
              <w:top w:val="single" w:color="auto" w:sz="4" w:space="0"/>
              <w:left w:val="single" w:color="auto" w:sz="4" w:space="0"/>
              <w:bottom w:val="single" w:color="auto" w:sz="4" w:space="0"/>
              <w:right w:val="single" w:color="auto" w:sz="4" w:space="0"/>
            </w:tcBorders>
            <w:vAlign w:val="center"/>
          </w:tcPr>
          <w:p>
            <w:pPr>
              <w:tabs>
                <w:tab w:val="left" w:pos="7937"/>
              </w:tabs>
              <w:spacing w:line="240" w:lineRule="exact"/>
              <w:jc w:val="center"/>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唐山市公安局开平分局刑警大队</w:t>
            </w:r>
          </w:p>
        </w:tc>
        <w:tc>
          <w:tcPr>
            <w:tcW w:w="5065" w:type="dxa"/>
            <w:gridSpan w:val="8"/>
            <w:tcBorders>
              <w:top w:val="single" w:color="auto" w:sz="4" w:space="0"/>
              <w:left w:val="single" w:color="auto" w:sz="4" w:space="0"/>
              <w:bottom w:val="single" w:color="auto" w:sz="4" w:space="0"/>
              <w:right w:val="single" w:color="auto" w:sz="4" w:space="0"/>
            </w:tcBorders>
            <w:vAlign w:val="center"/>
          </w:tcPr>
          <w:p>
            <w:pPr>
              <w:tabs>
                <w:tab w:val="left" w:pos="7937"/>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易制毒化学品管理条例（</w:t>
            </w:r>
            <w:r>
              <w:rPr>
                <w:rFonts w:ascii="仿宋_GB2312" w:hAnsi="Arial" w:cs="Arial"/>
                <w:color w:val="000000" w:themeColor="text1"/>
                <w:kern w:val="0"/>
                <w:sz w:val="13"/>
                <w:szCs w:val="13"/>
              </w:rPr>
              <w:t>2018</w:t>
            </w:r>
            <w:r>
              <w:rPr>
                <w:rFonts w:hint="eastAsia" w:ascii="仿宋_GB2312" w:hAnsi="Arial" w:cs="Arial"/>
                <w:color w:val="000000" w:themeColor="text1"/>
                <w:kern w:val="0"/>
                <w:sz w:val="13"/>
                <w:szCs w:val="13"/>
              </w:rPr>
              <w:t>年</w:t>
            </w:r>
            <w:r>
              <w:rPr>
                <w:rFonts w:ascii="仿宋_GB2312" w:hAnsi="Arial" w:cs="Arial"/>
                <w:color w:val="000000" w:themeColor="text1"/>
                <w:kern w:val="0"/>
                <w:sz w:val="13"/>
                <w:szCs w:val="13"/>
              </w:rPr>
              <w:t>9</w:t>
            </w:r>
            <w:r>
              <w:rPr>
                <w:rFonts w:hint="eastAsia" w:ascii="仿宋_GB2312" w:hAnsi="Arial" w:cs="Arial"/>
                <w:color w:val="000000" w:themeColor="text1"/>
                <w:kern w:val="0"/>
                <w:sz w:val="13"/>
                <w:szCs w:val="13"/>
              </w:rPr>
              <w:t>月</w:t>
            </w:r>
            <w:r>
              <w:rPr>
                <w:rFonts w:ascii="仿宋_GB2312" w:hAnsi="Arial" w:cs="Arial"/>
                <w:color w:val="000000" w:themeColor="text1"/>
                <w:kern w:val="0"/>
                <w:sz w:val="13"/>
                <w:szCs w:val="13"/>
              </w:rPr>
              <w:t>18</w:t>
            </w:r>
            <w:r>
              <w:rPr>
                <w:rFonts w:hint="eastAsia" w:ascii="仿宋_GB2312" w:hAnsi="Arial" w:cs="Arial"/>
                <w:color w:val="000000" w:themeColor="text1"/>
                <w:kern w:val="0"/>
                <w:sz w:val="13"/>
                <w:szCs w:val="13"/>
              </w:rPr>
              <w:t>日修正版）第二十条：运输第三类易制毒化学品的，应当在运输前向运出地的县级人民政府公安机关备案。</w:t>
            </w:r>
          </w:p>
        </w:tc>
        <w:tc>
          <w:tcPr>
            <w:tcW w:w="1294" w:type="dxa"/>
            <w:gridSpan w:val="3"/>
            <w:tcBorders>
              <w:top w:val="single" w:color="auto" w:sz="4" w:space="0"/>
              <w:left w:val="single" w:color="auto" w:sz="4" w:space="0"/>
              <w:bottom w:val="single" w:color="auto" w:sz="4" w:space="0"/>
              <w:right w:val="single" w:color="auto" w:sz="4" w:space="0"/>
            </w:tcBorders>
            <w:vAlign w:val="center"/>
          </w:tcPr>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1、事后监管责任：建立实施监督检查的运行机制和管理制度，开展定期和不定期检查，依法采取相关处置措施。</w:t>
            </w:r>
          </w:p>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2、其他法律法规规章文件规定应履行的责任。</w:t>
            </w:r>
          </w:p>
        </w:tc>
        <w:tc>
          <w:tcPr>
            <w:tcW w:w="2370" w:type="dxa"/>
            <w:gridSpan w:val="4"/>
            <w:tcBorders>
              <w:top w:val="single" w:color="auto" w:sz="4" w:space="0"/>
              <w:left w:val="single" w:color="auto" w:sz="4" w:space="0"/>
              <w:bottom w:val="single" w:color="auto" w:sz="4" w:space="0"/>
              <w:right w:val="single" w:color="auto" w:sz="4" w:space="0"/>
            </w:tcBorders>
            <w:vAlign w:val="center"/>
          </w:tcPr>
          <w:p>
            <w:pPr>
              <w:tabs>
                <w:tab w:val="left" w:pos="7937"/>
              </w:tabs>
              <w:spacing w:line="28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易制毒化学品行政主管部门工作人员在管理工作中有应当许可而不许可、不应当许可而滥许可，不依法受理备案，以及其他滥用职权、玩忽职守、徇私舞弊行为的，依法给予行政处分</w:t>
            </w:r>
            <w:r>
              <w:rPr>
                <w:rFonts w:ascii="仿宋_GB2312" w:hAnsi="Arial" w:cs="Arial"/>
                <w:color w:val="000000" w:themeColor="text1"/>
                <w:kern w:val="0"/>
                <w:sz w:val="13"/>
                <w:szCs w:val="13"/>
              </w:rPr>
              <w:t>;</w:t>
            </w:r>
            <w:r>
              <w:rPr>
                <w:rFonts w:hint="eastAsia" w:ascii="仿宋_GB2312" w:hAnsi="Arial" w:cs="Arial"/>
                <w:color w:val="000000" w:themeColor="text1"/>
                <w:kern w:val="0"/>
                <w:sz w:val="13"/>
                <w:szCs w:val="13"/>
              </w:rPr>
              <w:t>构成犯罪的，依法追究刑事责任。</w:t>
            </w:r>
          </w:p>
        </w:tc>
        <w:tc>
          <w:tcPr>
            <w:tcW w:w="1098" w:type="dxa"/>
            <w:gridSpan w:val="2"/>
            <w:tcBorders>
              <w:top w:val="single" w:color="auto" w:sz="4" w:space="0"/>
              <w:left w:val="single" w:color="auto" w:sz="4" w:space="0"/>
              <w:bottom w:val="single" w:color="auto" w:sz="4" w:space="0"/>
              <w:right w:val="single" w:color="auto" w:sz="4" w:space="0"/>
            </w:tcBorders>
          </w:tcPr>
          <w:p>
            <w:pPr>
              <w:spacing w:line="240" w:lineRule="exact"/>
              <w:textAlignment w:val="center"/>
              <w:rP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1" w:hRule="atLeast"/>
        </w:trPr>
        <w:tc>
          <w:tcPr>
            <w:tcW w:w="4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hint="default" w:eastAsia="仿宋_GB2312"/>
                <w:sz w:val="20"/>
                <w:szCs w:val="20"/>
                <w:lang w:val="en-US" w:eastAsia="zh-CN"/>
              </w:rPr>
            </w:pPr>
            <w:r>
              <w:rPr>
                <w:rFonts w:hint="eastAsia"/>
                <w:sz w:val="20"/>
                <w:szCs w:val="20"/>
                <w:lang w:val="en-US" w:eastAsia="zh-CN"/>
              </w:rPr>
              <w:t>82</w:t>
            </w:r>
          </w:p>
        </w:tc>
        <w:tc>
          <w:tcPr>
            <w:tcW w:w="589" w:type="dxa"/>
            <w:tcBorders>
              <w:top w:val="single" w:color="auto" w:sz="4" w:space="0"/>
              <w:left w:val="nil"/>
              <w:bottom w:val="single" w:color="auto" w:sz="4" w:space="0"/>
              <w:right w:val="single" w:color="auto" w:sz="4" w:space="0"/>
            </w:tcBorders>
            <w:vAlign w:val="center"/>
          </w:tcPr>
          <w:p>
            <w:pPr>
              <w:spacing w:line="240" w:lineRule="exact"/>
              <w:jc w:val="center"/>
              <w:textAlignment w:val="center"/>
              <w:rPr>
                <w:sz w:val="20"/>
                <w:szCs w:val="20"/>
              </w:rPr>
            </w:pPr>
            <w:r>
              <w:rPr>
                <w:rFonts w:hint="eastAsia"/>
                <w:sz w:val="20"/>
                <w:szCs w:val="20"/>
              </w:rPr>
              <w:t>其他权力</w:t>
            </w:r>
          </w:p>
        </w:tc>
        <w:tc>
          <w:tcPr>
            <w:tcW w:w="1189" w:type="dxa"/>
            <w:gridSpan w:val="2"/>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互联网安全员培训</w:t>
            </w:r>
          </w:p>
        </w:tc>
        <w:tc>
          <w:tcPr>
            <w:tcW w:w="987" w:type="dxa"/>
            <w:gridSpan w:val="3"/>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唐山市公安局开平分局网安</w:t>
            </w:r>
            <w:r>
              <w:rPr>
                <w:rFonts w:ascii="仿宋_GB2312" w:hAnsi="Arial" w:cs="Arial"/>
                <w:color w:val="000000" w:themeColor="text1"/>
                <w:kern w:val="0"/>
                <w:sz w:val="13"/>
                <w:szCs w:val="13"/>
              </w:rPr>
              <w:t>大队</w:t>
            </w:r>
          </w:p>
        </w:tc>
        <w:tc>
          <w:tcPr>
            <w:tcW w:w="5017" w:type="dxa"/>
            <w:gridSpan w:val="6"/>
            <w:tcBorders>
              <w:top w:val="single" w:color="auto" w:sz="4" w:space="0"/>
              <w:left w:val="nil"/>
              <w:bottom w:val="single" w:color="auto" w:sz="4" w:space="0"/>
              <w:right w:val="single" w:color="auto" w:sz="4" w:space="0"/>
            </w:tcBorders>
            <w:vAlign w:val="center"/>
          </w:tcPr>
          <w:p>
            <w:pPr>
              <w:widowControl/>
              <w:tabs>
                <w:tab w:val="left" w:pos="492"/>
              </w:tabs>
              <w:spacing w:line="240" w:lineRule="atLeast"/>
              <w:rPr>
                <w:rFonts w:ascii="仿宋_GB2312" w:hAnsi="Arial" w:cs="Arial"/>
                <w:color w:val="000000" w:themeColor="text1"/>
                <w:w w:val="80"/>
                <w:kern w:val="0"/>
                <w:sz w:val="15"/>
                <w:szCs w:val="13"/>
              </w:rPr>
            </w:pPr>
            <w:r>
              <w:rPr>
                <w:rFonts w:hint="eastAsia" w:ascii="仿宋_GB2312" w:hAnsi="Arial" w:cs="Arial"/>
                <w:color w:val="000000" w:themeColor="text1"/>
                <w:w w:val="80"/>
                <w:kern w:val="0"/>
                <w:sz w:val="15"/>
                <w:szCs w:val="13"/>
              </w:rPr>
              <w:t>《计算机信息网络国际联网安全保护管理办法》第十、二十一条.</w:t>
            </w:r>
          </w:p>
          <w:p>
            <w:pPr>
              <w:widowControl/>
              <w:tabs>
                <w:tab w:val="left" w:pos="492"/>
              </w:tabs>
              <w:spacing w:line="240" w:lineRule="atLeast"/>
              <w:rPr>
                <w:rFonts w:ascii="仿宋_GB2312" w:hAnsi="Arial" w:cs="Arial"/>
                <w:color w:val="000000" w:themeColor="text1"/>
                <w:w w:val="80"/>
                <w:kern w:val="0"/>
                <w:sz w:val="15"/>
                <w:szCs w:val="13"/>
              </w:rPr>
            </w:pPr>
            <w:r>
              <w:rPr>
                <w:rFonts w:hint="eastAsia" w:ascii="仿宋_GB2312" w:hAnsi="Arial" w:cs="Arial"/>
                <w:color w:val="000000" w:themeColor="text1"/>
                <w:w w:val="80"/>
                <w:kern w:val="0"/>
                <w:sz w:val="15"/>
                <w:szCs w:val="13"/>
              </w:rPr>
              <w:t>第十条 互联单位、接入单位及使用计算机信息网络国际联网的法人和其他组织应当履行下列安全保护职责:(一)负责本网络的安全保护管理工作，建立健全安全保护管理制度;(二)落实安全保护技术措施，保障本网络的运行安全和信息安全;(三)负责对本网络用户的安全教育和培训;(四)对委托发布信息的单位和个人进行登记，并对所提供的信息内容按照本办法第五条进行审核;(五)建立计算机信息网络电子公告系统的用户登记和信息管理制度;(六)发现有本办法第四条、第五条、第六条、第七条所列情形之一的，应当保留有关原始记录，并在24小时内向当地公安机关报告;(七)按照国家有关规定，删除本网络中含有本办法第五条内容的地址、目录或者关闭服务器。</w:t>
            </w:r>
          </w:p>
          <w:p>
            <w:pPr>
              <w:widowControl/>
              <w:tabs>
                <w:tab w:val="left" w:pos="492"/>
              </w:tabs>
              <w:spacing w:line="240" w:lineRule="atLeast"/>
              <w:rPr>
                <w:rFonts w:ascii="仿宋_GB2312" w:hAnsi="Arial" w:cs="Arial"/>
                <w:color w:val="000000" w:themeColor="text1"/>
                <w:w w:val="80"/>
                <w:kern w:val="0"/>
                <w:sz w:val="15"/>
                <w:szCs w:val="13"/>
              </w:rPr>
            </w:pPr>
            <w:r>
              <w:rPr>
                <w:rFonts w:hint="eastAsia" w:ascii="仿宋_GB2312" w:hAnsi="Arial" w:cs="Arial"/>
                <w:color w:val="000000" w:themeColor="text1"/>
                <w:w w:val="80"/>
                <w:kern w:val="0"/>
                <w:sz w:val="15"/>
                <w:szCs w:val="13"/>
              </w:rPr>
              <w:t>第二十一条 有下列行为之一的，由公安机关责令限期改正，给予警告，有违法所得的，没收违法所得;在规定的限期内未改正的，对单位的主管负责人员和其他直接责任人员可以并处5000元以下的罚款，对单位可以并处1.5万元以下的罚款;情节严重的，并可以给予6个月以内的停止联网、停机整顿的处罚，必要时可以建议原发证、审批机构吊销经营许可证或者取消联网资格。(一)未建立安全保护管理制度的;(二)未采取安全技术保护措施的;(三)未对网络用户进行安全教育和培训的;(四)未提供安全保护管理所需信息、资料及数据文件，或者所提供内容不真实的;(五)对委托其发布的信息内容未进行审核或者对委托单位和个人未进行登记的;(六)未建立电子公告系统的用户登记和信息管理制度的;(七)未按照国家有关规定，删除网络地址、目录或者关闭服务器的;(八)未建立公用账号使用登记制度的;(九)转借、转让用户账号的。</w:t>
            </w:r>
          </w:p>
        </w:tc>
        <w:tc>
          <w:tcPr>
            <w:tcW w:w="1320" w:type="dxa"/>
            <w:gridSpan w:val="4"/>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1、受理责任： 公示依法应当提交的材料；一次性告知补正材料；依法受理或不予受理（不予受理的告知理由）。</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2、审查责任：对申报信息进行审核，对纸质申报材料与电子信息进行比对，提出初审意见。</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3、决定责任：作出行政许可或者不予行政许可的决定（不予许可的告知理由）；按时办结；法定告知。</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4、送达责任：制发审核证明；信息公开。</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5.事后监管责任：开展后续监督管理。</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6.其他法律法规规章文件规定应履行的责任。</w:t>
            </w:r>
          </w:p>
        </w:tc>
        <w:tc>
          <w:tcPr>
            <w:tcW w:w="2370" w:type="dxa"/>
            <w:gridSpan w:val="4"/>
            <w:tcBorders>
              <w:top w:val="single" w:color="auto" w:sz="4" w:space="0"/>
              <w:left w:val="nil"/>
              <w:bottom w:val="single" w:color="auto" w:sz="4" w:space="0"/>
              <w:right w:val="single" w:color="auto" w:sz="4" w:space="0"/>
            </w:tcBorders>
            <w:vAlign w:val="center"/>
          </w:tcPr>
          <w:p>
            <w:pPr>
              <w:widowControl/>
              <w:tabs>
                <w:tab w:val="left" w:pos="492"/>
              </w:tabs>
              <w:spacing w:line="240" w:lineRule="exact"/>
              <w:rPr>
                <w:rFonts w:ascii="仿宋_GB2312" w:hAnsi="Arial" w:cs="Arial"/>
                <w:color w:val="000000" w:themeColor="text1"/>
                <w:kern w:val="0"/>
                <w:sz w:val="13"/>
                <w:szCs w:val="13"/>
              </w:rPr>
            </w:pPr>
            <w:r>
              <w:rPr>
                <w:rFonts w:hint="eastAsia" w:ascii="仿宋_GB2312" w:hAnsi="Arial" w:cs="Arial"/>
                <w:color w:val="000000" w:themeColor="text1"/>
                <w:kern w:val="0"/>
                <w:sz w:val="13"/>
                <w:szCs w:val="13"/>
              </w:rPr>
              <w:t>因不履行或不正确履行行政职责，有下列情形的，公安机关及相关工作人员应承担相应责任：</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1、对符合条件的申请不予受理的；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2、未依法说明不受理申请或者不予行政许可理由的；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3、依法应当公开事项和申请所需材料而不公开的；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4、无法定依据实施行或者超越法定权限作出行政权力决定的；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5、超过法定期限或者违反法定程序实施行政权力的；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6、行政权力实施后续监管不到位，造成严重后果的；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7、一年内受到二次以上投诉，且投诉属实，情节严重、影响恶劣的；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8、在实施行政权力、实施监督检查中索取或者收受他人财物或者谋取其他利益的；</w:t>
            </w:r>
            <w:r>
              <w:rPr>
                <w:rFonts w:hint="eastAsia" w:ascii="仿宋_GB2312" w:hAnsi="Arial" w:cs="Arial"/>
                <w:color w:val="000000" w:themeColor="text1"/>
                <w:kern w:val="0"/>
                <w:sz w:val="13"/>
                <w:szCs w:val="13"/>
              </w:rPr>
              <w:br w:type="textWrapping"/>
            </w:r>
            <w:r>
              <w:rPr>
                <w:rFonts w:hint="eastAsia" w:ascii="仿宋_GB2312" w:hAnsi="Arial" w:cs="Arial"/>
                <w:color w:val="000000" w:themeColor="text1"/>
                <w:kern w:val="0"/>
                <w:sz w:val="13"/>
                <w:szCs w:val="13"/>
              </w:rPr>
              <w:t>9、其他违反法律法规规章文件规定的行为</w:t>
            </w:r>
          </w:p>
        </w:tc>
        <w:tc>
          <w:tcPr>
            <w:tcW w:w="1098" w:type="dxa"/>
            <w:gridSpan w:val="2"/>
            <w:tcBorders>
              <w:top w:val="single" w:color="auto" w:sz="4" w:space="0"/>
              <w:left w:val="nil"/>
              <w:bottom w:val="single" w:color="auto" w:sz="4" w:space="0"/>
              <w:right w:val="nil"/>
            </w:tcBorders>
          </w:tcPr>
          <w:p>
            <w:pPr>
              <w:spacing w:line="240" w:lineRule="exact"/>
              <w:textAlignment w:val="center"/>
              <w:rPr>
                <w:sz w:val="20"/>
                <w:szCs w:val="20"/>
              </w:rPr>
            </w:pPr>
          </w:p>
        </w:tc>
        <w:tc>
          <w:tcPr>
            <w:tcW w:w="607" w:type="dxa"/>
            <w:gridSpan w:val="4"/>
            <w:tcBorders>
              <w:top w:val="single" w:color="auto" w:sz="4" w:space="0"/>
              <w:left w:val="nil"/>
              <w:bottom w:val="single" w:color="auto" w:sz="4" w:space="0"/>
              <w:right w:val="single" w:color="auto" w:sz="4" w:space="0"/>
            </w:tcBorders>
            <w:vAlign w:val="center"/>
          </w:tcPr>
          <w:p>
            <w:pPr>
              <w:spacing w:line="240" w:lineRule="exact"/>
              <w:textAlignment w:val="center"/>
              <w:rPr>
                <w:sz w:val="20"/>
                <w:szCs w:val="20"/>
              </w:rPr>
            </w:pPr>
          </w:p>
        </w:tc>
      </w:tr>
    </w:tbl>
    <w:p>
      <w:pPr>
        <w:rPr>
          <w:rFonts w:ascii="仿宋_GB2312"/>
          <w:sz w:val="15"/>
          <w:szCs w:val="15"/>
        </w:rPr>
      </w:pPr>
    </w:p>
    <w:sectPr>
      <w:pgSz w:w="16838" w:h="11906" w:orient="landscape"/>
      <w:pgMar w:top="1418" w:right="851" w:bottom="1418" w:left="851"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ngLiU_HKSCS">
    <w:panose1 w:val="02020500000000000000"/>
    <w:charset w:val="88"/>
    <w:family w:val="roman"/>
    <w:pitch w:val="default"/>
    <w:sig w:usb0="A00002FF" w:usb1="3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VjOGRkMzMzNjAxM2JkNDM2NjhlZTE3NjlmNWFhYzMifQ=="/>
  </w:docVars>
  <w:rsids>
    <w:rsidRoot w:val="00565602"/>
    <w:rsid w:val="0000785F"/>
    <w:rsid w:val="00015D24"/>
    <w:rsid w:val="00017114"/>
    <w:rsid w:val="000211C2"/>
    <w:rsid w:val="00041A72"/>
    <w:rsid w:val="00041C71"/>
    <w:rsid w:val="000912F9"/>
    <w:rsid w:val="000A0DCA"/>
    <w:rsid w:val="000D1D7B"/>
    <w:rsid w:val="000E65CB"/>
    <w:rsid w:val="000F3CC9"/>
    <w:rsid w:val="001049F2"/>
    <w:rsid w:val="00106719"/>
    <w:rsid w:val="001120C0"/>
    <w:rsid w:val="00116628"/>
    <w:rsid w:val="00135F75"/>
    <w:rsid w:val="001441F6"/>
    <w:rsid w:val="00161D88"/>
    <w:rsid w:val="00190A7D"/>
    <w:rsid w:val="00194635"/>
    <w:rsid w:val="001B54A8"/>
    <w:rsid w:val="001C3DF3"/>
    <w:rsid w:val="00224EB4"/>
    <w:rsid w:val="00242791"/>
    <w:rsid w:val="00271809"/>
    <w:rsid w:val="00294A18"/>
    <w:rsid w:val="002A6038"/>
    <w:rsid w:val="002B6139"/>
    <w:rsid w:val="00314F08"/>
    <w:rsid w:val="00326146"/>
    <w:rsid w:val="00376E49"/>
    <w:rsid w:val="003838A7"/>
    <w:rsid w:val="00394487"/>
    <w:rsid w:val="003B72EC"/>
    <w:rsid w:val="003C0410"/>
    <w:rsid w:val="003C5518"/>
    <w:rsid w:val="003C612C"/>
    <w:rsid w:val="003D21B5"/>
    <w:rsid w:val="003D4BB5"/>
    <w:rsid w:val="003F6242"/>
    <w:rsid w:val="00434FFE"/>
    <w:rsid w:val="00453830"/>
    <w:rsid w:val="004614AF"/>
    <w:rsid w:val="00475BBA"/>
    <w:rsid w:val="004774C4"/>
    <w:rsid w:val="00482B08"/>
    <w:rsid w:val="00490190"/>
    <w:rsid w:val="00493F87"/>
    <w:rsid w:val="004A6517"/>
    <w:rsid w:val="004B5807"/>
    <w:rsid w:val="004D3D5D"/>
    <w:rsid w:val="00517A01"/>
    <w:rsid w:val="0053025B"/>
    <w:rsid w:val="00565602"/>
    <w:rsid w:val="0059248E"/>
    <w:rsid w:val="005C017D"/>
    <w:rsid w:val="005E029B"/>
    <w:rsid w:val="005E2E96"/>
    <w:rsid w:val="005E4131"/>
    <w:rsid w:val="005F692C"/>
    <w:rsid w:val="00617006"/>
    <w:rsid w:val="00663F51"/>
    <w:rsid w:val="006650EF"/>
    <w:rsid w:val="006B2AAB"/>
    <w:rsid w:val="006D7C1B"/>
    <w:rsid w:val="006E4B01"/>
    <w:rsid w:val="006E5EA1"/>
    <w:rsid w:val="006F5E55"/>
    <w:rsid w:val="00703334"/>
    <w:rsid w:val="00705D16"/>
    <w:rsid w:val="007061A0"/>
    <w:rsid w:val="00762698"/>
    <w:rsid w:val="00774A37"/>
    <w:rsid w:val="007A74F3"/>
    <w:rsid w:val="007B0ABC"/>
    <w:rsid w:val="007B3896"/>
    <w:rsid w:val="007D6234"/>
    <w:rsid w:val="008116F7"/>
    <w:rsid w:val="00816E59"/>
    <w:rsid w:val="008454AA"/>
    <w:rsid w:val="00846A3C"/>
    <w:rsid w:val="008D6299"/>
    <w:rsid w:val="00916C9E"/>
    <w:rsid w:val="00924DE4"/>
    <w:rsid w:val="009312D9"/>
    <w:rsid w:val="0093437C"/>
    <w:rsid w:val="00970565"/>
    <w:rsid w:val="00985DFC"/>
    <w:rsid w:val="009B29B8"/>
    <w:rsid w:val="009D5311"/>
    <w:rsid w:val="009F29A4"/>
    <w:rsid w:val="00A231F6"/>
    <w:rsid w:val="00A32C81"/>
    <w:rsid w:val="00A33EDA"/>
    <w:rsid w:val="00A5009B"/>
    <w:rsid w:val="00A5795C"/>
    <w:rsid w:val="00A8582C"/>
    <w:rsid w:val="00AC69B6"/>
    <w:rsid w:val="00AF17DD"/>
    <w:rsid w:val="00AF7452"/>
    <w:rsid w:val="00AF76A7"/>
    <w:rsid w:val="00B03230"/>
    <w:rsid w:val="00B061B7"/>
    <w:rsid w:val="00B16814"/>
    <w:rsid w:val="00B17E90"/>
    <w:rsid w:val="00B33C9B"/>
    <w:rsid w:val="00B4167F"/>
    <w:rsid w:val="00B424C2"/>
    <w:rsid w:val="00B64096"/>
    <w:rsid w:val="00BF79DE"/>
    <w:rsid w:val="00C21E36"/>
    <w:rsid w:val="00C300FC"/>
    <w:rsid w:val="00C46DC0"/>
    <w:rsid w:val="00C57767"/>
    <w:rsid w:val="00C648C0"/>
    <w:rsid w:val="00C82916"/>
    <w:rsid w:val="00CC6485"/>
    <w:rsid w:val="00CE3395"/>
    <w:rsid w:val="00CE3A9D"/>
    <w:rsid w:val="00CF5CC2"/>
    <w:rsid w:val="00D76916"/>
    <w:rsid w:val="00D8198C"/>
    <w:rsid w:val="00D85D99"/>
    <w:rsid w:val="00DA4548"/>
    <w:rsid w:val="00DC4963"/>
    <w:rsid w:val="00DE7CDA"/>
    <w:rsid w:val="00E009D3"/>
    <w:rsid w:val="00E25C27"/>
    <w:rsid w:val="00E425E0"/>
    <w:rsid w:val="00E43BA9"/>
    <w:rsid w:val="00E501D6"/>
    <w:rsid w:val="00E57B1E"/>
    <w:rsid w:val="00E65CA8"/>
    <w:rsid w:val="00E6659D"/>
    <w:rsid w:val="00E77FC7"/>
    <w:rsid w:val="00E835CD"/>
    <w:rsid w:val="00E965C6"/>
    <w:rsid w:val="00EB1930"/>
    <w:rsid w:val="00EB1BD7"/>
    <w:rsid w:val="00EF1831"/>
    <w:rsid w:val="00F00D51"/>
    <w:rsid w:val="00F01DF8"/>
    <w:rsid w:val="00F033AC"/>
    <w:rsid w:val="00F1593C"/>
    <w:rsid w:val="00F4277C"/>
    <w:rsid w:val="00F47A66"/>
    <w:rsid w:val="00F5197C"/>
    <w:rsid w:val="00F54571"/>
    <w:rsid w:val="00F8065B"/>
    <w:rsid w:val="00F80C4C"/>
    <w:rsid w:val="00F8490D"/>
    <w:rsid w:val="00FC0B73"/>
    <w:rsid w:val="00FD5126"/>
    <w:rsid w:val="00FE03A9"/>
    <w:rsid w:val="021054DA"/>
    <w:rsid w:val="07013F3A"/>
    <w:rsid w:val="0E9B1118"/>
    <w:rsid w:val="0F1669F0"/>
    <w:rsid w:val="0FE40BAA"/>
    <w:rsid w:val="11E33B00"/>
    <w:rsid w:val="14A87CDA"/>
    <w:rsid w:val="156A1844"/>
    <w:rsid w:val="1DAC5C6B"/>
    <w:rsid w:val="230B03DB"/>
    <w:rsid w:val="25EC760D"/>
    <w:rsid w:val="29F82489"/>
    <w:rsid w:val="35A2358A"/>
    <w:rsid w:val="36CC5A63"/>
    <w:rsid w:val="43D94B07"/>
    <w:rsid w:val="45D73ADC"/>
    <w:rsid w:val="476E221E"/>
    <w:rsid w:val="488D1EA6"/>
    <w:rsid w:val="52E760A8"/>
    <w:rsid w:val="554559EE"/>
    <w:rsid w:val="56186E86"/>
    <w:rsid w:val="605424A1"/>
    <w:rsid w:val="60E56932"/>
    <w:rsid w:val="67050051"/>
    <w:rsid w:val="6CE73464"/>
    <w:rsid w:val="7390694A"/>
    <w:rsid w:val="751F3575"/>
    <w:rsid w:val="76D11346"/>
    <w:rsid w:val="78AA7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apple-converted-space"/>
    <w:basedOn w:val="7"/>
    <w:qFormat/>
    <w:uiPriority w:val="0"/>
  </w:style>
  <w:style w:type="character" w:customStyle="1" w:styleId="11">
    <w:name w:val="批注框文本 字符"/>
    <w:basedOn w:val="7"/>
    <w:link w:val="2"/>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82</Pages>
  <Words>31695</Words>
  <Characters>32086</Characters>
  <Lines>387</Lines>
  <Paragraphs>108</Paragraphs>
  <TotalTime>5</TotalTime>
  <ScaleCrop>false</ScaleCrop>
  <LinksUpToDate>false</LinksUpToDate>
  <CharactersWithSpaces>33292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2021-02-01T06:28:00Z</dcterms:created>
  <dc:creator>Windows User</dc:creator>
  <cp:lastModifiedBy>qqqq</cp:lastModifiedBy>
  <cp:lastPrinted>2024-11-27T07:24:00Z</cp:lastPrinted>
  <dcterms:modified xsi:type="dcterms:W3CDTF">2024-11-29T00:53:54Z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6699577F911F44459DA00D93D042A414</vt:lpwstr>
  </property>
</Properties>
</file>