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小标宋简体" w:hAnsi="方正小标宋简体" w:eastAsia="方正小标宋简体" w:cs="Arial"/>
          <w:sz w:val="36"/>
          <w:lang w:val="en-US" w:eastAsia="zh-CN"/>
        </w:rPr>
      </w:pPr>
      <w:r>
        <w:rPr>
          <w:rFonts w:hint="eastAsia" w:ascii="方正小标宋简体" w:hAnsi="方正小标宋简体" w:eastAsia="方正小标宋简体" w:cs="Arial"/>
          <w:sz w:val="36"/>
          <w:lang w:val="en-US" w:eastAsia="zh-CN"/>
        </w:rPr>
        <w:t>唐山市开平区商务和投资促进局权责清单事项分表</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楷体_GB2312" w:hAnsi="楷体_GB2312" w:eastAsia="楷体_GB2312" w:cs="Times New Roman"/>
          <w:lang w:val="en-US" w:eastAsia="zh-CN"/>
        </w:rPr>
      </w:pPr>
      <w:r>
        <w:rPr>
          <w:rFonts w:hint="eastAsia" w:ascii="楷体_GB2312" w:hAnsi="楷体_GB2312" w:eastAsia="楷体_GB2312" w:cs="Times New Roman"/>
          <w:lang w:val="en-US" w:eastAsia="zh-CN"/>
        </w:rPr>
        <w:t>（共3类、39项）</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楷体_GB2312" w:hAnsi="楷体_GB2312" w:eastAsia="楷体_GB2312" w:cs="Times New Roman"/>
          <w:sz w:val="28"/>
          <w:lang w:val="en-US" w:eastAsia="zh-CN"/>
        </w:rPr>
      </w:pPr>
      <w:r>
        <w:rPr>
          <w:rFonts w:hint="eastAsia" w:ascii="楷体_GB2312" w:hAnsi="楷体_GB2312" w:eastAsia="楷体_GB2312" w:cs="Times New Roman"/>
          <w:sz w:val="28"/>
          <w:lang w:val="en-US" w:eastAsia="zh-CN"/>
        </w:rPr>
        <w:t>单位：唐山市开平区商务和投资促进局（公章）</w:t>
      </w:r>
    </w:p>
    <w:tbl>
      <w:tblPr>
        <w:tblStyle w:val="6"/>
        <w:tblW w:w="14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213"/>
        <w:gridCol w:w="1472"/>
        <w:gridCol w:w="1190"/>
        <w:gridCol w:w="3480"/>
        <w:gridCol w:w="2925"/>
        <w:gridCol w:w="2515"/>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5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序号</w:t>
            </w:r>
          </w:p>
        </w:tc>
        <w:tc>
          <w:tcPr>
            <w:tcW w:w="121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权力类型</w:t>
            </w:r>
          </w:p>
        </w:tc>
        <w:tc>
          <w:tcPr>
            <w:tcW w:w="147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权力事项</w:t>
            </w:r>
          </w:p>
        </w:tc>
        <w:tc>
          <w:tcPr>
            <w:tcW w:w="119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行政主体</w:t>
            </w:r>
          </w:p>
        </w:tc>
        <w:tc>
          <w:tcPr>
            <w:tcW w:w="348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实施依据</w:t>
            </w:r>
          </w:p>
        </w:tc>
        <w:tc>
          <w:tcPr>
            <w:tcW w:w="292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责任事项</w:t>
            </w:r>
          </w:p>
        </w:tc>
        <w:tc>
          <w:tcPr>
            <w:tcW w:w="251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追责情形</w:t>
            </w:r>
          </w:p>
        </w:tc>
        <w:tc>
          <w:tcPr>
            <w:tcW w:w="70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5" w:hRule="exact"/>
        </w:trPr>
        <w:tc>
          <w:tcPr>
            <w:tcW w:w="752" w:type="dxa"/>
            <w:vAlign w:val="center"/>
          </w:tcPr>
          <w:p>
            <w:pPr>
              <w:tabs>
                <w:tab w:val="left" w:pos="7937"/>
              </w:tabs>
              <w:spacing w:line="200" w:lineRule="exact"/>
              <w:jc w:val="center"/>
              <w:rPr>
                <w:rFonts w:hint="eastAsia" w:ascii="仿宋" w:hAnsi="仿宋" w:eastAsia="仿宋" w:cs="仿宋"/>
                <w:b w:val="0"/>
                <w:bCs w:val="0"/>
                <w:color w:val="auto"/>
                <w:sz w:val="18"/>
                <w:szCs w:val="18"/>
                <w:lang w:eastAsia="zh-CN"/>
              </w:rPr>
            </w:pPr>
            <w:bookmarkStart w:id="0" w:name="_GoBack"/>
            <w:r>
              <w:rPr>
                <w:rFonts w:hint="eastAsia" w:ascii="仿宋" w:hAnsi="仿宋" w:eastAsia="仿宋" w:cs="仿宋"/>
                <w:b w:val="0"/>
                <w:bCs w:val="0"/>
                <w:color w:val="auto"/>
                <w:sz w:val="18"/>
                <w:szCs w:val="18"/>
                <w:lang w:val="en-US" w:eastAsia="zh-CN"/>
              </w:rPr>
              <w:t>1</w:t>
            </w:r>
          </w:p>
        </w:tc>
        <w:tc>
          <w:tcPr>
            <w:tcW w:w="1213" w:type="dxa"/>
            <w:vAlign w:val="center"/>
          </w:tcPr>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行政处罚</w:t>
            </w:r>
          </w:p>
        </w:tc>
        <w:tc>
          <w:tcPr>
            <w:tcW w:w="1472" w:type="dxa"/>
            <w:vAlign w:val="center"/>
          </w:tcPr>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对以商务、旅游、留学等名义组织劳务人员赴国外工作；允许其他单位或个人以本企业名义组织劳务人员赴国外工作；组织劳务人员赴国外从事与赌博、色情活动相关的工作的行政处罚</w:t>
            </w:r>
          </w:p>
        </w:tc>
        <w:tc>
          <w:tcPr>
            <w:tcW w:w="1190" w:type="dxa"/>
            <w:vAlign w:val="center"/>
          </w:tcPr>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唐山市开平区商务和投资促进局</w:t>
            </w:r>
          </w:p>
        </w:tc>
        <w:tc>
          <w:tcPr>
            <w:tcW w:w="3480" w:type="dxa"/>
            <w:vAlign w:val="center"/>
          </w:tcPr>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《对外劳务合作管理条例》（2012年国务院令第620号）第四十条：商务主管部门吊销其对外劳务合作经营资格证书，有违法所得的予以没收。</w:t>
            </w:r>
          </w:p>
          <w:p>
            <w:pPr>
              <w:tabs>
                <w:tab w:val="left" w:pos="7937"/>
              </w:tabs>
              <w:spacing w:line="200" w:lineRule="exact"/>
              <w:jc w:val="left"/>
              <w:rPr>
                <w:rFonts w:hint="eastAsia" w:ascii="仿宋" w:hAnsi="仿宋" w:eastAsia="仿宋" w:cs="仿宋"/>
                <w:b w:val="0"/>
                <w:bCs w:val="0"/>
                <w:color w:val="auto"/>
                <w:sz w:val="18"/>
                <w:szCs w:val="18"/>
                <w:lang w:val="en-US" w:eastAsia="zh-CN"/>
              </w:rPr>
            </w:pPr>
          </w:p>
        </w:tc>
        <w:tc>
          <w:tcPr>
            <w:tcW w:w="2925" w:type="dxa"/>
            <w:vAlign w:val="center"/>
          </w:tcPr>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1、立案责任：涉嫌以商务、旅游、留学等名义组织劳务人员赴国外工作；允许其他单位或个人以本企业名义组织劳务人员赴国外工作；组织劳务人员赴国外从事与赌博、色情活动相关的工作的，予以审查，决定是否立案。</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5、决定责任：制作行政处罚决定书，载明行政处罚告知、当事人陈述申辩或者听证情况等内容。</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6、送达责任：行政处罚决定书按法律规定的方式送达当事人。</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7、执行责任：依照生效的行政处罚决定吊销其对外劳务合作经营资格证书，有违法所得的予以没收。</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8、其他法律法规规章文件规定应履行的责任。</w:t>
            </w:r>
          </w:p>
        </w:tc>
        <w:tc>
          <w:tcPr>
            <w:tcW w:w="2515" w:type="dxa"/>
            <w:vAlign w:val="center"/>
          </w:tcPr>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因不履行或不正确履行行政职责，有下列情形的，行政机关及相关工作人员应承担相应责任：</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1、没有法律和事实依据实施行政处罚的；</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2、行政处罚显失公正的；</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3、商务主管部门和其他有关部门的工作人员，在对外劳务合作监督管理工作中有下列行为之一的，依法给予处分；构成犯罪的，依法追究刑事责任：</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　　（一）对不符合本条例规定条件的对外劳务合作经营资格申请予以批准；</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　　（二）对外劳务合作企业不再具备本条例规定的条件而不撤销原批准；</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　　（三）对违反本条例规定组织劳务人员赴国外工作以及其他违反本条例规定的行为不依法查处；</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（四）其他滥用职权、玩忽职守、徇私舞弊，不依法履行监督管理职责的行为。</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4、不具备行政执法资格实施行政处罚的；</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5、应当依法移送追究刑事责任，而未依法移送有权机关的；</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6、擅自改变行政处罚种类、幅度的；</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7、违反法定的行政处罚程序的；</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8、符合听证条件、行政管理相对人要求听证，应予组织听证而不组织听证的；</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9、在行政处罚过程中发生腐败行为的；</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10、其他违反法律法规规章文件规定的行为。</w:t>
            </w:r>
          </w:p>
        </w:tc>
        <w:tc>
          <w:tcPr>
            <w:tcW w:w="700" w:type="dxa"/>
            <w:vAlign w:val="center"/>
          </w:tcPr>
          <w:p>
            <w:pPr>
              <w:tabs>
                <w:tab w:val="left" w:pos="7937"/>
              </w:tabs>
              <w:spacing w:line="200" w:lineRule="exact"/>
              <w:jc w:val="left"/>
              <w:rPr>
                <w:rFonts w:hint="eastAsia" w:ascii="仿宋" w:hAnsi="仿宋" w:eastAsia="仿宋" w:cs="仿宋"/>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1" w:hRule="exact"/>
        </w:trPr>
        <w:tc>
          <w:tcPr>
            <w:tcW w:w="752" w:type="dxa"/>
            <w:vAlign w:val="center"/>
          </w:tcPr>
          <w:p>
            <w:pPr>
              <w:autoSpaceDN w:val="0"/>
              <w:spacing w:line="300" w:lineRule="exact"/>
              <w:jc w:val="center"/>
              <w:textAlignment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2</w:t>
            </w:r>
          </w:p>
        </w:tc>
        <w:tc>
          <w:tcPr>
            <w:tcW w:w="1213" w:type="dxa"/>
            <w:vAlign w:val="center"/>
          </w:tcPr>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行政处罚</w:t>
            </w:r>
          </w:p>
        </w:tc>
        <w:tc>
          <w:tcPr>
            <w:tcW w:w="1472" w:type="dxa"/>
            <w:vAlign w:val="center"/>
          </w:tcPr>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对未安排劳务人员接受培训、未按规定为劳务人员购买在国外工作期间的人身意外伤害保险、未按规定安排随行管理人员的行政处罚</w:t>
            </w:r>
          </w:p>
        </w:tc>
        <w:tc>
          <w:tcPr>
            <w:tcW w:w="1190" w:type="dxa"/>
            <w:shd w:val="clear" w:color="auto" w:fill="auto"/>
            <w:vAlign w:val="center"/>
          </w:tcPr>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唐山市开平区商务和投资促进局</w:t>
            </w:r>
          </w:p>
        </w:tc>
        <w:tc>
          <w:tcPr>
            <w:tcW w:w="3480" w:type="dxa"/>
            <w:vAlign w:val="center"/>
          </w:tcPr>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《对外劳务合作管理条例》（2012年国务院令第620号）第四十二条：由商务主管部门责令改正；拒不改正的，处5万元以上10万元以下的罚款，并对其主要负责人处1万元以上3万元以下的罚款。</w:t>
            </w:r>
          </w:p>
        </w:tc>
        <w:tc>
          <w:tcPr>
            <w:tcW w:w="2925" w:type="dxa"/>
            <w:vAlign w:val="center"/>
          </w:tcPr>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1、立案责任：涉嫌未安排劳务人员接受培训、未按规定为劳务人员购买在国外工作期间的人身意外伤害保险、未按规定安排随行管理人员的，予以审查，决定是否立案。</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5、决定责任：制作行政处罚决定书，载明行政处罚告知、当事人陈述申辩或者听证情况等内容。</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6、送达责任：行政处罚决定书按法律规定的方式送达当事人。</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7、执行责任：依照生效的行政处罚决定责令改正；拒不改正的，处5万元以上10万元以下的罚款，并对其主要负责人处1万元以上3万元以下的罚款</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8、其他法律法规规章文件规定应履行的责任。</w:t>
            </w:r>
          </w:p>
        </w:tc>
        <w:tc>
          <w:tcPr>
            <w:tcW w:w="2515" w:type="dxa"/>
            <w:vAlign w:val="center"/>
          </w:tcPr>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因不履行或不正确履行行政职责，有下列情形的，行政机关及相关工作人员应承担相应责任：</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1、没有法律和事实依据实施行政处罚的；</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2、行政处罚显失公正的；</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3、商务主管部门和其他有关部门的工作人员，在对外劳务合作监督管理工作中有下列行为之一的，依法给予处分；构成犯罪的，依法追究刑事责任：</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　　（一）对不符合本条例规定条件的对外劳务合作经营资格申请予以批准；</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　　（二）对外劳务合作企业不再具备本条例规定的条件而不撤销原批准；</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　　（三）对违反本条例规定组织劳务人员赴国外工作以及其他违反本条例规定的行为不依法查处；</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（四）其他滥用职权、玩忽职守、徇私舞弊，不依法履行监督管理职责的行为。</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4、不具备行政执法资格实施行政处罚的；</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5、应当依法移送追究刑事责任，而未依法移送有权机关的；</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6、擅自改变行政处罚种类、幅度的；</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7、违反法定的行政处罚程序的；</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8、符合听证条件、行政管理相对人要求听证，应予组织听证而不组织听证的；</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9、在行政处罚过程中发生腐败行为的；</w:t>
            </w:r>
          </w:p>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10、其他违反法律法规规章文件规定的行为。</w:t>
            </w:r>
          </w:p>
        </w:tc>
        <w:tc>
          <w:tcPr>
            <w:tcW w:w="700" w:type="dxa"/>
            <w:vAlign w:val="center"/>
          </w:tcPr>
          <w:p>
            <w:pPr>
              <w:tabs>
                <w:tab w:val="left" w:pos="7937"/>
              </w:tabs>
              <w:spacing w:line="200" w:lineRule="exact"/>
              <w:jc w:val="left"/>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7" w:hRule="exact"/>
        </w:trPr>
        <w:tc>
          <w:tcPr>
            <w:tcW w:w="752" w:type="dxa"/>
            <w:vAlign w:val="center"/>
          </w:tcPr>
          <w:p>
            <w:pPr>
              <w:autoSpaceDN w:val="0"/>
              <w:spacing w:line="300" w:lineRule="exact"/>
              <w:jc w:val="center"/>
              <w:textAlignment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3</w:t>
            </w:r>
          </w:p>
        </w:tc>
        <w:tc>
          <w:tcPr>
            <w:tcW w:w="1213"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highlight w:val="none"/>
              </w:rPr>
              <w:t>行政处罚</w:t>
            </w:r>
          </w:p>
        </w:tc>
        <w:tc>
          <w:tcPr>
            <w:tcW w:w="1472"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对</w:t>
            </w:r>
            <w:r>
              <w:rPr>
                <w:rFonts w:hint="eastAsia" w:ascii="仿宋" w:hAnsi="仿宋" w:eastAsia="仿宋" w:cs="仿宋"/>
                <w:b w:val="0"/>
                <w:bCs w:val="0"/>
                <w:color w:val="auto"/>
                <w:sz w:val="18"/>
                <w:szCs w:val="18"/>
              </w:rPr>
              <w:t>未与国外雇主签订劳务合作合同组织劳务人员赴国外工作；未与劳务人员订立劳务合作合同或劳动合同，组织劳务人员赴国外工作；与未经批准的国外雇主或与外国的个人订立合同，组织劳务人员赴国外工作；在订立劳务合作合同时，隐瞒有关信息或者提供虚假信息；在国外发生突发事件未及时处理；停止开展对外劳务合作，未对其派出的尚在国外工作的劳务人员做出安排；拒不将服务合同或劳务合作合同或劳动合同副本报商务主管部门备案的</w:t>
            </w:r>
            <w:r>
              <w:rPr>
                <w:rFonts w:hint="eastAsia" w:ascii="仿宋" w:hAnsi="仿宋" w:eastAsia="仿宋" w:cs="仿宋"/>
                <w:b w:val="0"/>
                <w:bCs w:val="0"/>
                <w:color w:val="auto"/>
                <w:sz w:val="18"/>
                <w:szCs w:val="18"/>
                <w:highlight w:val="none"/>
                <w:lang w:val="en-US" w:eastAsia="zh-CN"/>
              </w:rPr>
              <w:t>行政</w:t>
            </w:r>
            <w:r>
              <w:rPr>
                <w:rFonts w:hint="eastAsia" w:ascii="仿宋" w:hAnsi="仿宋" w:eastAsia="仿宋" w:cs="仿宋"/>
                <w:b w:val="0"/>
                <w:bCs w:val="0"/>
                <w:color w:val="auto"/>
                <w:sz w:val="18"/>
                <w:szCs w:val="18"/>
              </w:rPr>
              <w:t>处罚</w:t>
            </w:r>
          </w:p>
        </w:tc>
        <w:tc>
          <w:tcPr>
            <w:tcW w:w="1190" w:type="dxa"/>
            <w:vAlign w:val="center"/>
          </w:tcPr>
          <w:p>
            <w:pPr>
              <w:spacing w:line="20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8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外劳务合作管理条例》（2012年国务院令第620号）第四十三条：由商务主管部门责令改正，处10万元以上20万元以下的罚款，并对其主要负责人处2万元以上5万元以下的罚款；在国外引起重大劳务纠纷、突发事件或者造成其他严重后果的，吊销其对外劳务合作经营资格证书</w:t>
            </w:r>
            <w:r>
              <w:rPr>
                <w:rFonts w:hint="eastAsia" w:ascii="仿宋" w:hAnsi="仿宋" w:eastAsia="仿宋" w:cs="仿宋"/>
                <w:b w:val="0"/>
                <w:bCs w:val="0"/>
                <w:color w:val="auto"/>
                <w:sz w:val="18"/>
                <w:szCs w:val="18"/>
                <w:lang w:eastAsia="zh-CN"/>
              </w:rPr>
              <w:t>：</w:t>
            </w:r>
            <w:r>
              <w:rPr>
                <w:rFonts w:hint="default" w:ascii="仿宋" w:hAnsi="仿宋" w:eastAsia="仿宋" w:cs="仿宋"/>
                <w:b w:val="0"/>
                <w:bCs w:val="0"/>
                <w:color w:val="auto"/>
                <w:sz w:val="18"/>
                <w:szCs w:val="18"/>
              </w:rPr>
              <w:br w:type="textWrapping"/>
            </w:r>
            <w:r>
              <w:rPr>
                <w:rFonts w:hint="default" w:ascii="仿宋" w:hAnsi="仿宋" w:eastAsia="仿宋" w:cs="仿宋"/>
                <w:b w:val="0"/>
                <w:bCs w:val="0"/>
                <w:color w:val="auto"/>
                <w:sz w:val="18"/>
                <w:szCs w:val="18"/>
              </w:rPr>
              <w:t> 　　（一）未与国外雇主订立劳务合作合同，组织劳务人员赴国外工作；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right="0" w:firstLine="0"/>
              <w:textAlignment w:val="auto"/>
              <w:rPr>
                <w:rFonts w:hint="default" w:ascii="仿宋" w:hAnsi="仿宋" w:eastAsia="仿宋" w:cs="仿宋"/>
                <w:b w:val="0"/>
                <w:bCs w:val="0"/>
                <w:color w:val="auto"/>
                <w:sz w:val="18"/>
                <w:szCs w:val="18"/>
              </w:rPr>
            </w:pPr>
            <w:r>
              <w:rPr>
                <w:rFonts w:hint="default" w:ascii="仿宋" w:hAnsi="仿宋" w:eastAsia="仿宋" w:cs="仿宋"/>
                <w:b w:val="0"/>
                <w:bCs w:val="0"/>
                <w:color w:val="auto"/>
                <w:sz w:val="18"/>
                <w:szCs w:val="18"/>
              </w:rPr>
              <w:t> 　　（二）未依照本条例规定与劳务人员订立服务合同或者劳动合同，组织劳务人员赴国外工作；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right="0" w:firstLine="0"/>
              <w:textAlignment w:val="auto"/>
              <w:rPr>
                <w:rFonts w:hint="default" w:ascii="仿宋" w:hAnsi="仿宋" w:eastAsia="仿宋" w:cs="仿宋"/>
                <w:b w:val="0"/>
                <w:bCs w:val="0"/>
                <w:color w:val="auto"/>
                <w:sz w:val="18"/>
                <w:szCs w:val="18"/>
              </w:rPr>
            </w:pPr>
            <w:r>
              <w:rPr>
                <w:rFonts w:hint="default" w:ascii="仿宋" w:hAnsi="仿宋" w:eastAsia="仿宋" w:cs="仿宋"/>
                <w:b w:val="0"/>
                <w:bCs w:val="0"/>
                <w:color w:val="auto"/>
                <w:sz w:val="18"/>
                <w:szCs w:val="18"/>
              </w:rPr>
              <w:t> 　　（三）违反本条例规定，与未经批准的国外雇主或者与国外的个人订立劳务合作合同，组织劳务人员赴国外工作；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right="0" w:firstLine="0"/>
              <w:textAlignment w:val="auto"/>
              <w:rPr>
                <w:rFonts w:hint="default" w:ascii="仿宋" w:hAnsi="仿宋" w:eastAsia="仿宋" w:cs="仿宋"/>
                <w:b w:val="0"/>
                <w:bCs w:val="0"/>
                <w:color w:val="auto"/>
                <w:sz w:val="18"/>
                <w:szCs w:val="18"/>
              </w:rPr>
            </w:pPr>
            <w:r>
              <w:rPr>
                <w:rFonts w:hint="default" w:ascii="仿宋" w:hAnsi="仿宋" w:eastAsia="仿宋" w:cs="仿宋"/>
                <w:b w:val="0"/>
                <w:bCs w:val="0"/>
                <w:color w:val="auto"/>
                <w:sz w:val="18"/>
                <w:szCs w:val="18"/>
              </w:rPr>
              <w:t> 　　（四）与劳务人员订立服务合同或者劳动合同，隐瞒有关信息或者提供虚假信息；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right="0" w:firstLine="0"/>
              <w:textAlignment w:val="auto"/>
              <w:rPr>
                <w:rFonts w:hint="default" w:ascii="仿宋" w:hAnsi="仿宋" w:eastAsia="仿宋" w:cs="仿宋"/>
                <w:b w:val="0"/>
                <w:bCs w:val="0"/>
                <w:color w:val="auto"/>
                <w:sz w:val="18"/>
                <w:szCs w:val="18"/>
              </w:rPr>
            </w:pPr>
            <w:r>
              <w:rPr>
                <w:rFonts w:hint="default" w:ascii="仿宋" w:hAnsi="仿宋" w:eastAsia="仿宋" w:cs="仿宋"/>
                <w:b w:val="0"/>
                <w:bCs w:val="0"/>
                <w:color w:val="auto"/>
                <w:sz w:val="18"/>
                <w:szCs w:val="18"/>
              </w:rPr>
              <w:t> 　　（五）在国外发生突发事件时不及时处理；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right="0" w:firstLine="0"/>
              <w:textAlignment w:val="auto"/>
              <w:rPr>
                <w:rFonts w:hint="default" w:ascii="仿宋" w:hAnsi="仿宋" w:eastAsia="仿宋" w:cs="仿宋"/>
                <w:b w:val="0"/>
                <w:bCs w:val="0"/>
                <w:color w:val="auto"/>
                <w:sz w:val="18"/>
                <w:szCs w:val="18"/>
              </w:rPr>
            </w:pPr>
            <w:r>
              <w:rPr>
                <w:rFonts w:hint="default" w:ascii="仿宋" w:hAnsi="仿宋" w:eastAsia="仿宋" w:cs="仿宋"/>
                <w:b w:val="0"/>
                <w:bCs w:val="0"/>
                <w:color w:val="auto"/>
                <w:sz w:val="18"/>
                <w:szCs w:val="18"/>
              </w:rPr>
              <w:t> 　　（六）停止开展对外劳务合作，未对其派出的尚在国外工作的劳务人员作出安排。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right="0" w:firstLine="0"/>
              <w:textAlignment w:val="auto"/>
              <w:rPr>
                <w:rFonts w:hint="default" w:ascii="仿宋" w:hAnsi="仿宋" w:eastAsia="仿宋" w:cs="仿宋"/>
                <w:b w:val="0"/>
                <w:bCs w:val="0"/>
                <w:color w:val="auto"/>
                <w:sz w:val="18"/>
                <w:szCs w:val="18"/>
              </w:rPr>
            </w:pPr>
            <w:r>
              <w:rPr>
                <w:rFonts w:hint="default" w:ascii="仿宋" w:hAnsi="仿宋" w:eastAsia="仿宋" w:cs="仿宋"/>
                <w:b w:val="0"/>
                <w:bCs w:val="0"/>
                <w:color w:val="auto"/>
                <w:sz w:val="18"/>
                <w:szCs w:val="18"/>
              </w:rPr>
              <w:t> 　　有前款第四项规定情形，构成犯罪的，依法追究刑事责任。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仿宋" w:hAnsi="仿宋" w:eastAsia="仿宋" w:cs="仿宋"/>
                <w:b w:val="0"/>
                <w:bCs w:val="0"/>
                <w:color w:val="auto"/>
                <w:sz w:val="18"/>
                <w:szCs w:val="18"/>
                <w:lang w:eastAsia="zh-CN"/>
              </w:rPr>
            </w:pPr>
          </w:p>
          <w:p>
            <w:pPr>
              <w:tabs>
                <w:tab w:val="left" w:pos="7937"/>
              </w:tabs>
              <w:spacing w:line="200" w:lineRule="exact"/>
              <w:jc w:val="left"/>
              <w:rPr>
                <w:rFonts w:hint="eastAsia" w:ascii="仿宋" w:hAnsi="仿宋" w:eastAsia="仿宋" w:cs="仿宋"/>
                <w:b w:val="0"/>
                <w:bCs w:val="0"/>
                <w:color w:val="auto"/>
                <w:sz w:val="18"/>
                <w:szCs w:val="18"/>
              </w:rPr>
            </w:pPr>
          </w:p>
          <w:p>
            <w:pPr>
              <w:tabs>
                <w:tab w:val="left" w:pos="7937"/>
              </w:tabs>
              <w:spacing w:line="200" w:lineRule="exact"/>
              <w:jc w:val="left"/>
              <w:rPr>
                <w:rFonts w:hint="eastAsia" w:ascii="仿宋" w:hAnsi="仿宋" w:eastAsia="仿宋" w:cs="仿宋"/>
                <w:b w:val="0"/>
                <w:bCs w:val="0"/>
                <w:color w:val="auto"/>
                <w:sz w:val="18"/>
                <w:szCs w:val="18"/>
              </w:rPr>
            </w:pPr>
          </w:p>
        </w:tc>
        <w:tc>
          <w:tcPr>
            <w:tcW w:w="292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涉嫌未与国外雇主签订劳务合作合同组织劳务人员赴国外工作；未与劳务人员订立劳务合作合同或劳动合同，组织劳务人员赴国外工作；与未经批准的国外雇主或与外国的个人订立合同，组织劳务人员赴国外工作；在订立劳务合作合同时，隐瞒有关信息或者提供虚假信息；在国外发生突发事件未及时处理；停止开展对外劳务合作，未对其派出的尚在国外工作的劳务人员做出安排；拒不将服务合同或劳务合作合同或劳动合同副本报商务主管部门备案的，予以审查，决定是否立案。</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依照生效的行政处罚决定责令改正，处10万元以上20万元以下的罚款，并对其主要负责人处2万元以上5万元以下的罚款；在国外引起重大劳务纠纷、突发事件或者造成其他严重后果的，吊销其对外劳务合作经营资格证书：</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8、其他法律法规规章文件规定应履行的责任。</w:t>
            </w:r>
          </w:p>
        </w:tc>
        <w:tc>
          <w:tcPr>
            <w:tcW w:w="251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1、没有法律和事实依据实施行政处罚的；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2、行政处罚显失公正的；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3、商务主管部门和其他有关部门的工作人员，在对外劳务合作监督管理工作中有下列行为之一的，依法给予处分；构成犯罪的，依法追究刑事责任：</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（一）对不符合本条例规定条件的对外劳务合作经营资格申请予以批准；</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（二）对外劳务合作企业不再具备本条例规定的条件而不撤销原批准；</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（三）对违反本条例规定组织劳务人员赴国外工作以及其他违反本条例规定的行为不依法查处；</w:t>
            </w:r>
          </w:p>
          <w:p>
            <w:pPr>
              <w:tabs>
                <w:tab w:val="left" w:pos="7937"/>
              </w:tabs>
              <w:spacing w:line="200" w:lineRule="exact"/>
              <w:ind w:firstLine="343"/>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（四）其他滥用职权、玩忽职守、徇私舞弊，不依法履行监督管理职责的行为。</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4、不具备行政执法资格实施行政处罚的；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5、应当依法移送追究刑事责任，而未依法移送有权机关的；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6</w:t>
            </w:r>
            <w:r>
              <w:rPr>
                <w:rFonts w:hint="eastAsia" w:ascii="仿宋" w:hAnsi="仿宋" w:eastAsia="仿宋" w:cs="仿宋"/>
                <w:b w:val="0"/>
                <w:bCs w:val="0"/>
                <w:color w:val="auto"/>
                <w:sz w:val="18"/>
                <w:szCs w:val="18"/>
                <w:highlight w:val="none"/>
              </w:rPr>
              <w:t>、擅自改变行政处罚种类、幅度的；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7</w:t>
            </w:r>
            <w:r>
              <w:rPr>
                <w:rFonts w:hint="eastAsia" w:ascii="仿宋" w:hAnsi="仿宋" w:eastAsia="仿宋" w:cs="仿宋"/>
                <w:b w:val="0"/>
                <w:bCs w:val="0"/>
                <w:color w:val="auto"/>
                <w:sz w:val="18"/>
                <w:szCs w:val="18"/>
                <w:highlight w:val="none"/>
              </w:rPr>
              <w:t>、违反法定的行政处罚程序的；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8</w:t>
            </w:r>
            <w:r>
              <w:rPr>
                <w:rFonts w:hint="eastAsia" w:ascii="仿宋" w:hAnsi="仿宋" w:eastAsia="仿宋" w:cs="仿宋"/>
                <w:b w:val="0"/>
                <w:bCs w:val="0"/>
                <w:color w:val="auto"/>
                <w:sz w:val="18"/>
                <w:szCs w:val="18"/>
                <w:highlight w:val="none"/>
              </w:rPr>
              <w:t>、符合听证条件、行政管理相对人要求听证，应予组织听证而不组织听证的；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9</w:t>
            </w:r>
            <w:r>
              <w:rPr>
                <w:rFonts w:hint="eastAsia" w:ascii="仿宋" w:hAnsi="仿宋" w:eastAsia="仿宋" w:cs="仿宋"/>
                <w:b w:val="0"/>
                <w:bCs w:val="0"/>
                <w:color w:val="auto"/>
                <w:sz w:val="18"/>
                <w:szCs w:val="18"/>
                <w:highlight w:val="none"/>
              </w:rPr>
              <w:t>、在行政处罚过程中发生腐败行为的；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highlight w:val="none"/>
                <w:lang w:val="en-US" w:eastAsia="zh-CN"/>
              </w:rPr>
              <w:t>10</w:t>
            </w:r>
            <w:r>
              <w:rPr>
                <w:rFonts w:hint="eastAsia" w:ascii="仿宋" w:hAnsi="仿宋" w:eastAsia="仿宋" w:cs="仿宋"/>
                <w:b w:val="0"/>
                <w:bCs w:val="0"/>
                <w:color w:val="auto"/>
                <w:sz w:val="18"/>
                <w:szCs w:val="18"/>
                <w:highlight w:val="none"/>
              </w:rPr>
              <w:t>、其他违反法律法规规章文件规定的行为。</w:t>
            </w:r>
          </w:p>
        </w:tc>
        <w:tc>
          <w:tcPr>
            <w:tcW w:w="700" w:type="dxa"/>
            <w:vAlign w:val="center"/>
          </w:tcPr>
          <w:p>
            <w:pPr>
              <w:tabs>
                <w:tab w:val="left" w:pos="7937"/>
              </w:tabs>
              <w:spacing w:line="200" w:lineRule="exact"/>
              <w:jc w:val="left"/>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7" w:hRule="exact"/>
        </w:trPr>
        <w:tc>
          <w:tcPr>
            <w:tcW w:w="752" w:type="dxa"/>
            <w:vAlign w:val="center"/>
          </w:tcPr>
          <w:p>
            <w:pPr>
              <w:autoSpaceDN w:val="0"/>
              <w:spacing w:line="300" w:lineRule="exact"/>
              <w:jc w:val="center"/>
              <w:textAlignment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4</w:t>
            </w:r>
          </w:p>
        </w:tc>
        <w:tc>
          <w:tcPr>
            <w:tcW w:w="1213"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行政处罚</w:t>
            </w:r>
          </w:p>
        </w:tc>
        <w:tc>
          <w:tcPr>
            <w:tcW w:w="1472"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对</w:t>
            </w:r>
            <w:r>
              <w:rPr>
                <w:rFonts w:hint="eastAsia" w:ascii="仿宋" w:hAnsi="仿宋" w:eastAsia="仿宋" w:cs="仿宋"/>
                <w:b w:val="0"/>
                <w:bCs w:val="0"/>
                <w:color w:val="auto"/>
                <w:sz w:val="18"/>
                <w:szCs w:val="18"/>
              </w:rPr>
              <w:t>零售商滥用优势地位从事不公平交易行为的</w:t>
            </w:r>
            <w:r>
              <w:rPr>
                <w:rFonts w:hint="eastAsia" w:ascii="仿宋" w:hAnsi="仿宋" w:eastAsia="仿宋" w:cs="仿宋"/>
                <w:b w:val="0"/>
                <w:bCs w:val="0"/>
                <w:color w:val="auto"/>
                <w:sz w:val="18"/>
                <w:szCs w:val="18"/>
                <w:highlight w:val="none"/>
                <w:lang w:val="en-US" w:eastAsia="zh-CN"/>
              </w:rPr>
              <w:t>行政</w:t>
            </w:r>
            <w:r>
              <w:rPr>
                <w:rFonts w:hint="eastAsia" w:ascii="仿宋" w:hAnsi="仿宋" w:eastAsia="仿宋" w:cs="仿宋"/>
                <w:b w:val="0"/>
                <w:bCs w:val="0"/>
                <w:color w:val="auto"/>
                <w:sz w:val="18"/>
                <w:szCs w:val="18"/>
              </w:rPr>
              <w:t>处罚</w:t>
            </w:r>
          </w:p>
        </w:tc>
        <w:tc>
          <w:tcPr>
            <w:tcW w:w="1190" w:type="dxa"/>
            <w:vAlign w:val="center"/>
          </w:tcPr>
          <w:p>
            <w:pPr>
              <w:spacing w:line="20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8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right="0" w:firstLine="0"/>
              <w:textAlignment w:val="auto"/>
              <w:rPr>
                <w:rFonts w:hint="default" w:ascii="仿宋" w:hAnsi="仿宋" w:eastAsia="仿宋" w:cs="仿宋"/>
                <w:b w:val="0"/>
                <w:bCs w:val="0"/>
                <w:color w:val="auto"/>
                <w:sz w:val="18"/>
                <w:szCs w:val="18"/>
              </w:rPr>
            </w:pPr>
            <w:r>
              <w:rPr>
                <w:rFonts w:hint="eastAsia" w:ascii="仿宋" w:hAnsi="仿宋" w:eastAsia="仿宋" w:cs="仿宋"/>
                <w:b w:val="0"/>
                <w:bCs w:val="0"/>
                <w:color w:val="auto"/>
                <w:sz w:val="18"/>
                <w:szCs w:val="18"/>
              </w:rPr>
              <w:t>《零售商供应商公平交易管理办法》（商务部、国家发展和改革委员会、公安部、国家税务总局、国家工商行政管理总局令2006年第17号）第六条</w:t>
            </w:r>
            <w:r>
              <w:rPr>
                <w:rFonts w:hint="eastAsia" w:ascii="仿宋" w:hAnsi="仿宋" w:eastAsia="仿宋" w:cs="仿宋"/>
                <w:b w:val="0"/>
                <w:bCs w:val="0"/>
                <w:color w:val="auto"/>
                <w:sz w:val="18"/>
                <w:szCs w:val="18"/>
                <w:lang w:eastAsia="zh-CN"/>
              </w:rPr>
              <w:t>：</w:t>
            </w:r>
            <w:r>
              <w:rPr>
                <w:rFonts w:hint="default" w:ascii="仿宋" w:hAnsi="仿宋" w:eastAsia="仿宋" w:cs="仿宋"/>
                <w:b w:val="0"/>
                <w:bCs w:val="0"/>
                <w:color w:val="auto"/>
                <w:sz w:val="18"/>
                <w:szCs w:val="18"/>
              </w:rPr>
              <w:t>零售商不得滥用优势地位从事下列不公平交易行为：（一）与供应商签订特定商品的供货合同，双方就商品的特定规格、型号、款式等达成一致后，又拒绝接收该商品。但具有可归责于供应商的事由，或经供应商同意、零售商负责承担由此产生的损失的除外；（二）要求供应商承担事先未约定的商品损耗责任；（三）事先未约定或者不符合事先约定的商品下架或撤柜的条件，零售商无正当理由将供应商所供货物下架或撤柜的；但是零售商根据法律法规或行政机关依法作出的行政决定将供应商所供货物下架、撤柜的除外；（四）强迫供应商无条件销售返利，或者约定以一定销售额为销售返利前提，未完成约定销售额却向供应商收取返利的；（五）强迫供应商购买指定的商品或接受指定的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right="0" w:firstLine="344" w:firstLineChars="200"/>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第二十三条：法律法规有规定的，从其规定；没有规定的，责令改正；有违法所得的，可处违法所得三倍以下罚款，但最高不超过三万元；没有违法所得的，可处一万元以下罚款；并可向社会公告。</w:t>
            </w:r>
          </w:p>
          <w:p>
            <w:pPr>
              <w:keepNext w:val="0"/>
              <w:keepLines w:val="0"/>
              <w:pageBreakBefore w:val="0"/>
              <w:tabs>
                <w:tab w:val="left" w:pos="7937"/>
              </w:tabs>
              <w:kinsoku/>
              <w:overflowPunct/>
              <w:topLinePunct w:val="0"/>
              <w:autoSpaceDE/>
              <w:autoSpaceDN/>
              <w:bidi w:val="0"/>
              <w:adjustRightInd/>
              <w:snapToGrid/>
              <w:spacing w:line="200" w:lineRule="exact"/>
              <w:jc w:val="left"/>
              <w:textAlignment w:val="auto"/>
              <w:rPr>
                <w:rFonts w:hint="eastAsia" w:ascii="仿宋" w:hAnsi="仿宋" w:eastAsia="仿宋" w:cs="仿宋"/>
                <w:b w:val="0"/>
                <w:bCs w:val="0"/>
                <w:color w:val="auto"/>
                <w:sz w:val="18"/>
                <w:szCs w:val="18"/>
              </w:rPr>
            </w:pPr>
          </w:p>
        </w:tc>
        <w:tc>
          <w:tcPr>
            <w:tcW w:w="292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1、立案责任：零售商涉嫌滥用优势地位从事不公平交易行为的，予以审查，决定是否立案。</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7、执行责任：依照生效的行政处罚决定责令改正；有违法所得的，可处违法所得三倍以下罚款，但最高不超过三万元；没有违法所得的，可处一万元以下罚款；并可向社会公告。</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8、其他法律法规规章文件规定应履行的责任。</w:t>
            </w:r>
          </w:p>
        </w:tc>
        <w:tc>
          <w:tcPr>
            <w:tcW w:w="251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1、没有法律和事实依据实施行政处罚的；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2、行政处罚显失公正的；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3、对违反本办法规定的行为任何单位和个人均可向上述部门举报，相关部门接到举报后，应当依法予以查处。</w:t>
            </w:r>
            <w:r>
              <w:rPr>
                <w:rFonts w:hint="eastAsia" w:ascii="仿宋" w:hAnsi="仿宋" w:eastAsia="仿宋" w:cs="仿宋"/>
                <w:b w:val="0"/>
                <w:bCs w:val="0"/>
                <w:color w:val="auto"/>
                <w:sz w:val="18"/>
                <w:szCs w:val="18"/>
              </w:rPr>
              <w:br w:type="textWrapping"/>
            </w:r>
            <w:r>
              <w:rPr>
                <w:rFonts w:hint="eastAsia" w:ascii="仿宋" w:hAnsi="仿宋" w:eastAsia="仿宋" w:cs="仿宋"/>
                <w:b w:val="0"/>
                <w:bCs w:val="0"/>
                <w:color w:val="auto"/>
                <w:sz w:val="18"/>
                <w:szCs w:val="18"/>
              </w:rPr>
              <w:t>4、不具备行政执法资格实施行政处罚的；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5、应当依法移送追究刑事责任，而未依法移送有权机关的；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6</w:t>
            </w:r>
            <w:r>
              <w:rPr>
                <w:rFonts w:hint="eastAsia" w:ascii="仿宋" w:hAnsi="仿宋" w:eastAsia="仿宋" w:cs="仿宋"/>
                <w:b w:val="0"/>
                <w:bCs w:val="0"/>
                <w:color w:val="auto"/>
                <w:sz w:val="18"/>
                <w:szCs w:val="18"/>
                <w:highlight w:val="none"/>
              </w:rPr>
              <w:t>、擅自改变行政处罚种类、幅度的；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7</w:t>
            </w:r>
            <w:r>
              <w:rPr>
                <w:rFonts w:hint="eastAsia" w:ascii="仿宋" w:hAnsi="仿宋" w:eastAsia="仿宋" w:cs="仿宋"/>
                <w:b w:val="0"/>
                <w:bCs w:val="0"/>
                <w:color w:val="auto"/>
                <w:sz w:val="18"/>
                <w:szCs w:val="18"/>
                <w:highlight w:val="none"/>
              </w:rPr>
              <w:t>、违反法定的行政处罚程序的；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8</w:t>
            </w:r>
            <w:r>
              <w:rPr>
                <w:rFonts w:hint="eastAsia" w:ascii="仿宋" w:hAnsi="仿宋" w:eastAsia="仿宋" w:cs="仿宋"/>
                <w:b w:val="0"/>
                <w:bCs w:val="0"/>
                <w:color w:val="auto"/>
                <w:sz w:val="18"/>
                <w:szCs w:val="18"/>
                <w:highlight w:val="none"/>
              </w:rPr>
              <w:t>、符合听证条件、行政管理相对人要求听证，应予组织听证而不组织听证的；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9</w:t>
            </w:r>
            <w:r>
              <w:rPr>
                <w:rFonts w:hint="eastAsia" w:ascii="仿宋" w:hAnsi="仿宋" w:eastAsia="仿宋" w:cs="仿宋"/>
                <w:b w:val="0"/>
                <w:bCs w:val="0"/>
                <w:color w:val="auto"/>
                <w:sz w:val="18"/>
                <w:szCs w:val="18"/>
                <w:highlight w:val="none"/>
              </w:rPr>
              <w:t>、在行政处罚过程中发生腐败行为的；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highlight w:val="none"/>
                <w:lang w:val="en-US" w:eastAsia="zh-CN"/>
              </w:rPr>
              <w:t>10</w:t>
            </w:r>
            <w:r>
              <w:rPr>
                <w:rFonts w:hint="eastAsia" w:ascii="仿宋" w:hAnsi="仿宋" w:eastAsia="仿宋" w:cs="仿宋"/>
                <w:b w:val="0"/>
                <w:bCs w:val="0"/>
                <w:color w:val="auto"/>
                <w:sz w:val="18"/>
                <w:szCs w:val="18"/>
                <w:highlight w:val="none"/>
              </w:rPr>
              <w:t>、其他违反法律法规规章文件规定的行为。</w:t>
            </w:r>
          </w:p>
        </w:tc>
        <w:tc>
          <w:tcPr>
            <w:tcW w:w="700" w:type="dxa"/>
            <w:vAlign w:val="center"/>
          </w:tcPr>
          <w:p>
            <w:pPr>
              <w:tabs>
                <w:tab w:val="left" w:pos="7937"/>
              </w:tabs>
              <w:spacing w:line="200" w:lineRule="exact"/>
              <w:jc w:val="left"/>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0" w:hRule="exact"/>
        </w:trPr>
        <w:tc>
          <w:tcPr>
            <w:tcW w:w="752" w:type="dxa"/>
            <w:vAlign w:val="center"/>
          </w:tcPr>
          <w:p>
            <w:pPr>
              <w:autoSpaceDN w:val="0"/>
              <w:spacing w:line="300" w:lineRule="exact"/>
              <w:jc w:val="center"/>
              <w:textAlignment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5</w:t>
            </w:r>
          </w:p>
        </w:tc>
        <w:tc>
          <w:tcPr>
            <w:tcW w:w="1213"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行政处罚</w:t>
            </w:r>
          </w:p>
        </w:tc>
        <w:tc>
          <w:tcPr>
            <w:tcW w:w="1472"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对</w:t>
            </w:r>
            <w:r>
              <w:rPr>
                <w:rFonts w:hint="eastAsia" w:ascii="仿宋" w:hAnsi="仿宋" w:eastAsia="仿宋" w:cs="仿宋"/>
                <w:b w:val="0"/>
                <w:bCs w:val="0"/>
                <w:color w:val="auto"/>
                <w:sz w:val="18"/>
                <w:szCs w:val="18"/>
              </w:rPr>
              <w:t>零售商收取促销服务费后，未按合同约定向供应商提供相应的服务，擅自终止服务或降低法务标准，并拒绝向供应商发还未提供服务部分费用的</w:t>
            </w:r>
            <w:r>
              <w:rPr>
                <w:rFonts w:hint="eastAsia" w:ascii="仿宋" w:hAnsi="仿宋" w:eastAsia="仿宋" w:cs="仿宋"/>
                <w:b w:val="0"/>
                <w:bCs w:val="0"/>
                <w:color w:val="auto"/>
                <w:sz w:val="18"/>
                <w:szCs w:val="18"/>
                <w:highlight w:val="none"/>
                <w:lang w:val="en-US" w:eastAsia="zh-CN"/>
              </w:rPr>
              <w:t>行政</w:t>
            </w:r>
            <w:r>
              <w:rPr>
                <w:rFonts w:hint="eastAsia" w:ascii="仿宋" w:hAnsi="仿宋" w:eastAsia="仿宋" w:cs="仿宋"/>
                <w:b w:val="0"/>
                <w:bCs w:val="0"/>
                <w:color w:val="auto"/>
                <w:sz w:val="18"/>
                <w:szCs w:val="18"/>
              </w:rPr>
              <w:t>处罚</w:t>
            </w:r>
          </w:p>
        </w:tc>
        <w:tc>
          <w:tcPr>
            <w:tcW w:w="1190" w:type="dxa"/>
            <w:vAlign w:val="center"/>
          </w:tcPr>
          <w:p>
            <w:pPr>
              <w:spacing w:line="20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80" w:type="dxa"/>
            <w:vAlign w:val="center"/>
          </w:tcPr>
          <w:p>
            <w:pPr>
              <w:tabs>
                <w:tab w:val="left" w:pos="7937"/>
              </w:tabs>
              <w:spacing w:line="200" w:lineRule="exact"/>
              <w:jc w:val="left"/>
              <w:rPr>
                <w:rFonts w:hint="default" w:ascii="仿宋" w:hAnsi="仿宋" w:eastAsia="仿宋" w:cs="仿宋"/>
                <w:b w:val="0"/>
                <w:bCs w:val="0"/>
                <w:color w:val="auto"/>
                <w:sz w:val="18"/>
                <w:szCs w:val="18"/>
              </w:rPr>
            </w:pPr>
            <w:r>
              <w:rPr>
                <w:rFonts w:hint="eastAsia" w:ascii="仿宋" w:hAnsi="仿宋" w:eastAsia="仿宋" w:cs="仿宋"/>
                <w:b w:val="0"/>
                <w:bCs w:val="0"/>
                <w:color w:val="auto"/>
                <w:sz w:val="18"/>
                <w:szCs w:val="18"/>
              </w:rPr>
              <w:t>《零售商供应商公平交易管理办法》（商务部、国家发展和改革委员会、公安部、国家税务总局、国家工商行政管理总局令2006年第17号）第十</w:t>
            </w:r>
            <w:r>
              <w:rPr>
                <w:rFonts w:hint="eastAsia" w:ascii="仿宋" w:hAnsi="仿宋" w:eastAsia="仿宋" w:cs="仿宋"/>
                <w:b w:val="0"/>
                <w:bCs w:val="0"/>
                <w:color w:val="auto"/>
                <w:sz w:val="18"/>
                <w:szCs w:val="18"/>
                <w:lang w:val="en-US" w:eastAsia="zh-CN"/>
              </w:rPr>
              <w:t>一</w:t>
            </w:r>
            <w:r>
              <w:rPr>
                <w:rFonts w:hint="eastAsia" w:ascii="仿宋" w:hAnsi="仿宋" w:eastAsia="仿宋" w:cs="仿宋"/>
                <w:b w:val="0"/>
                <w:bCs w:val="0"/>
                <w:color w:val="auto"/>
                <w:sz w:val="18"/>
                <w:szCs w:val="18"/>
              </w:rPr>
              <w:t>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 </w:t>
            </w:r>
            <w:r>
              <w:rPr>
                <w:rFonts w:hint="default" w:ascii="仿宋" w:hAnsi="仿宋" w:eastAsia="仿宋" w:cs="仿宋"/>
                <w:b w:val="0"/>
                <w:bCs w:val="0"/>
                <w:color w:val="auto"/>
                <w:sz w:val="18"/>
                <w:szCs w:val="18"/>
              </w:rPr>
              <w:t>零售商收取促销服务费后，应当按照合同约定向供应商提供相应的服务，不得擅自中止服务或降低服务标准。零售商未完全提供相应服务的，应当向供应商返还未提供服务部分的费用。</w:t>
            </w:r>
          </w:p>
          <w:p>
            <w:pPr>
              <w:tabs>
                <w:tab w:val="left" w:pos="7937"/>
              </w:tabs>
              <w:spacing w:line="200" w:lineRule="exact"/>
              <w:ind w:firstLine="344" w:firstLineChars="200"/>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第二十三条：法律法规有规定的，从其规定；没有规定的，责令改正；有违法所得的，可处违法所得三倍以下罚款，但最高不超过三万元；没有违法所得的，可处一万元以下罚款；并可向社会公告。</w:t>
            </w:r>
          </w:p>
          <w:p>
            <w:pPr>
              <w:tabs>
                <w:tab w:val="left" w:pos="7937"/>
              </w:tabs>
              <w:spacing w:line="200" w:lineRule="exact"/>
              <w:jc w:val="left"/>
              <w:rPr>
                <w:rFonts w:hint="eastAsia" w:ascii="仿宋" w:hAnsi="仿宋" w:eastAsia="仿宋" w:cs="仿宋"/>
                <w:b w:val="0"/>
                <w:bCs w:val="0"/>
                <w:color w:val="auto"/>
                <w:sz w:val="18"/>
                <w:szCs w:val="18"/>
              </w:rPr>
            </w:pPr>
          </w:p>
        </w:tc>
        <w:tc>
          <w:tcPr>
            <w:tcW w:w="292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1、立案责任：零售商涉嫌收取促销服务费后，未按合同约定向供应商提供相应的服务，擅自终止服务或降低法务标准，并拒绝向供应商发还未提供服务部分费用的，予以审查，决定是否立案。</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7、执行责任：依照生效的行政处罚决定责令改正；有违法所得的，可处违法所得三倍以下罚款，但最高不超过三万元；没有违法所得的，可处一万元以下罚款；并可向社会公告。</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8、其他法律法规规章文件规定应履行的责任。</w:t>
            </w:r>
          </w:p>
        </w:tc>
        <w:tc>
          <w:tcPr>
            <w:tcW w:w="251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1、没有法律和事实依据实施行政处罚的；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2、行政处罚显失公正的；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3、对违反本办法规定的行为任何单位和个人均可向上述部门举报，相关部门接到举报后，应当依法予以查处。</w:t>
            </w:r>
            <w:r>
              <w:rPr>
                <w:rFonts w:hint="eastAsia" w:ascii="仿宋" w:hAnsi="仿宋" w:eastAsia="仿宋" w:cs="仿宋"/>
                <w:b w:val="0"/>
                <w:bCs w:val="0"/>
                <w:color w:val="auto"/>
                <w:sz w:val="18"/>
                <w:szCs w:val="18"/>
              </w:rPr>
              <w:br w:type="textWrapping"/>
            </w:r>
            <w:r>
              <w:rPr>
                <w:rFonts w:hint="eastAsia" w:ascii="仿宋" w:hAnsi="仿宋" w:eastAsia="仿宋" w:cs="仿宋"/>
                <w:b w:val="0"/>
                <w:bCs w:val="0"/>
                <w:color w:val="auto"/>
                <w:sz w:val="18"/>
                <w:szCs w:val="18"/>
              </w:rPr>
              <w:t>4、不具备行政执法资格实施行政处罚的；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5、应当依法移送追究刑事责任，而未依法移送有权机关的；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6</w:t>
            </w:r>
            <w:r>
              <w:rPr>
                <w:rFonts w:hint="eastAsia" w:ascii="仿宋" w:hAnsi="仿宋" w:eastAsia="仿宋" w:cs="仿宋"/>
                <w:b w:val="0"/>
                <w:bCs w:val="0"/>
                <w:color w:val="auto"/>
                <w:sz w:val="18"/>
                <w:szCs w:val="18"/>
                <w:highlight w:val="none"/>
              </w:rPr>
              <w:t>、擅自改变行政处罚种类、幅度的；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7</w:t>
            </w:r>
            <w:r>
              <w:rPr>
                <w:rFonts w:hint="eastAsia" w:ascii="仿宋" w:hAnsi="仿宋" w:eastAsia="仿宋" w:cs="仿宋"/>
                <w:b w:val="0"/>
                <w:bCs w:val="0"/>
                <w:color w:val="auto"/>
                <w:sz w:val="18"/>
                <w:szCs w:val="18"/>
                <w:highlight w:val="none"/>
              </w:rPr>
              <w:t>、违反法定的行政处罚程序的；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8</w:t>
            </w:r>
            <w:r>
              <w:rPr>
                <w:rFonts w:hint="eastAsia" w:ascii="仿宋" w:hAnsi="仿宋" w:eastAsia="仿宋" w:cs="仿宋"/>
                <w:b w:val="0"/>
                <w:bCs w:val="0"/>
                <w:color w:val="auto"/>
                <w:sz w:val="18"/>
                <w:szCs w:val="18"/>
                <w:highlight w:val="none"/>
              </w:rPr>
              <w:t>、符合听证条件、行政管理相对人要求听证，应予组织听证而不组织听证的；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9</w:t>
            </w:r>
            <w:r>
              <w:rPr>
                <w:rFonts w:hint="eastAsia" w:ascii="仿宋" w:hAnsi="仿宋" w:eastAsia="仿宋" w:cs="仿宋"/>
                <w:b w:val="0"/>
                <w:bCs w:val="0"/>
                <w:color w:val="auto"/>
                <w:sz w:val="18"/>
                <w:szCs w:val="18"/>
                <w:highlight w:val="none"/>
              </w:rPr>
              <w:t>、在行政处罚过程中发生腐败行为的；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highlight w:val="none"/>
                <w:lang w:val="en-US" w:eastAsia="zh-CN"/>
              </w:rPr>
              <w:t>10</w:t>
            </w:r>
            <w:r>
              <w:rPr>
                <w:rFonts w:hint="eastAsia" w:ascii="仿宋" w:hAnsi="仿宋" w:eastAsia="仿宋" w:cs="仿宋"/>
                <w:b w:val="0"/>
                <w:bCs w:val="0"/>
                <w:color w:val="auto"/>
                <w:sz w:val="18"/>
                <w:szCs w:val="18"/>
                <w:highlight w:val="none"/>
              </w:rPr>
              <w:t>、其他违反法律法规规章文件规定的行为。</w:t>
            </w:r>
          </w:p>
        </w:tc>
        <w:tc>
          <w:tcPr>
            <w:tcW w:w="700" w:type="dxa"/>
            <w:vAlign w:val="center"/>
          </w:tcPr>
          <w:p>
            <w:pPr>
              <w:tabs>
                <w:tab w:val="left" w:pos="7937"/>
              </w:tabs>
              <w:spacing w:line="200" w:lineRule="exact"/>
              <w:jc w:val="left"/>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1" w:hRule="exact"/>
        </w:trPr>
        <w:tc>
          <w:tcPr>
            <w:tcW w:w="752" w:type="dxa"/>
            <w:vAlign w:val="center"/>
          </w:tcPr>
          <w:p>
            <w:pPr>
              <w:autoSpaceDN w:val="0"/>
              <w:spacing w:line="300" w:lineRule="exact"/>
              <w:jc w:val="center"/>
              <w:textAlignment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6</w:t>
            </w:r>
          </w:p>
        </w:tc>
        <w:tc>
          <w:tcPr>
            <w:tcW w:w="1213"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行政处罚</w:t>
            </w:r>
          </w:p>
        </w:tc>
        <w:tc>
          <w:tcPr>
            <w:tcW w:w="1472"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对</w:t>
            </w:r>
            <w:r>
              <w:rPr>
                <w:rFonts w:hint="eastAsia" w:ascii="仿宋" w:hAnsi="仿宋" w:eastAsia="仿宋" w:cs="仿宋"/>
                <w:b w:val="0"/>
                <w:bCs w:val="0"/>
                <w:color w:val="auto"/>
                <w:sz w:val="18"/>
                <w:szCs w:val="18"/>
              </w:rPr>
              <w:t>零售商违规收费行为的</w:t>
            </w:r>
            <w:r>
              <w:rPr>
                <w:rFonts w:hint="eastAsia" w:ascii="仿宋" w:hAnsi="仿宋" w:eastAsia="仿宋" w:cs="仿宋"/>
                <w:b w:val="0"/>
                <w:bCs w:val="0"/>
                <w:color w:val="auto"/>
                <w:sz w:val="18"/>
                <w:szCs w:val="18"/>
                <w:highlight w:val="none"/>
                <w:lang w:val="en-US" w:eastAsia="zh-CN"/>
              </w:rPr>
              <w:t>行政</w:t>
            </w:r>
            <w:r>
              <w:rPr>
                <w:rFonts w:hint="eastAsia" w:ascii="仿宋" w:hAnsi="仿宋" w:eastAsia="仿宋" w:cs="仿宋"/>
                <w:b w:val="0"/>
                <w:bCs w:val="0"/>
                <w:color w:val="auto"/>
                <w:sz w:val="18"/>
                <w:szCs w:val="18"/>
              </w:rPr>
              <w:t>处罚</w:t>
            </w:r>
          </w:p>
        </w:tc>
        <w:tc>
          <w:tcPr>
            <w:tcW w:w="1190" w:type="dxa"/>
            <w:vAlign w:val="center"/>
          </w:tcPr>
          <w:p>
            <w:pPr>
              <w:spacing w:line="20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80" w:type="dxa"/>
            <w:vAlign w:val="center"/>
          </w:tcPr>
          <w:p>
            <w:pPr>
              <w:keepNext w:val="0"/>
              <w:keepLines w:val="0"/>
              <w:pageBreakBefore w:val="0"/>
              <w:tabs>
                <w:tab w:val="left" w:pos="7937"/>
              </w:tabs>
              <w:kinsoku/>
              <w:overflowPunct/>
              <w:topLinePunct w:val="0"/>
              <w:autoSpaceDE/>
              <w:autoSpaceDN/>
              <w:bidi w:val="0"/>
              <w:adjustRightInd/>
              <w:snapToGrid/>
              <w:spacing w:line="200" w:lineRule="exact"/>
              <w:jc w:val="left"/>
              <w:textAlignment w:val="auto"/>
              <w:rPr>
                <w:rFonts w:hint="default" w:ascii="仿宋" w:hAnsi="仿宋" w:eastAsia="仿宋" w:cs="仿宋"/>
                <w:b w:val="0"/>
                <w:bCs w:val="0"/>
                <w:color w:val="auto"/>
                <w:kern w:val="2"/>
                <w:sz w:val="18"/>
                <w:szCs w:val="18"/>
                <w:lang w:val="en-US" w:eastAsia="zh-CN" w:bidi="ar-SA"/>
              </w:rPr>
            </w:pPr>
            <w:r>
              <w:rPr>
                <w:rFonts w:hint="eastAsia" w:ascii="仿宋" w:hAnsi="仿宋" w:eastAsia="仿宋" w:cs="仿宋"/>
                <w:b w:val="0"/>
                <w:bCs w:val="0"/>
                <w:color w:val="auto"/>
                <w:sz w:val="18"/>
                <w:szCs w:val="18"/>
              </w:rPr>
              <w:t>《零售商供应商公平交易管理办法》（商务部、国家发展和改革委员会、公安部、国家税务总局、国家工商行政管理总局令2006年第17号）第十</w:t>
            </w:r>
            <w:r>
              <w:rPr>
                <w:rFonts w:hint="eastAsia" w:ascii="仿宋" w:hAnsi="仿宋" w:eastAsia="仿宋" w:cs="仿宋"/>
                <w:b w:val="0"/>
                <w:bCs w:val="0"/>
                <w:color w:val="auto"/>
                <w:sz w:val="18"/>
                <w:szCs w:val="18"/>
                <w:lang w:val="en-US" w:eastAsia="zh-CN"/>
              </w:rPr>
              <w:t>三</w:t>
            </w:r>
            <w:r>
              <w:rPr>
                <w:rFonts w:hint="eastAsia" w:ascii="仿宋" w:hAnsi="仿宋" w:eastAsia="仿宋" w:cs="仿宋"/>
                <w:b w:val="0"/>
                <w:bCs w:val="0"/>
                <w:color w:val="auto"/>
                <w:sz w:val="18"/>
                <w:szCs w:val="18"/>
              </w:rPr>
              <w:t>条</w:t>
            </w:r>
            <w:r>
              <w:rPr>
                <w:rFonts w:hint="eastAsia" w:ascii="仿宋" w:hAnsi="仿宋" w:eastAsia="仿宋" w:cs="仿宋"/>
                <w:b w:val="0"/>
                <w:bCs w:val="0"/>
                <w:color w:val="auto"/>
                <w:sz w:val="18"/>
                <w:szCs w:val="18"/>
                <w:lang w:eastAsia="zh-CN"/>
              </w:rPr>
              <w:t>：</w:t>
            </w:r>
            <w:r>
              <w:rPr>
                <w:rFonts w:hint="default" w:ascii="仿宋" w:hAnsi="仿宋" w:eastAsia="仿宋" w:cs="仿宋"/>
                <w:b w:val="0"/>
                <w:bCs w:val="0"/>
                <w:color w:val="auto"/>
                <w:kern w:val="2"/>
                <w:sz w:val="18"/>
                <w:szCs w:val="18"/>
                <w:lang w:val="en-US" w:eastAsia="zh-CN" w:bidi="ar-SA"/>
              </w:rPr>
              <w:t>零售商不得收取或变相收取以下费用：（一）以签订或续签合同为由收取的费用；（二）要求已经按照国家有关规定取得商品条码并可在零售商经营场所内正常使用的供应商，购买店内码而收取的费用；（三）向使用店内码的供应商收取超过实际成本的条码费；（四）店铺改造</w:t>
            </w:r>
            <w:r>
              <w:rPr>
                <w:rFonts w:hint="default" w:ascii="Helvetica" w:hAnsi="Helvetica" w:eastAsia="Helvetica" w:cs="Helvetica"/>
                <w:b w:val="0"/>
                <w:bCs w:val="0"/>
                <w:i w:val="0"/>
                <w:iCs w:val="0"/>
                <w:caps w:val="0"/>
                <w:color w:val="auto"/>
                <w:spacing w:val="0"/>
                <w:sz w:val="27"/>
                <w:szCs w:val="27"/>
              </w:rPr>
              <w:t>、</w:t>
            </w:r>
            <w:r>
              <w:rPr>
                <w:rFonts w:hint="default" w:ascii="仿宋" w:hAnsi="仿宋" w:eastAsia="仿宋" w:cs="仿宋"/>
                <w:b w:val="0"/>
                <w:bCs w:val="0"/>
                <w:color w:val="auto"/>
                <w:kern w:val="2"/>
                <w:sz w:val="18"/>
                <w:szCs w:val="18"/>
                <w:lang w:val="en-US" w:eastAsia="zh-CN" w:bidi="ar-SA"/>
              </w:rPr>
              <w:t>装修时，向供应商收取的未专门用于该供应商特定商品销售区域的装修、装饰费；（五）未提供促销服务，以节庆、店庆、新店开业、重新开业、企业上市、合并等为由收取的费用；（六）其他与销售商品没有直接关系、应当由零售商自身承担或未提供服务而收取的费用。</w:t>
            </w:r>
          </w:p>
          <w:p>
            <w:pPr>
              <w:keepNext w:val="0"/>
              <w:keepLines w:val="0"/>
              <w:pageBreakBefore w:val="0"/>
              <w:tabs>
                <w:tab w:val="left" w:pos="7937"/>
              </w:tabs>
              <w:kinsoku/>
              <w:overflowPunct/>
              <w:topLinePunct w:val="0"/>
              <w:autoSpaceDE/>
              <w:autoSpaceDN/>
              <w:bidi w:val="0"/>
              <w:adjustRightInd/>
              <w:snapToGrid/>
              <w:spacing w:line="200" w:lineRule="exact"/>
              <w:ind w:firstLine="344" w:firstLineChars="200"/>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第二十三条：法律法规有规定的，从其规定；没有规定的，责令改正；有违法所得的，可处违法所得三倍以下罚款，但最高不超过三万元；没有违法所得的，可处一万元以下罚款；并可向社会公告。</w:t>
            </w:r>
          </w:p>
          <w:p>
            <w:pPr>
              <w:keepNext w:val="0"/>
              <w:keepLines w:val="0"/>
              <w:pageBreakBefore w:val="0"/>
              <w:tabs>
                <w:tab w:val="left" w:pos="7937"/>
              </w:tabs>
              <w:kinsoku/>
              <w:overflowPunct/>
              <w:topLinePunct w:val="0"/>
              <w:autoSpaceDE/>
              <w:autoSpaceDN/>
              <w:bidi w:val="0"/>
              <w:adjustRightInd/>
              <w:snapToGrid/>
              <w:spacing w:line="200" w:lineRule="exact"/>
              <w:jc w:val="left"/>
              <w:textAlignment w:val="auto"/>
              <w:rPr>
                <w:rFonts w:hint="eastAsia" w:ascii="仿宋" w:hAnsi="仿宋" w:eastAsia="仿宋" w:cs="仿宋"/>
                <w:b w:val="0"/>
                <w:bCs w:val="0"/>
                <w:color w:val="auto"/>
                <w:sz w:val="18"/>
                <w:szCs w:val="18"/>
              </w:rPr>
            </w:pPr>
          </w:p>
        </w:tc>
        <w:tc>
          <w:tcPr>
            <w:tcW w:w="292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1、立案责任：零售商涉嫌违规收费行为的，予以审查，决定是否立案。</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7、执行责任：依照生效的行政处罚决定责令改正；有违法所得的，可处违法所得三倍以下罚款，但最高不超过三万元；没有违法所得的，可处一万元以下罚款；并可向社会公告。</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8、其他法律法规规章文件规定应履行的责任。</w:t>
            </w:r>
          </w:p>
        </w:tc>
        <w:tc>
          <w:tcPr>
            <w:tcW w:w="251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1、没有法律和事实依据实施行政处罚的；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2、行政处罚显失公正的；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3、对违反本办法规定的行为任何单位和个人均可向上述部门举报，相关部门接到举报后，应当依法予以查处。</w:t>
            </w:r>
            <w:r>
              <w:rPr>
                <w:rFonts w:hint="eastAsia" w:ascii="仿宋" w:hAnsi="仿宋" w:eastAsia="仿宋" w:cs="仿宋"/>
                <w:b w:val="0"/>
                <w:bCs w:val="0"/>
                <w:color w:val="auto"/>
                <w:sz w:val="18"/>
                <w:szCs w:val="18"/>
              </w:rPr>
              <w:br w:type="textWrapping"/>
            </w:r>
            <w:r>
              <w:rPr>
                <w:rFonts w:hint="eastAsia" w:ascii="仿宋" w:hAnsi="仿宋" w:eastAsia="仿宋" w:cs="仿宋"/>
                <w:b w:val="0"/>
                <w:bCs w:val="0"/>
                <w:color w:val="auto"/>
                <w:sz w:val="18"/>
                <w:szCs w:val="18"/>
              </w:rPr>
              <w:t>4、不具备行政执法资格实施行政处罚的；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5、应当依法移送追究刑事责任，而未依法移送有权机关的；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6</w:t>
            </w:r>
            <w:r>
              <w:rPr>
                <w:rFonts w:hint="eastAsia" w:ascii="仿宋" w:hAnsi="仿宋" w:eastAsia="仿宋" w:cs="仿宋"/>
                <w:b w:val="0"/>
                <w:bCs w:val="0"/>
                <w:color w:val="auto"/>
                <w:sz w:val="18"/>
                <w:szCs w:val="18"/>
                <w:highlight w:val="none"/>
              </w:rPr>
              <w:t>、擅自改变行政处罚种类、幅度的；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7</w:t>
            </w:r>
            <w:r>
              <w:rPr>
                <w:rFonts w:hint="eastAsia" w:ascii="仿宋" w:hAnsi="仿宋" w:eastAsia="仿宋" w:cs="仿宋"/>
                <w:b w:val="0"/>
                <w:bCs w:val="0"/>
                <w:color w:val="auto"/>
                <w:sz w:val="18"/>
                <w:szCs w:val="18"/>
                <w:highlight w:val="none"/>
              </w:rPr>
              <w:t>、违反法定的行政处罚程序的；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8</w:t>
            </w:r>
            <w:r>
              <w:rPr>
                <w:rFonts w:hint="eastAsia" w:ascii="仿宋" w:hAnsi="仿宋" w:eastAsia="仿宋" w:cs="仿宋"/>
                <w:b w:val="0"/>
                <w:bCs w:val="0"/>
                <w:color w:val="auto"/>
                <w:sz w:val="18"/>
                <w:szCs w:val="18"/>
                <w:highlight w:val="none"/>
              </w:rPr>
              <w:t>、符合听证条件、行政管理相对人要求听证，应予组织听证而不组织听证的；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9</w:t>
            </w:r>
            <w:r>
              <w:rPr>
                <w:rFonts w:hint="eastAsia" w:ascii="仿宋" w:hAnsi="仿宋" w:eastAsia="仿宋" w:cs="仿宋"/>
                <w:b w:val="0"/>
                <w:bCs w:val="0"/>
                <w:color w:val="auto"/>
                <w:sz w:val="18"/>
                <w:szCs w:val="18"/>
                <w:highlight w:val="none"/>
              </w:rPr>
              <w:t>、在行政处罚过程中发生腐败行为的；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highlight w:val="none"/>
                <w:lang w:val="en-US" w:eastAsia="zh-CN"/>
              </w:rPr>
              <w:t>10</w:t>
            </w:r>
            <w:r>
              <w:rPr>
                <w:rFonts w:hint="eastAsia" w:ascii="仿宋" w:hAnsi="仿宋" w:eastAsia="仿宋" w:cs="仿宋"/>
                <w:b w:val="0"/>
                <w:bCs w:val="0"/>
                <w:color w:val="auto"/>
                <w:sz w:val="18"/>
                <w:szCs w:val="18"/>
                <w:highlight w:val="none"/>
              </w:rPr>
              <w:t>、其他违反法律法规规章文件规定的行为。</w:t>
            </w:r>
          </w:p>
        </w:tc>
        <w:tc>
          <w:tcPr>
            <w:tcW w:w="700" w:type="dxa"/>
            <w:vAlign w:val="center"/>
          </w:tcPr>
          <w:p>
            <w:pPr>
              <w:tabs>
                <w:tab w:val="left" w:pos="7937"/>
              </w:tabs>
              <w:spacing w:line="200" w:lineRule="exact"/>
              <w:jc w:val="left"/>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3" w:hRule="exact"/>
        </w:trPr>
        <w:tc>
          <w:tcPr>
            <w:tcW w:w="752" w:type="dxa"/>
            <w:vAlign w:val="center"/>
          </w:tcPr>
          <w:p>
            <w:pPr>
              <w:autoSpaceDN w:val="0"/>
              <w:spacing w:line="300" w:lineRule="exact"/>
              <w:jc w:val="center"/>
              <w:textAlignment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7</w:t>
            </w:r>
          </w:p>
        </w:tc>
        <w:tc>
          <w:tcPr>
            <w:tcW w:w="1213"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行政处罚</w:t>
            </w:r>
          </w:p>
        </w:tc>
        <w:tc>
          <w:tcPr>
            <w:tcW w:w="1472"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对</w:t>
            </w:r>
            <w:r>
              <w:rPr>
                <w:rFonts w:hint="eastAsia" w:ascii="仿宋" w:hAnsi="仿宋" w:eastAsia="仿宋" w:cs="仿宋"/>
                <w:b w:val="0"/>
                <w:bCs w:val="0"/>
                <w:color w:val="auto"/>
                <w:sz w:val="18"/>
                <w:szCs w:val="18"/>
              </w:rPr>
              <w:t>零售商违规延迟向供应商支付货款行为的</w:t>
            </w:r>
            <w:r>
              <w:rPr>
                <w:rFonts w:hint="eastAsia" w:ascii="仿宋" w:hAnsi="仿宋" w:eastAsia="仿宋" w:cs="仿宋"/>
                <w:b w:val="0"/>
                <w:bCs w:val="0"/>
                <w:color w:val="auto"/>
                <w:sz w:val="18"/>
                <w:szCs w:val="18"/>
                <w:highlight w:val="none"/>
                <w:lang w:val="en-US" w:eastAsia="zh-CN"/>
              </w:rPr>
              <w:t>行政</w:t>
            </w:r>
            <w:r>
              <w:rPr>
                <w:rFonts w:hint="eastAsia" w:ascii="仿宋" w:hAnsi="仿宋" w:eastAsia="仿宋" w:cs="仿宋"/>
                <w:b w:val="0"/>
                <w:bCs w:val="0"/>
                <w:color w:val="auto"/>
                <w:sz w:val="18"/>
                <w:szCs w:val="18"/>
              </w:rPr>
              <w:t>处罚</w:t>
            </w:r>
          </w:p>
        </w:tc>
        <w:tc>
          <w:tcPr>
            <w:tcW w:w="1190" w:type="dxa"/>
            <w:vAlign w:val="center"/>
          </w:tcPr>
          <w:p>
            <w:pPr>
              <w:spacing w:line="20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80" w:type="dxa"/>
            <w:vAlign w:val="center"/>
          </w:tcPr>
          <w:p>
            <w:pPr>
              <w:tabs>
                <w:tab w:val="left" w:pos="7937"/>
              </w:tabs>
              <w:spacing w:line="200" w:lineRule="exact"/>
              <w:jc w:val="left"/>
              <w:rPr>
                <w:rFonts w:hint="default" w:ascii="仿宋" w:hAnsi="仿宋" w:eastAsia="仿宋" w:cs="仿宋"/>
                <w:b w:val="0"/>
                <w:bCs w:val="0"/>
                <w:color w:val="auto"/>
                <w:kern w:val="2"/>
                <w:sz w:val="18"/>
                <w:szCs w:val="18"/>
                <w:lang w:val="en-US" w:eastAsia="zh-CN" w:bidi="ar-SA"/>
              </w:rPr>
            </w:pPr>
            <w:r>
              <w:rPr>
                <w:rFonts w:hint="eastAsia" w:ascii="仿宋" w:hAnsi="仿宋" w:eastAsia="仿宋" w:cs="仿宋"/>
                <w:b w:val="0"/>
                <w:bCs w:val="0"/>
                <w:color w:val="auto"/>
                <w:sz w:val="18"/>
                <w:szCs w:val="18"/>
              </w:rPr>
              <w:t>《零售商供应商公平交易管理办法》（商务部、国家发展和改革委员会、公安部、国家税务总局、国家工商行政管理总局令2006年第17号）</w:t>
            </w:r>
            <w:r>
              <w:rPr>
                <w:rFonts w:hint="eastAsia" w:ascii="仿宋" w:hAnsi="仿宋" w:eastAsia="仿宋" w:cs="仿宋"/>
                <w:b w:val="0"/>
                <w:bCs w:val="0"/>
                <w:color w:val="auto"/>
                <w:kern w:val="2"/>
                <w:sz w:val="18"/>
                <w:szCs w:val="18"/>
                <w:lang w:val="en-US" w:eastAsia="zh-CN" w:bidi="ar-SA"/>
              </w:rPr>
              <w:t>第十七条：</w:t>
            </w:r>
            <w:r>
              <w:rPr>
                <w:rFonts w:hint="default" w:ascii="仿宋" w:hAnsi="仿宋" w:eastAsia="仿宋" w:cs="仿宋"/>
                <w:b w:val="0"/>
                <w:bCs w:val="0"/>
                <w:color w:val="auto"/>
                <w:kern w:val="2"/>
                <w:sz w:val="18"/>
                <w:szCs w:val="18"/>
                <w:lang w:val="en-US" w:eastAsia="zh-CN" w:bidi="ar-SA"/>
              </w:rPr>
              <w:t>零售商不得以下列情形为由延迟支付供应商货款：（一）供应商的个别商品未能及时供货；（二）供应商的个别商品的退换货手续尚未办结；（三）供应商所供商品的销售额未达到零售商设定的数额；（四）供应商未与零售商续签供货合同；（五）零售商提出的其他违反公平原则的事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right="0" w:firstLine="344" w:firstLineChars="200"/>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第二十三条：法律法规有规定的，从其规定；没有规定的，责令改正；有违法所得的，可处违法所得三倍以下罚款，但最高不超过三万元；没有违法所得的，可处一万元以下罚款；并可向社会公告。</w:t>
            </w:r>
          </w:p>
          <w:p>
            <w:pPr>
              <w:tabs>
                <w:tab w:val="left" w:pos="7937"/>
              </w:tabs>
              <w:spacing w:line="200" w:lineRule="exact"/>
              <w:jc w:val="left"/>
              <w:rPr>
                <w:rFonts w:hint="eastAsia" w:ascii="仿宋" w:hAnsi="仿宋" w:eastAsia="仿宋" w:cs="仿宋"/>
                <w:b w:val="0"/>
                <w:bCs w:val="0"/>
                <w:color w:val="auto"/>
                <w:sz w:val="18"/>
                <w:szCs w:val="18"/>
              </w:rPr>
            </w:pPr>
          </w:p>
        </w:tc>
        <w:tc>
          <w:tcPr>
            <w:tcW w:w="292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1、立案责任：零售商涉嫌违规延迟向供应商支付货款行为的，予以审查，决定是否立案。</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7、执行责任：依照生效的行政处罚决定责令改正；有违法所得的，可处违法所得三倍以下罚款，但最高不超过三万元；没有违法所得的，可处一万元以下罚款；并可向社会公告。</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8、其他法律法规规章文件规定应履行的责任。</w:t>
            </w:r>
          </w:p>
        </w:tc>
        <w:tc>
          <w:tcPr>
            <w:tcW w:w="251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1、没有法律和事实依据实施行政处罚的；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2、行政处罚显失公正的；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3、对违反本办法规定的行为任何单位和个人均可向上述部门举报，相关部门接到举报后，应当依法予以查处。</w:t>
            </w:r>
            <w:r>
              <w:rPr>
                <w:rFonts w:hint="eastAsia" w:ascii="仿宋" w:hAnsi="仿宋" w:eastAsia="仿宋" w:cs="仿宋"/>
                <w:b w:val="0"/>
                <w:bCs w:val="0"/>
                <w:color w:val="auto"/>
                <w:sz w:val="18"/>
                <w:szCs w:val="18"/>
              </w:rPr>
              <w:br w:type="textWrapping"/>
            </w:r>
            <w:r>
              <w:rPr>
                <w:rFonts w:hint="eastAsia" w:ascii="仿宋" w:hAnsi="仿宋" w:eastAsia="仿宋" w:cs="仿宋"/>
                <w:b w:val="0"/>
                <w:bCs w:val="0"/>
                <w:color w:val="auto"/>
                <w:sz w:val="18"/>
                <w:szCs w:val="18"/>
              </w:rPr>
              <w:t>4、不具备行政执法资格实施行政处罚的；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5、应当依法移送追究刑事责任，而未依法移送有权机关的；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6</w:t>
            </w:r>
            <w:r>
              <w:rPr>
                <w:rFonts w:hint="eastAsia" w:ascii="仿宋" w:hAnsi="仿宋" w:eastAsia="仿宋" w:cs="仿宋"/>
                <w:b w:val="0"/>
                <w:bCs w:val="0"/>
                <w:color w:val="auto"/>
                <w:sz w:val="18"/>
                <w:szCs w:val="18"/>
                <w:highlight w:val="none"/>
              </w:rPr>
              <w:t>、擅自改变行政处罚种类、幅度的；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7</w:t>
            </w:r>
            <w:r>
              <w:rPr>
                <w:rFonts w:hint="eastAsia" w:ascii="仿宋" w:hAnsi="仿宋" w:eastAsia="仿宋" w:cs="仿宋"/>
                <w:b w:val="0"/>
                <w:bCs w:val="0"/>
                <w:color w:val="auto"/>
                <w:sz w:val="18"/>
                <w:szCs w:val="18"/>
                <w:highlight w:val="none"/>
              </w:rPr>
              <w:t>、违反法定的行政处罚程序的；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8</w:t>
            </w:r>
            <w:r>
              <w:rPr>
                <w:rFonts w:hint="eastAsia" w:ascii="仿宋" w:hAnsi="仿宋" w:eastAsia="仿宋" w:cs="仿宋"/>
                <w:b w:val="0"/>
                <w:bCs w:val="0"/>
                <w:color w:val="auto"/>
                <w:sz w:val="18"/>
                <w:szCs w:val="18"/>
                <w:highlight w:val="none"/>
              </w:rPr>
              <w:t>、符合听证条件、行政管理相对人要求听证，应予组织听证而不组织听证的；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9</w:t>
            </w:r>
            <w:r>
              <w:rPr>
                <w:rFonts w:hint="eastAsia" w:ascii="仿宋" w:hAnsi="仿宋" w:eastAsia="仿宋" w:cs="仿宋"/>
                <w:b w:val="0"/>
                <w:bCs w:val="0"/>
                <w:color w:val="auto"/>
                <w:sz w:val="18"/>
                <w:szCs w:val="18"/>
                <w:highlight w:val="none"/>
              </w:rPr>
              <w:t>、在行政处罚过程中发生腐败行为的；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highlight w:val="none"/>
                <w:lang w:val="en-US" w:eastAsia="zh-CN"/>
              </w:rPr>
              <w:t>10</w:t>
            </w:r>
            <w:r>
              <w:rPr>
                <w:rFonts w:hint="eastAsia" w:ascii="仿宋" w:hAnsi="仿宋" w:eastAsia="仿宋" w:cs="仿宋"/>
                <w:b w:val="0"/>
                <w:bCs w:val="0"/>
                <w:color w:val="auto"/>
                <w:sz w:val="18"/>
                <w:szCs w:val="18"/>
                <w:highlight w:val="none"/>
              </w:rPr>
              <w:t>、其他违反法律法规规章文件规定的行为。</w:t>
            </w:r>
            <w:r>
              <w:rPr>
                <w:rFonts w:hint="eastAsia" w:ascii="仿宋" w:hAnsi="仿宋" w:eastAsia="仿宋" w:cs="仿宋"/>
                <w:b w:val="0"/>
                <w:bCs w:val="0"/>
                <w:color w:val="auto"/>
                <w:sz w:val="18"/>
                <w:szCs w:val="18"/>
              </w:rPr>
              <w:t>。</w:t>
            </w:r>
          </w:p>
        </w:tc>
        <w:tc>
          <w:tcPr>
            <w:tcW w:w="700" w:type="dxa"/>
            <w:vAlign w:val="center"/>
          </w:tcPr>
          <w:p>
            <w:pPr>
              <w:tabs>
                <w:tab w:val="left" w:pos="7937"/>
              </w:tabs>
              <w:spacing w:line="200" w:lineRule="exact"/>
              <w:jc w:val="left"/>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5" w:hRule="exact"/>
        </w:trPr>
        <w:tc>
          <w:tcPr>
            <w:tcW w:w="752" w:type="dxa"/>
            <w:vAlign w:val="center"/>
          </w:tcPr>
          <w:p>
            <w:pPr>
              <w:autoSpaceDN w:val="0"/>
              <w:spacing w:line="300" w:lineRule="exact"/>
              <w:jc w:val="center"/>
              <w:textAlignment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8</w:t>
            </w:r>
          </w:p>
        </w:tc>
        <w:tc>
          <w:tcPr>
            <w:tcW w:w="1213"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行政处罚</w:t>
            </w:r>
          </w:p>
        </w:tc>
        <w:tc>
          <w:tcPr>
            <w:tcW w:w="1472"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对</w:t>
            </w:r>
            <w:r>
              <w:rPr>
                <w:rFonts w:hint="eastAsia" w:ascii="仿宋" w:hAnsi="仿宋" w:eastAsia="仿宋" w:cs="仿宋"/>
                <w:b w:val="0"/>
                <w:bCs w:val="0"/>
                <w:color w:val="auto"/>
                <w:sz w:val="18"/>
                <w:szCs w:val="18"/>
              </w:rPr>
              <w:t>供应商供货时，强行搭售零售商未定购商品的</w:t>
            </w:r>
            <w:r>
              <w:rPr>
                <w:rFonts w:hint="eastAsia" w:ascii="仿宋" w:hAnsi="仿宋" w:eastAsia="仿宋" w:cs="仿宋"/>
                <w:b w:val="0"/>
                <w:bCs w:val="0"/>
                <w:color w:val="auto"/>
                <w:sz w:val="18"/>
                <w:szCs w:val="18"/>
                <w:highlight w:val="none"/>
                <w:lang w:val="en-US" w:eastAsia="zh-CN"/>
              </w:rPr>
              <w:t>行政</w:t>
            </w:r>
            <w:r>
              <w:rPr>
                <w:rFonts w:hint="eastAsia" w:ascii="仿宋" w:hAnsi="仿宋" w:eastAsia="仿宋" w:cs="仿宋"/>
                <w:b w:val="0"/>
                <w:bCs w:val="0"/>
                <w:color w:val="auto"/>
                <w:sz w:val="18"/>
                <w:szCs w:val="18"/>
              </w:rPr>
              <w:t>处罚</w:t>
            </w:r>
          </w:p>
        </w:tc>
        <w:tc>
          <w:tcPr>
            <w:tcW w:w="1190" w:type="dxa"/>
            <w:vAlign w:val="center"/>
          </w:tcPr>
          <w:p>
            <w:pPr>
              <w:spacing w:line="20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80" w:type="dxa"/>
            <w:vAlign w:val="center"/>
          </w:tcPr>
          <w:p>
            <w:pPr>
              <w:tabs>
                <w:tab w:val="left" w:pos="7937"/>
              </w:tabs>
              <w:spacing w:line="200" w:lineRule="exact"/>
              <w:jc w:val="left"/>
              <w:rPr>
                <w:rFonts w:hint="default" w:ascii="仿宋" w:hAnsi="仿宋" w:eastAsia="仿宋" w:cs="仿宋"/>
                <w:b w:val="0"/>
                <w:bCs w:val="0"/>
                <w:color w:val="auto"/>
                <w:kern w:val="2"/>
                <w:sz w:val="18"/>
                <w:szCs w:val="18"/>
                <w:lang w:val="en-US" w:eastAsia="zh-CN" w:bidi="ar-SA"/>
              </w:rPr>
            </w:pPr>
            <w:r>
              <w:rPr>
                <w:rFonts w:hint="eastAsia" w:ascii="仿宋" w:hAnsi="仿宋" w:eastAsia="仿宋" w:cs="仿宋"/>
                <w:b w:val="0"/>
                <w:bCs w:val="0"/>
                <w:color w:val="auto"/>
                <w:sz w:val="18"/>
                <w:szCs w:val="18"/>
              </w:rPr>
              <w:t>《零售商供应商公平交易管理办法》（商务部、国家发展和改革委员会、公安部、国家税务总局、国家工商行政管理总局令2006年第17号）第十八条</w:t>
            </w:r>
            <w:r>
              <w:rPr>
                <w:rFonts w:hint="eastAsia" w:ascii="仿宋" w:hAnsi="仿宋" w:eastAsia="仿宋" w:cs="仿宋"/>
                <w:b w:val="0"/>
                <w:bCs w:val="0"/>
                <w:color w:val="auto"/>
                <w:kern w:val="2"/>
                <w:sz w:val="18"/>
                <w:szCs w:val="18"/>
                <w:lang w:val="en-US" w:eastAsia="zh-CN" w:bidi="ar-SA"/>
              </w:rPr>
              <w:t>：</w:t>
            </w:r>
            <w:r>
              <w:rPr>
                <w:rFonts w:hint="default" w:ascii="仿宋" w:hAnsi="仿宋" w:eastAsia="仿宋" w:cs="仿宋"/>
                <w:b w:val="0"/>
                <w:bCs w:val="0"/>
                <w:color w:val="auto"/>
                <w:kern w:val="2"/>
                <w:sz w:val="18"/>
                <w:szCs w:val="18"/>
                <w:lang w:val="en-US" w:eastAsia="zh-CN" w:bidi="ar-SA"/>
              </w:rPr>
              <w:t>供应商供货时，不得从事下列妨碍公平竞争的行为：强行搭售零售商未订购的商品。</w:t>
            </w:r>
          </w:p>
          <w:p>
            <w:pPr>
              <w:tabs>
                <w:tab w:val="left" w:pos="7937"/>
              </w:tabs>
              <w:spacing w:line="200" w:lineRule="exact"/>
              <w:ind w:firstLine="344" w:firstLineChars="200"/>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第二十三条：法律法规有规定的，从其规定；没有规定的，责令改正；有违法所得的，可处违法所得三倍以下罚款，但最高不超过三万元；没有违法所得的，可处一万元以下罚款；并可向社会公告。</w:t>
            </w:r>
          </w:p>
          <w:p>
            <w:pPr>
              <w:tabs>
                <w:tab w:val="left" w:pos="7937"/>
              </w:tabs>
              <w:spacing w:line="200" w:lineRule="exact"/>
              <w:jc w:val="left"/>
              <w:rPr>
                <w:rFonts w:hint="eastAsia" w:ascii="仿宋" w:hAnsi="仿宋" w:eastAsia="仿宋" w:cs="仿宋"/>
                <w:b w:val="0"/>
                <w:bCs w:val="0"/>
                <w:color w:val="auto"/>
                <w:sz w:val="18"/>
                <w:szCs w:val="18"/>
              </w:rPr>
            </w:pPr>
          </w:p>
        </w:tc>
        <w:tc>
          <w:tcPr>
            <w:tcW w:w="292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1、立案责任：供应商供货时，涉嫌强行搭售零售商未定购商品的，予以审查，决定是否立案。</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7、执行责任：依照生效的行政处罚决定责令改正；有违法所得的，可处违法所得三倍以下罚款，但最高不超过三万元；没有违法所得的，可处一万元以下罚款；并可向社会公告。</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8、其他法律法规规章文件规定应履行的责任。</w:t>
            </w:r>
          </w:p>
        </w:tc>
        <w:tc>
          <w:tcPr>
            <w:tcW w:w="251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1、没有法律和事实依据实施行政处罚的；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2、行政处罚显失公正的；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3、对违反本办法规定的行为任何单位和个人均可向上述部门举报，相关部门接到举报后，应当依法予以查处。</w:t>
            </w:r>
            <w:r>
              <w:rPr>
                <w:rFonts w:hint="eastAsia" w:ascii="仿宋" w:hAnsi="仿宋" w:eastAsia="仿宋" w:cs="仿宋"/>
                <w:b w:val="0"/>
                <w:bCs w:val="0"/>
                <w:color w:val="auto"/>
                <w:sz w:val="18"/>
                <w:szCs w:val="18"/>
              </w:rPr>
              <w:br w:type="textWrapping"/>
            </w:r>
            <w:r>
              <w:rPr>
                <w:rFonts w:hint="eastAsia" w:ascii="仿宋" w:hAnsi="仿宋" w:eastAsia="仿宋" w:cs="仿宋"/>
                <w:b w:val="0"/>
                <w:bCs w:val="0"/>
                <w:color w:val="auto"/>
                <w:sz w:val="18"/>
                <w:szCs w:val="18"/>
              </w:rPr>
              <w:t>4、不具备行政执法资格实施行政处罚的；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5、应当依法移送追究刑事责任，而未依法移送有权机关的；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6</w:t>
            </w:r>
            <w:r>
              <w:rPr>
                <w:rFonts w:hint="eastAsia" w:ascii="仿宋" w:hAnsi="仿宋" w:eastAsia="仿宋" w:cs="仿宋"/>
                <w:b w:val="0"/>
                <w:bCs w:val="0"/>
                <w:color w:val="auto"/>
                <w:sz w:val="18"/>
                <w:szCs w:val="18"/>
                <w:highlight w:val="none"/>
              </w:rPr>
              <w:t>、擅自改变行政处罚种类、幅度的；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7</w:t>
            </w:r>
            <w:r>
              <w:rPr>
                <w:rFonts w:hint="eastAsia" w:ascii="仿宋" w:hAnsi="仿宋" w:eastAsia="仿宋" w:cs="仿宋"/>
                <w:b w:val="0"/>
                <w:bCs w:val="0"/>
                <w:color w:val="auto"/>
                <w:sz w:val="18"/>
                <w:szCs w:val="18"/>
                <w:highlight w:val="none"/>
              </w:rPr>
              <w:t>、违反法定的行政处罚程序的；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8</w:t>
            </w:r>
            <w:r>
              <w:rPr>
                <w:rFonts w:hint="eastAsia" w:ascii="仿宋" w:hAnsi="仿宋" w:eastAsia="仿宋" w:cs="仿宋"/>
                <w:b w:val="0"/>
                <w:bCs w:val="0"/>
                <w:color w:val="auto"/>
                <w:sz w:val="18"/>
                <w:szCs w:val="18"/>
                <w:highlight w:val="none"/>
              </w:rPr>
              <w:t>、符合听证条件、行政管理相对人要求听证，应予组织听证而不组织听证的；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9</w:t>
            </w:r>
            <w:r>
              <w:rPr>
                <w:rFonts w:hint="eastAsia" w:ascii="仿宋" w:hAnsi="仿宋" w:eastAsia="仿宋" w:cs="仿宋"/>
                <w:b w:val="0"/>
                <w:bCs w:val="0"/>
                <w:color w:val="auto"/>
                <w:sz w:val="18"/>
                <w:szCs w:val="18"/>
                <w:highlight w:val="none"/>
              </w:rPr>
              <w:t>、在行政处罚过程中发生腐败行为的；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highlight w:val="none"/>
                <w:lang w:val="en-US" w:eastAsia="zh-CN"/>
              </w:rPr>
              <w:t>10</w:t>
            </w:r>
            <w:r>
              <w:rPr>
                <w:rFonts w:hint="eastAsia" w:ascii="仿宋" w:hAnsi="仿宋" w:eastAsia="仿宋" w:cs="仿宋"/>
                <w:b w:val="0"/>
                <w:bCs w:val="0"/>
                <w:color w:val="auto"/>
                <w:sz w:val="18"/>
                <w:szCs w:val="18"/>
                <w:highlight w:val="none"/>
              </w:rPr>
              <w:t>、其他违反法律法规规章文件规定的行为。</w:t>
            </w:r>
          </w:p>
        </w:tc>
        <w:tc>
          <w:tcPr>
            <w:tcW w:w="700" w:type="dxa"/>
            <w:vAlign w:val="center"/>
          </w:tcPr>
          <w:p>
            <w:pPr>
              <w:tabs>
                <w:tab w:val="left" w:pos="7937"/>
              </w:tabs>
              <w:spacing w:line="200" w:lineRule="exact"/>
              <w:jc w:val="left"/>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0" w:hRule="exact"/>
        </w:trPr>
        <w:tc>
          <w:tcPr>
            <w:tcW w:w="752" w:type="dxa"/>
            <w:vAlign w:val="center"/>
          </w:tcPr>
          <w:p>
            <w:pPr>
              <w:autoSpaceDN w:val="0"/>
              <w:spacing w:line="300" w:lineRule="exact"/>
              <w:jc w:val="center"/>
              <w:textAlignment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9</w:t>
            </w:r>
          </w:p>
        </w:tc>
        <w:tc>
          <w:tcPr>
            <w:tcW w:w="1213"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行政处罚</w:t>
            </w:r>
          </w:p>
        </w:tc>
        <w:tc>
          <w:tcPr>
            <w:tcW w:w="1472"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对</w:t>
            </w:r>
            <w:r>
              <w:rPr>
                <w:rFonts w:hint="eastAsia" w:ascii="仿宋" w:hAnsi="仿宋" w:eastAsia="仿宋" w:cs="仿宋"/>
                <w:b w:val="0"/>
                <w:bCs w:val="0"/>
                <w:color w:val="auto"/>
                <w:sz w:val="18"/>
                <w:szCs w:val="18"/>
              </w:rPr>
              <w:t>供应商供货时，限制零售商销售其他供应商商品的</w:t>
            </w:r>
            <w:r>
              <w:rPr>
                <w:rFonts w:hint="eastAsia" w:ascii="仿宋" w:hAnsi="仿宋" w:eastAsia="仿宋" w:cs="仿宋"/>
                <w:b w:val="0"/>
                <w:bCs w:val="0"/>
                <w:color w:val="auto"/>
                <w:sz w:val="18"/>
                <w:szCs w:val="18"/>
                <w:highlight w:val="none"/>
                <w:lang w:val="en-US" w:eastAsia="zh-CN"/>
              </w:rPr>
              <w:t>行政</w:t>
            </w:r>
            <w:r>
              <w:rPr>
                <w:rFonts w:hint="eastAsia" w:ascii="仿宋" w:hAnsi="仿宋" w:eastAsia="仿宋" w:cs="仿宋"/>
                <w:b w:val="0"/>
                <w:bCs w:val="0"/>
                <w:color w:val="auto"/>
                <w:sz w:val="18"/>
                <w:szCs w:val="18"/>
              </w:rPr>
              <w:t>处罚</w:t>
            </w:r>
          </w:p>
        </w:tc>
        <w:tc>
          <w:tcPr>
            <w:tcW w:w="1190" w:type="dxa"/>
            <w:vAlign w:val="center"/>
          </w:tcPr>
          <w:p>
            <w:pPr>
              <w:spacing w:line="20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80" w:type="dxa"/>
            <w:vAlign w:val="center"/>
          </w:tcPr>
          <w:p>
            <w:pPr>
              <w:tabs>
                <w:tab w:val="left" w:pos="7937"/>
              </w:tabs>
              <w:spacing w:line="200" w:lineRule="exact"/>
              <w:jc w:val="left"/>
              <w:rPr>
                <w:rFonts w:hint="default" w:ascii="仿宋" w:hAnsi="仿宋" w:eastAsia="仿宋" w:cs="仿宋"/>
                <w:b w:val="0"/>
                <w:bCs w:val="0"/>
                <w:color w:val="auto"/>
                <w:kern w:val="2"/>
                <w:sz w:val="18"/>
                <w:szCs w:val="18"/>
                <w:lang w:val="en-US" w:eastAsia="zh-CN" w:bidi="ar-SA"/>
              </w:rPr>
            </w:pPr>
            <w:r>
              <w:rPr>
                <w:rFonts w:hint="eastAsia" w:ascii="仿宋" w:hAnsi="仿宋" w:eastAsia="仿宋" w:cs="仿宋"/>
                <w:b w:val="0"/>
                <w:bCs w:val="0"/>
                <w:color w:val="auto"/>
                <w:sz w:val="18"/>
                <w:szCs w:val="18"/>
              </w:rPr>
              <w:t>《零售商供应商公平交易管理办法》（商务部、国家发展和改革委员会、公安部、国家税务总局、国家工商行政管理总局令2006年第17号）第十八条</w:t>
            </w:r>
            <w:r>
              <w:rPr>
                <w:rFonts w:hint="eastAsia" w:ascii="仿宋" w:hAnsi="仿宋" w:eastAsia="仿宋" w:cs="仿宋"/>
                <w:b w:val="0"/>
                <w:bCs w:val="0"/>
                <w:color w:val="auto"/>
                <w:sz w:val="18"/>
                <w:szCs w:val="18"/>
                <w:lang w:eastAsia="zh-CN"/>
              </w:rPr>
              <w:t>：</w:t>
            </w:r>
            <w:r>
              <w:rPr>
                <w:rFonts w:hint="default" w:ascii="仿宋" w:hAnsi="仿宋" w:eastAsia="仿宋" w:cs="仿宋"/>
                <w:b w:val="0"/>
                <w:bCs w:val="0"/>
                <w:color w:val="auto"/>
                <w:kern w:val="2"/>
                <w:sz w:val="18"/>
                <w:szCs w:val="18"/>
                <w:lang w:val="en-US" w:eastAsia="zh-CN" w:bidi="ar-SA"/>
              </w:rPr>
              <w:t>供应商供货时，不得从事下列妨碍公平竞争的行为：限制零售商销售其他供应商的商品。</w:t>
            </w:r>
          </w:p>
          <w:p>
            <w:pPr>
              <w:tabs>
                <w:tab w:val="left" w:pos="7937"/>
              </w:tabs>
              <w:spacing w:line="200" w:lineRule="exact"/>
              <w:ind w:firstLine="344" w:firstLineChars="200"/>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第二十三条：法律法规有规定的，从其规定；没有规定的，责令改正；有违法所得的，可处违法所得三倍以下罚款，但最高不超过三万元；没有违法所得的，可处一万元以下罚款；并可向社会公告。</w:t>
            </w:r>
          </w:p>
          <w:p>
            <w:pPr>
              <w:tabs>
                <w:tab w:val="left" w:pos="7937"/>
              </w:tabs>
              <w:spacing w:line="200" w:lineRule="exact"/>
              <w:jc w:val="left"/>
              <w:rPr>
                <w:rFonts w:hint="eastAsia" w:ascii="仿宋" w:hAnsi="仿宋" w:eastAsia="仿宋" w:cs="仿宋"/>
                <w:b w:val="0"/>
                <w:bCs w:val="0"/>
                <w:color w:val="auto"/>
                <w:sz w:val="18"/>
                <w:szCs w:val="18"/>
              </w:rPr>
            </w:pPr>
          </w:p>
        </w:tc>
        <w:tc>
          <w:tcPr>
            <w:tcW w:w="292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1、立案责任：供应商供货时，涉嫌限制零售商销售其他供应商商品的，予以审查，决定是否立案。</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7、执行责任：依照生效的行政处罚决定责令改正；有违法所得的，可处违法所得三倍以下罚款，但最高不超过三万元；没有违法所得的，可处一万元以下罚款；并可向社会公告。</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8、其他法律法规规章文件规定应履行的责任。</w:t>
            </w:r>
          </w:p>
        </w:tc>
        <w:tc>
          <w:tcPr>
            <w:tcW w:w="251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1、没有法律和事实依据实施行政处罚的；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2、行政处罚显失公正的；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3、对违反本办法规定的行为任何单位和个人均可向上述部门举报，相关部门接到举报后，应当依法予以查处。</w:t>
            </w:r>
            <w:r>
              <w:rPr>
                <w:rFonts w:hint="eastAsia" w:ascii="仿宋" w:hAnsi="仿宋" w:eastAsia="仿宋" w:cs="仿宋"/>
                <w:b w:val="0"/>
                <w:bCs w:val="0"/>
                <w:color w:val="auto"/>
                <w:sz w:val="18"/>
                <w:szCs w:val="18"/>
              </w:rPr>
              <w:br w:type="textWrapping"/>
            </w:r>
            <w:r>
              <w:rPr>
                <w:rFonts w:hint="eastAsia" w:ascii="仿宋" w:hAnsi="仿宋" w:eastAsia="仿宋" w:cs="仿宋"/>
                <w:b w:val="0"/>
                <w:bCs w:val="0"/>
                <w:color w:val="auto"/>
                <w:sz w:val="18"/>
                <w:szCs w:val="18"/>
              </w:rPr>
              <w:t>4、不具备行政执法资格实施行政处罚的；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5、应当依法移送追究刑事责任，而未依法移送有权机关的；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6</w:t>
            </w:r>
            <w:r>
              <w:rPr>
                <w:rFonts w:hint="eastAsia" w:ascii="仿宋" w:hAnsi="仿宋" w:eastAsia="仿宋" w:cs="仿宋"/>
                <w:b w:val="0"/>
                <w:bCs w:val="0"/>
                <w:color w:val="auto"/>
                <w:sz w:val="18"/>
                <w:szCs w:val="18"/>
                <w:highlight w:val="none"/>
              </w:rPr>
              <w:t>、擅自改变行政处罚种类、幅度的；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7</w:t>
            </w:r>
            <w:r>
              <w:rPr>
                <w:rFonts w:hint="eastAsia" w:ascii="仿宋" w:hAnsi="仿宋" w:eastAsia="仿宋" w:cs="仿宋"/>
                <w:b w:val="0"/>
                <w:bCs w:val="0"/>
                <w:color w:val="auto"/>
                <w:sz w:val="18"/>
                <w:szCs w:val="18"/>
                <w:highlight w:val="none"/>
              </w:rPr>
              <w:t>、违反法定的行政处罚程序的；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8</w:t>
            </w:r>
            <w:r>
              <w:rPr>
                <w:rFonts w:hint="eastAsia" w:ascii="仿宋" w:hAnsi="仿宋" w:eastAsia="仿宋" w:cs="仿宋"/>
                <w:b w:val="0"/>
                <w:bCs w:val="0"/>
                <w:color w:val="auto"/>
                <w:sz w:val="18"/>
                <w:szCs w:val="18"/>
                <w:highlight w:val="none"/>
              </w:rPr>
              <w:t>、符合听证条件、行政管理相对人要求听证，应予组织听证而不组织听证的；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9</w:t>
            </w:r>
            <w:r>
              <w:rPr>
                <w:rFonts w:hint="eastAsia" w:ascii="仿宋" w:hAnsi="仿宋" w:eastAsia="仿宋" w:cs="仿宋"/>
                <w:b w:val="0"/>
                <w:bCs w:val="0"/>
                <w:color w:val="auto"/>
                <w:sz w:val="18"/>
                <w:szCs w:val="18"/>
                <w:highlight w:val="none"/>
              </w:rPr>
              <w:t>、在行政处罚过程中发生腐败行为的；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highlight w:val="none"/>
                <w:lang w:val="en-US" w:eastAsia="zh-CN"/>
              </w:rPr>
              <w:t>10</w:t>
            </w:r>
            <w:r>
              <w:rPr>
                <w:rFonts w:hint="eastAsia" w:ascii="仿宋" w:hAnsi="仿宋" w:eastAsia="仿宋" w:cs="仿宋"/>
                <w:b w:val="0"/>
                <w:bCs w:val="0"/>
                <w:color w:val="auto"/>
                <w:sz w:val="18"/>
                <w:szCs w:val="18"/>
                <w:highlight w:val="none"/>
              </w:rPr>
              <w:t>、其他违反法律法规规章文件规定的行为。</w:t>
            </w:r>
          </w:p>
        </w:tc>
        <w:tc>
          <w:tcPr>
            <w:tcW w:w="700" w:type="dxa"/>
            <w:vAlign w:val="center"/>
          </w:tcPr>
          <w:p>
            <w:pPr>
              <w:tabs>
                <w:tab w:val="left" w:pos="7937"/>
              </w:tabs>
              <w:spacing w:line="200" w:lineRule="exact"/>
              <w:jc w:val="left"/>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4" w:hRule="exact"/>
        </w:trPr>
        <w:tc>
          <w:tcPr>
            <w:tcW w:w="752" w:type="dxa"/>
            <w:vAlign w:val="center"/>
          </w:tcPr>
          <w:p>
            <w:pPr>
              <w:autoSpaceDN w:val="0"/>
              <w:spacing w:line="300" w:lineRule="exact"/>
              <w:jc w:val="center"/>
              <w:textAlignment w:val="center"/>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10</w:t>
            </w:r>
          </w:p>
        </w:tc>
        <w:tc>
          <w:tcPr>
            <w:tcW w:w="1213"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行政处罚</w:t>
            </w:r>
          </w:p>
        </w:tc>
        <w:tc>
          <w:tcPr>
            <w:tcW w:w="1472"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对</w:t>
            </w:r>
            <w:r>
              <w:rPr>
                <w:rFonts w:hint="eastAsia" w:ascii="仿宋" w:hAnsi="仿宋" w:eastAsia="仿宋" w:cs="仿宋"/>
                <w:b w:val="0"/>
                <w:bCs w:val="0"/>
                <w:color w:val="auto"/>
                <w:sz w:val="18"/>
                <w:szCs w:val="18"/>
              </w:rPr>
              <w:t>发卡企业未在开展单用途卡业务之日起30日内按照规定办理备案的</w:t>
            </w:r>
            <w:r>
              <w:rPr>
                <w:rFonts w:hint="eastAsia" w:ascii="仿宋" w:hAnsi="仿宋" w:eastAsia="仿宋" w:cs="仿宋"/>
                <w:b w:val="0"/>
                <w:bCs w:val="0"/>
                <w:color w:val="auto"/>
                <w:sz w:val="18"/>
                <w:szCs w:val="18"/>
                <w:highlight w:val="none"/>
                <w:lang w:val="en-US" w:eastAsia="zh-CN"/>
              </w:rPr>
              <w:t>行政</w:t>
            </w:r>
            <w:r>
              <w:rPr>
                <w:rFonts w:hint="eastAsia" w:ascii="仿宋" w:hAnsi="仿宋" w:eastAsia="仿宋" w:cs="仿宋"/>
                <w:b w:val="0"/>
                <w:bCs w:val="0"/>
                <w:color w:val="auto"/>
                <w:sz w:val="18"/>
                <w:szCs w:val="18"/>
              </w:rPr>
              <w:t>处罚</w:t>
            </w:r>
          </w:p>
        </w:tc>
        <w:tc>
          <w:tcPr>
            <w:tcW w:w="1190" w:type="dxa"/>
            <w:vAlign w:val="center"/>
          </w:tcPr>
          <w:p>
            <w:pPr>
              <w:spacing w:line="20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80"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《单用途商业预付卡管理办法（试行）》</w:t>
            </w:r>
            <w:r>
              <w:rPr>
                <w:rFonts w:hint="eastAsia" w:ascii="仿宋" w:hAnsi="仿宋" w:eastAsia="仿宋" w:cs="仿宋"/>
                <w:b w:val="0"/>
                <w:bCs w:val="0"/>
                <w:color w:val="auto"/>
                <w:sz w:val="18"/>
                <w:szCs w:val="18"/>
              </w:rPr>
              <w:t>（商务部令2012年第9号第三十六条：发卡企业违反本办法第七条规定的，由违法行为发生地县级以上地方人民政府商务主管部门责令限期改正；逾期仍不改正的，处以1万元以上3万元以下罚款。</w:t>
            </w:r>
          </w:p>
          <w:p>
            <w:pPr>
              <w:tabs>
                <w:tab w:val="left" w:pos="7937"/>
              </w:tabs>
              <w:spacing w:line="200" w:lineRule="exact"/>
              <w:ind w:firstLine="344" w:firstLineChars="200"/>
              <w:jc w:val="left"/>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rPr>
              <w:t>第七条</w:t>
            </w:r>
            <w:r>
              <w:rPr>
                <w:rFonts w:hint="eastAsia" w:ascii="仿宋" w:hAnsi="仿宋" w:eastAsia="仿宋" w:cs="仿宋"/>
                <w:b w:val="0"/>
                <w:bCs w:val="0"/>
                <w:color w:val="auto"/>
                <w:sz w:val="18"/>
                <w:szCs w:val="18"/>
                <w:lang w:eastAsia="zh-CN"/>
              </w:rPr>
              <w:t>：</w:t>
            </w:r>
            <w:r>
              <w:rPr>
                <w:rFonts w:ascii="微软雅黑" w:hAnsi="微软雅黑" w:eastAsia="微软雅黑" w:cs="微软雅黑"/>
                <w:b w:val="0"/>
                <w:bCs w:val="0"/>
                <w:i w:val="0"/>
                <w:iCs w:val="0"/>
                <w:caps w:val="0"/>
                <w:color w:val="auto"/>
                <w:spacing w:val="0"/>
                <w:sz w:val="27"/>
                <w:szCs w:val="27"/>
              </w:rPr>
              <w:t> </w:t>
            </w:r>
            <w:r>
              <w:rPr>
                <w:rFonts w:hint="eastAsia" w:ascii="仿宋" w:hAnsi="仿宋" w:eastAsia="仿宋" w:cs="仿宋"/>
                <w:b w:val="0"/>
                <w:bCs w:val="0"/>
                <w:color w:val="auto"/>
                <w:sz w:val="18"/>
                <w:szCs w:val="18"/>
              </w:rPr>
              <w:t>发卡企业应在开展单用途卡业务之日起30日内按照下列规定办理备案：其他发卡企业向其工商登记注册地县（市、区）人民政府商务主管部门备案。</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 </w:t>
            </w:r>
          </w:p>
        </w:tc>
        <w:tc>
          <w:tcPr>
            <w:tcW w:w="292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1、立案责任：发卡企业涉嫌在开展单用途卡业务之日起30日内按照规定办理备案的，予以审查，决定是否立案。</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7、执行责任：依照生效的行政处罚决定责令限期改正；逾期仍不改正的，处以1万元以上3万元以下罚款。 </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8、其他法律法规规章文件规定应履行的责任。</w:t>
            </w:r>
          </w:p>
        </w:tc>
        <w:tc>
          <w:tcPr>
            <w:tcW w:w="251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1、没有法律和事实依据实施行政处罚的；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2、行政处罚显失公正的；</w:t>
            </w:r>
            <w:r>
              <w:rPr>
                <w:rFonts w:hint="eastAsia" w:ascii="仿宋" w:hAnsi="仿宋" w:eastAsia="仿宋" w:cs="仿宋"/>
                <w:b w:val="0"/>
                <w:bCs w:val="0"/>
                <w:color w:val="auto"/>
                <w:sz w:val="18"/>
                <w:szCs w:val="18"/>
              </w:rPr>
              <w:br w:type="textWrapping"/>
            </w:r>
            <w:r>
              <w:rPr>
                <w:rFonts w:hint="eastAsia" w:ascii="仿宋" w:hAnsi="仿宋" w:eastAsia="仿宋" w:cs="仿宋"/>
                <w:b w:val="0"/>
                <w:bCs w:val="0"/>
                <w:color w:val="auto"/>
                <w:sz w:val="18"/>
                <w:szCs w:val="18"/>
              </w:rPr>
              <w:t>3、不具备行政执法资格实施行政处罚的；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4、应当依法移送追究刑事责任，而未依法移送有权机关的；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5、擅自改变行政处罚种类、幅度的；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6、违反法定的行政处罚程序的；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7、符合听证条件、行政管理相对人要求听证，应予组织听证而不组织听证的；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8、在行政处罚过程中发生腐败行为的；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9、其他违反法律法规规章文件规定的行为。</w:t>
            </w:r>
          </w:p>
        </w:tc>
        <w:tc>
          <w:tcPr>
            <w:tcW w:w="700" w:type="dxa"/>
            <w:vAlign w:val="center"/>
          </w:tcPr>
          <w:p>
            <w:pPr>
              <w:tabs>
                <w:tab w:val="left" w:pos="7937"/>
              </w:tabs>
              <w:spacing w:line="200" w:lineRule="exact"/>
              <w:jc w:val="left"/>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8" w:hRule="exact"/>
        </w:trPr>
        <w:tc>
          <w:tcPr>
            <w:tcW w:w="752" w:type="dxa"/>
            <w:vAlign w:val="center"/>
          </w:tcPr>
          <w:p>
            <w:pPr>
              <w:autoSpaceDN w:val="0"/>
              <w:spacing w:line="300" w:lineRule="exact"/>
              <w:jc w:val="center"/>
              <w:textAlignment w:val="center"/>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11</w:t>
            </w:r>
          </w:p>
        </w:tc>
        <w:tc>
          <w:tcPr>
            <w:tcW w:w="1213"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行政处罚</w:t>
            </w:r>
          </w:p>
        </w:tc>
        <w:tc>
          <w:tcPr>
            <w:tcW w:w="1472"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对</w:t>
            </w:r>
            <w:r>
              <w:rPr>
                <w:rFonts w:hint="eastAsia" w:ascii="仿宋" w:hAnsi="仿宋" w:eastAsia="仿宋" w:cs="仿宋"/>
                <w:b w:val="0"/>
                <w:bCs w:val="0"/>
                <w:color w:val="auto"/>
                <w:sz w:val="18"/>
                <w:szCs w:val="18"/>
              </w:rPr>
              <w:t>发卡企业违规发行预付卡行为的</w:t>
            </w:r>
            <w:r>
              <w:rPr>
                <w:rFonts w:hint="eastAsia" w:ascii="仿宋" w:hAnsi="仿宋" w:eastAsia="仿宋" w:cs="仿宋"/>
                <w:b w:val="0"/>
                <w:bCs w:val="0"/>
                <w:color w:val="auto"/>
                <w:sz w:val="18"/>
                <w:szCs w:val="18"/>
                <w:highlight w:val="none"/>
                <w:lang w:val="en-US" w:eastAsia="zh-CN"/>
              </w:rPr>
              <w:t>行政</w:t>
            </w:r>
            <w:r>
              <w:rPr>
                <w:rFonts w:hint="eastAsia" w:ascii="仿宋" w:hAnsi="仿宋" w:eastAsia="仿宋" w:cs="仿宋"/>
                <w:b w:val="0"/>
                <w:bCs w:val="0"/>
                <w:color w:val="auto"/>
                <w:sz w:val="18"/>
                <w:szCs w:val="18"/>
              </w:rPr>
              <w:t>处罚</w:t>
            </w:r>
          </w:p>
        </w:tc>
        <w:tc>
          <w:tcPr>
            <w:tcW w:w="1190" w:type="dxa"/>
            <w:vAlign w:val="center"/>
          </w:tcPr>
          <w:p>
            <w:pPr>
              <w:spacing w:line="20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80" w:type="dxa"/>
            <w:vAlign w:val="center"/>
          </w:tcPr>
          <w:p>
            <w:pPr>
              <w:keepNext w:val="0"/>
              <w:keepLines w:val="0"/>
              <w:pageBreakBefore w:val="0"/>
              <w:widowControl w:val="0"/>
              <w:tabs>
                <w:tab w:val="left" w:pos="7937"/>
              </w:tabs>
              <w:kinsoku/>
              <w:wordWrap/>
              <w:overflowPunct/>
              <w:topLinePunct w:val="0"/>
              <w:autoSpaceDE/>
              <w:autoSpaceDN/>
              <w:bidi w:val="0"/>
              <w:adjustRightInd/>
              <w:snapToGrid/>
              <w:spacing w:line="200" w:lineRule="exact"/>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《单用途商业预付卡管理办法（试行）》</w:t>
            </w:r>
            <w:r>
              <w:rPr>
                <w:rFonts w:hint="eastAsia" w:ascii="仿宋" w:hAnsi="仿宋" w:eastAsia="仿宋" w:cs="仿宋"/>
                <w:b w:val="0"/>
                <w:bCs w:val="0"/>
                <w:color w:val="auto"/>
                <w:sz w:val="18"/>
                <w:szCs w:val="18"/>
              </w:rPr>
              <w:t xml:space="preserve">（商务部令2012年第9号）第三十七条：发卡企业或售卡企业违反本办法第十四条至第二十二条规定的，由违法行为发生地县级以上地方人民政府商务主管部门责令限期改正；逾期仍不改正的，处以1万元以上3万元以下罚款。 </w:t>
            </w:r>
          </w:p>
          <w:p>
            <w:pPr>
              <w:keepNext w:val="0"/>
              <w:keepLines w:val="0"/>
              <w:pageBreakBefore w:val="0"/>
              <w:widowControl w:val="0"/>
              <w:tabs>
                <w:tab w:val="left" w:pos="7937"/>
              </w:tabs>
              <w:kinsoku/>
              <w:wordWrap/>
              <w:overflowPunct/>
              <w:topLinePunct w:val="0"/>
              <w:autoSpaceDE/>
              <w:autoSpaceDN/>
              <w:bidi w:val="0"/>
              <w:adjustRightInd/>
              <w:snapToGrid/>
              <w:spacing w:line="200" w:lineRule="exact"/>
              <w:ind w:firstLine="344" w:firstLineChars="200"/>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第</w:t>
            </w:r>
            <w:r>
              <w:rPr>
                <w:rFonts w:hint="eastAsia" w:ascii="仿宋" w:hAnsi="仿宋" w:eastAsia="仿宋" w:cs="仿宋"/>
                <w:b w:val="0"/>
                <w:bCs w:val="0"/>
                <w:color w:val="auto"/>
                <w:sz w:val="18"/>
                <w:szCs w:val="18"/>
              </w:rPr>
              <w:t>十四条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发卡企业或售卡企业应公示或向购卡人提供单用途卡章程，并应购卡人要求签订购卡协议。发卡企业或售卡企业应履行提示告知义务，确保购卡人知晓并认可单用途卡章程或协议内容。单用途卡章程和购卡协议应包括以下内容：（一）单用途卡的名称、种类和功能；（二）单用途卡购买、充值、使用、退卡方式，记名卡还应包括挂失、转让方式；（三）收费项目和标准；（四）当事人的权利、义务；（五）纠纷处理原则和违约责任；（六）相关法律法规规章和规范性文件规定的其他事项。</w:t>
            </w:r>
          </w:p>
          <w:p>
            <w:pPr>
              <w:keepNext w:val="0"/>
              <w:keepLines w:val="0"/>
              <w:pageBreakBefore w:val="0"/>
              <w:widowControl w:val="0"/>
              <w:tabs>
                <w:tab w:val="left" w:pos="7937"/>
              </w:tabs>
              <w:kinsoku/>
              <w:wordWrap/>
              <w:overflowPunct/>
              <w:topLinePunct w:val="0"/>
              <w:autoSpaceDE/>
              <w:autoSpaceDN/>
              <w:bidi w:val="0"/>
              <w:adjustRightInd/>
              <w:snapToGrid/>
              <w:spacing w:line="200" w:lineRule="exact"/>
              <w:ind w:firstLine="344" w:firstLineChars="200"/>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第十五条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个人或单位购买（含充值，下同）记名卡的，或一次性购买1万元（含）以上不记名卡的，发卡企业或售卡企业应要求购卡人及其代理人出示有效身份证件，并留存购卡人及其代理人姓名或单位名称、有效身份证件号码和联系方式。个人有效身份证件包括居民身份证、户口簿、军人身份证件、武警身份证件、港澳台居民通行证、护照等。单位有效身份证件包括营业执照、事业单位法人证书、税务登记证、组织机构代码证等。</w:t>
            </w:r>
            <w:r>
              <w:rPr>
                <w:rFonts w:hint="eastAsia" w:ascii="仿宋" w:hAnsi="仿宋" w:eastAsia="仿宋" w:cs="仿宋"/>
                <w:b w:val="0"/>
                <w:bCs w:val="0"/>
                <w:color w:val="auto"/>
                <w:sz w:val="18"/>
                <w:szCs w:val="18"/>
              </w:rPr>
              <w:br w:type="textWrapping"/>
            </w:r>
            <w:r>
              <w:rPr>
                <w:rFonts w:hint="eastAsia" w:ascii="仿宋" w:hAnsi="仿宋" w:eastAsia="仿宋" w:cs="仿宋"/>
                <w:b w:val="0"/>
                <w:bCs w:val="0"/>
                <w:color w:val="auto"/>
                <w:sz w:val="18"/>
                <w:szCs w:val="18"/>
                <w:lang w:val="en-US" w:eastAsia="zh-CN"/>
              </w:rPr>
              <w:t xml:space="preserve">    </w:t>
            </w:r>
            <w:r>
              <w:rPr>
                <w:rFonts w:hint="eastAsia" w:ascii="仿宋" w:hAnsi="仿宋" w:eastAsia="仿宋" w:cs="仿宋"/>
                <w:b w:val="0"/>
                <w:bCs w:val="0"/>
                <w:color w:val="auto"/>
                <w:sz w:val="18"/>
                <w:szCs w:val="18"/>
              </w:rPr>
              <w:t>第十六条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发卡企业和售卡企业应保存购卡人的登记信息5年以上。发卡企业和售卡企业应对购卡人及其代理人的身份信息和交易信息保密，除法律另有规定外，不得向第三方提供。</w:t>
            </w:r>
          </w:p>
          <w:p>
            <w:pPr>
              <w:keepNext w:val="0"/>
              <w:keepLines w:val="0"/>
              <w:pageBreakBefore w:val="0"/>
              <w:widowControl w:val="0"/>
              <w:tabs>
                <w:tab w:val="left" w:pos="7937"/>
              </w:tabs>
              <w:kinsoku/>
              <w:wordWrap/>
              <w:overflowPunct/>
              <w:topLinePunct w:val="0"/>
              <w:autoSpaceDE/>
              <w:autoSpaceDN/>
              <w:bidi w:val="0"/>
              <w:adjustRightInd/>
              <w:snapToGrid/>
              <w:spacing w:line="200" w:lineRule="exact"/>
              <w:ind w:firstLine="344" w:firstLineChars="200"/>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第十七条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单位一次性购买单用途卡金额达5000元（含）以上或个人一次性购卡金额达5万元（含）以上的，以及单位或个人采用非现场方式购卡的，应通过银行转账，不得使用现金，发卡企业或售卡企业应对转出、转入账户名称、账号、金额等进行逐笔登记。发卡企业和售卡企业应严格按照国家有关规定开具发票。</w:t>
            </w:r>
            <w:r>
              <w:rPr>
                <w:rFonts w:hint="eastAsia" w:ascii="仿宋" w:hAnsi="仿宋" w:eastAsia="仿宋" w:cs="仿宋"/>
                <w:b w:val="0"/>
                <w:bCs w:val="0"/>
                <w:color w:val="auto"/>
                <w:sz w:val="18"/>
                <w:szCs w:val="18"/>
              </w:rPr>
              <w:br w:type="textWrapping"/>
            </w:r>
            <w:r>
              <w:rPr>
                <w:rFonts w:hint="eastAsia" w:ascii="仿宋" w:hAnsi="仿宋" w:eastAsia="仿宋" w:cs="仿宋"/>
                <w:b w:val="0"/>
                <w:bCs w:val="0"/>
                <w:color w:val="auto"/>
                <w:sz w:val="18"/>
                <w:szCs w:val="18"/>
              </w:rPr>
              <w:t>第十八条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单张记名卡限额不得超过5000元，单张不记名卡限额不得超过1000元。单张单用途卡充值后资金余额不得超过前款规定的限额。</w:t>
            </w:r>
            <w:r>
              <w:rPr>
                <w:rFonts w:hint="eastAsia" w:ascii="仿宋" w:hAnsi="仿宋" w:eastAsia="仿宋" w:cs="仿宋"/>
                <w:b w:val="0"/>
                <w:bCs w:val="0"/>
                <w:color w:val="auto"/>
                <w:sz w:val="18"/>
                <w:szCs w:val="18"/>
              </w:rPr>
              <w:br w:type="textWrapping"/>
            </w:r>
            <w:r>
              <w:rPr>
                <w:rFonts w:hint="eastAsia" w:ascii="仿宋" w:hAnsi="仿宋" w:eastAsia="仿宋" w:cs="仿宋"/>
                <w:b w:val="0"/>
                <w:bCs w:val="0"/>
                <w:color w:val="auto"/>
                <w:sz w:val="18"/>
                <w:szCs w:val="18"/>
                <w:lang w:val="en-US" w:eastAsia="zh-CN"/>
              </w:rPr>
              <w:t xml:space="preserve">    </w:t>
            </w:r>
            <w:r>
              <w:rPr>
                <w:rFonts w:hint="eastAsia" w:ascii="仿宋" w:hAnsi="仿宋" w:eastAsia="仿宋" w:cs="仿宋"/>
                <w:b w:val="0"/>
                <w:bCs w:val="0"/>
                <w:color w:val="auto"/>
                <w:sz w:val="18"/>
                <w:szCs w:val="18"/>
              </w:rPr>
              <w:t>第十九条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记名卡不得设有效期；不记</w:t>
            </w:r>
          </w:p>
        </w:tc>
        <w:tc>
          <w:tcPr>
            <w:tcW w:w="292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1、立案责任：发卡企业涉嫌违规发行预付卡行为的，予以审查，决定是否立案。</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7、执行责任：依照生效的行政处罚决定责令限期改正；逾期仍不改正的，处以1万元以上3万元以下罚款。 </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8、其他法律法规规章文件规定应履行的责任。</w:t>
            </w:r>
          </w:p>
        </w:tc>
        <w:tc>
          <w:tcPr>
            <w:tcW w:w="251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1、没有法律和事实依据实施行政处罚的；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2、行政处罚显失公正的；</w:t>
            </w:r>
            <w:r>
              <w:rPr>
                <w:rFonts w:hint="eastAsia" w:ascii="仿宋" w:hAnsi="仿宋" w:eastAsia="仿宋" w:cs="仿宋"/>
                <w:b w:val="0"/>
                <w:bCs w:val="0"/>
                <w:color w:val="auto"/>
                <w:sz w:val="18"/>
                <w:szCs w:val="18"/>
              </w:rPr>
              <w:br w:type="textWrapping"/>
            </w:r>
            <w:r>
              <w:rPr>
                <w:rFonts w:hint="eastAsia" w:ascii="仿宋" w:hAnsi="仿宋" w:eastAsia="仿宋" w:cs="仿宋"/>
                <w:b w:val="0"/>
                <w:bCs w:val="0"/>
                <w:color w:val="auto"/>
                <w:sz w:val="18"/>
                <w:szCs w:val="18"/>
              </w:rPr>
              <w:t>3、不具备行政执法资格实施行政处罚的；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4、应当依法移送追究刑事责任，而未依法移送有权机关的；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5、擅自改变行政处罚种类、幅度的；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6、违反法定的行政处罚程序的；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7、符合听证条件、行政管理相对人要求听证，应予组织听证而不组织听证的；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8、在行政处罚过程中发生腐败行为的；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9、其他违反法律法规规章文件规定的行为。</w:t>
            </w:r>
          </w:p>
        </w:tc>
        <w:tc>
          <w:tcPr>
            <w:tcW w:w="700" w:type="dxa"/>
            <w:vAlign w:val="center"/>
          </w:tcPr>
          <w:p>
            <w:pPr>
              <w:tabs>
                <w:tab w:val="left" w:pos="7937"/>
              </w:tabs>
              <w:spacing w:line="200" w:lineRule="exact"/>
              <w:jc w:val="left"/>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5" w:hRule="exact"/>
        </w:trPr>
        <w:tc>
          <w:tcPr>
            <w:tcW w:w="752" w:type="dxa"/>
            <w:vAlign w:val="center"/>
          </w:tcPr>
          <w:p>
            <w:pPr>
              <w:autoSpaceDN w:val="0"/>
              <w:spacing w:line="300" w:lineRule="exact"/>
              <w:jc w:val="center"/>
              <w:textAlignment w:val="center"/>
              <w:rPr>
                <w:rFonts w:hint="eastAsia" w:ascii="仿宋" w:hAnsi="仿宋" w:eastAsia="仿宋" w:cs="仿宋"/>
                <w:b w:val="0"/>
                <w:bCs w:val="0"/>
                <w:color w:val="auto"/>
                <w:sz w:val="18"/>
                <w:szCs w:val="18"/>
                <w:lang w:val="en-US" w:eastAsia="zh-CN"/>
              </w:rPr>
            </w:pPr>
          </w:p>
        </w:tc>
        <w:tc>
          <w:tcPr>
            <w:tcW w:w="1213"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行政处罚</w:t>
            </w:r>
          </w:p>
        </w:tc>
        <w:tc>
          <w:tcPr>
            <w:tcW w:w="1472"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对</w:t>
            </w:r>
            <w:r>
              <w:rPr>
                <w:rFonts w:hint="eastAsia" w:ascii="仿宋" w:hAnsi="仿宋" w:eastAsia="仿宋" w:cs="仿宋"/>
                <w:b w:val="0"/>
                <w:bCs w:val="0"/>
                <w:color w:val="auto"/>
                <w:sz w:val="18"/>
                <w:szCs w:val="18"/>
              </w:rPr>
              <w:t>发卡企业违规发行预付卡行为的</w:t>
            </w:r>
            <w:r>
              <w:rPr>
                <w:rFonts w:hint="eastAsia" w:ascii="仿宋" w:hAnsi="仿宋" w:eastAsia="仿宋" w:cs="仿宋"/>
                <w:b w:val="0"/>
                <w:bCs w:val="0"/>
                <w:color w:val="auto"/>
                <w:sz w:val="18"/>
                <w:szCs w:val="18"/>
                <w:highlight w:val="none"/>
                <w:lang w:val="en-US" w:eastAsia="zh-CN"/>
              </w:rPr>
              <w:t>行政</w:t>
            </w:r>
            <w:r>
              <w:rPr>
                <w:rFonts w:hint="eastAsia" w:ascii="仿宋" w:hAnsi="仿宋" w:eastAsia="仿宋" w:cs="仿宋"/>
                <w:b w:val="0"/>
                <w:bCs w:val="0"/>
                <w:color w:val="auto"/>
                <w:sz w:val="18"/>
                <w:szCs w:val="18"/>
              </w:rPr>
              <w:t>处罚</w:t>
            </w:r>
          </w:p>
        </w:tc>
        <w:tc>
          <w:tcPr>
            <w:tcW w:w="1190" w:type="dxa"/>
            <w:vAlign w:val="center"/>
          </w:tcPr>
          <w:p>
            <w:pPr>
              <w:spacing w:line="20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80" w:type="dxa"/>
            <w:vAlign w:val="top"/>
          </w:tcPr>
          <w:p>
            <w:pPr>
              <w:keepNext w:val="0"/>
              <w:keepLines w:val="0"/>
              <w:pageBreakBefore w:val="0"/>
              <w:widowControl w:val="0"/>
              <w:tabs>
                <w:tab w:val="left" w:pos="7937"/>
              </w:tabs>
              <w:kinsoku/>
              <w:wordWrap/>
              <w:overflowPunct/>
              <w:topLinePunct w:val="0"/>
              <w:autoSpaceDE/>
              <w:autoSpaceDN/>
              <w:bidi w:val="0"/>
              <w:adjustRightInd/>
              <w:snapToGrid/>
              <w:spacing w:line="200" w:lineRule="exact"/>
              <w:jc w:val="both"/>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名卡有效期不得少于3年。发卡企业或售卡企业对超过有效期尚有资金余额的不记名卡应提供激活、换卡等配套服务。</w:t>
            </w:r>
            <w:r>
              <w:rPr>
                <w:rFonts w:hint="eastAsia" w:ascii="仿宋" w:hAnsi="仿宋" w:eastAsia="仿宋" w:cs="仿宋"/>
                <w:b w:val="0"/>
                <w:bCs w:val="0"/>
                <w:color w:val="auto"/>
                <w:sz w:val="18"/>
                <w:szCs w:val="18"/>
              </w:rPr>
              <w:br w:type="textWrapping"/>
            </w:r>
            <w:r>
              <w:rPr>
                <w:rFonts w:hint="eastAsia" w:ascii="仿宋" w:hAnsi="仿宋" w:eastAsia="仿宋" w:cs="仿宋"/>
                <w:b w:val="0"/>
                <w:bCs w:val="0"/>
                <w:color w:val="auto"/>
                <w:sz w:val="18"/>
                <w:szCs w:val="18"/>
                <w:lang w:val="en-US" w:eastAsia="zh-CN"/>
              </w:rPr>
              <w:t xml:space="preserve">    </w:t>
            </w:r>
            <w:r>
              <w:rPr>
                <w:rFonts w:hint="eastAsia" w:ascii="仿宋" w:hAnsi="仿宋" w:eastAsia="仿宋" w:cs="仿宋"/>
                <w:b w:val="0"/>
                <w:bCs w:val="0"/>
                <w:color w:val="auto"/>
                <w:sz w:val="18"/>
                <w:szCs w:val="18"/>
              </w:rPr>
              <w:t>第二十条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使用单用途卡购买商品后需要退货的，发卡企业或受理企业应将资金退至原卡。原单用途卡不存在或退货后卡内资金余额超过单用途卡限额的，应退回至持卡人在同一发卡企业的同类单用途卡内。退货金额不足100元（含）的，可支付现金。</w:t>
            </w:r>
            <w:r>
              <w:rPr>
                <w:rFonts w:hint="eastAsia" w:ascii="仿宋" w:hAnsi="仿宋" w:eastAsia="仿宋" w:cs="仿宋"/>
                <w:b w:val="0"/>
                <w:bCs w:val="0"/>
                <w:color w:val="auto"/>
                <w:sz w:val="18"/>
                <w:szCs w:val="18"/>
              </w:rPr>
              <w:br w:type="textWrapping"/>
            </w:r>
            <w:r>
              <w:rPr>
                <w:rFonts w:hint="eastAsia" w:ascii="仿宋" w:hAnsi="仿宋" w:eastAsia="仿宋" w:cs="仿宋"/>
                <w:b w:val="0"/>
                <w:bCs w:val="0"/>
                <w:color w:val="auto"/>
                <w:sz w:val="18"/>
                <w:szCs w:val="18"/>
                <w:lang w:val="en-US" w:eastAsia="zh-CN"/>
              </w:rPr>
              <w:t xml:space="preserve">    </w:t>
            </w:r>
            <w:r>
              <w:rPr>
                <w:rFonts w:hint="eastAsia" w:ascii="仿宋" w:hAnsi="仿宋" w:eastAsia="仿宋" w:cs="仿宋"/>
                <w:b w:val="0"/>
                <w:bCs w:val="0"/>
                <w:color w:val="auto"/>
                <w:sz w:val="18"/>
                <w:szCs w:val="18"/>
              </w:rPr>
              <w:t>第二十一条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发卡企业或售卡企业应依单用途卡章程或协议约定，提供退卡服务。办理退卡时，发卡企业或售卡企业应要求退卡人出示有效身份证件，并留存退卡人姓名、有效身份证件号码、退卡卡号、金额等信息。　　发卡企业或售卡企业应将资金退至与退卡人同名的银行账户内，并留存银行账户信息。卡内资金余额不足100元（含）的，可支付现金。</w:t>
            </w:r>
            <w:r>
              <w:rPr>
                <w:rFonts w:hint="eastAsia" w:ascii="仿宋" w:hAnsi="仿宋" w:eastAsia="仿宋" w:cs="仿宋"/>
                <w:b w:val="0"/>
                <w:bCs w:val="0"/>
                <w:color w:val="auto"/>
                <w:sz w:val="18"/>
                <w:szCs w:val="18"/>
              </w:rPr>
              <w:br w:type="textWrapping"/>
            </w:r>
            <w:r>
              <w:rPr>
                <w:rFonts w:hint="eastAsia" w:ascii="仿宋" w:hAnsi="仿宋" w:eastAsia="仿宋" w:cs="仿宋"/>
                <w:b w:val="0"/>
                <w:bCs w:val="0"/>
                <w:color w:val="auto"/>
                <w:sz w:val="18"/>
                <w:szCs w:val="18"/>
                <w:lang w:val="en-US" w:eastAsia="zh-CN"/>
              </w:rPr>
              <w:t xml:space="preserve">    </w:t>
            </w:r>
            <w:r>
              <w:rPr>
                <w:rFonts w:hint="eastAsia" w:ascii="仿宋" w:hAnsi="仿宋" w:eastAsia="仿宋" w:cs="仿宋"/>
                <w:b w:val="0"/>
                <w:bCs w:val="0"/>
                <w:color w:val="auto"/>
                <w:sz w:val="18"/>
                <w:szCs w:val="18"/>
              </w:rPr>
              <w:t>第二十二条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发卡企业终止兑付未到期单用途卡的，发卡企业和售卡企业应向持卡人提供免费退卡服务，并在终止兑付日前至少30日在备案机关指定的媒体上进行公示。</w:t>
            </w:r>
          </w:p>
          <w:p>
            <w:pPr>
              <w:keepNext w:val="0"/>
              <w:keepLines w:val="0"/>
              <w:pageBreakBefore w:val="0"/>
              <w:widowControl w:val="0"/>
              <w:tabs>
                <w:tab w:val="left" w:pos="7937"/>
              </w:tabs>
              <w:kinsoku/>
              <w:wordWrap/>
              <w:overflowPunct/>
              <w:topLinePunct w:val="0"/>
              <w:autoSpaceDE/>
              <w:autoSpaceDN/>
              <w:bidi w:val="0"/>
              <w:adjustRightInd/>
              <w:snapToGrid/>
              <w:spacing w:line="200" w:lineRule="exact"/>
              <w:jc w:val="both"/>
              <w:textAlignment w:val="auto"/>
              <w:rPr>
                <w:rFonts w:hint="eastAsia" w:ascii="仿宋" w:hAnsi="仿宋" w:eastAsia="仿宋" w:cs="仿宋"/>
                <w:b w:val="0"/>
                <w:bCs w:val="0"/>
                <w:color w:val="auto"/>
                <w:sz w:val="18"/>
                <w:szCs w:val="18"/>
              </w:rPr>
            </w:pPr>
          </w:p>
        </w:tc>
        <w:tc>
          <w:tcPr>
            <w:tcW w:w="292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1、立案责任：发卡企业涉嫌违规发行预付卡行为的，予以审查，决定是否立案。</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7、执行责任：依照生效的行政处罚决定责令限期改正；逾期仍不改正的，处以1万元以上3万元以下罚款。 </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8、其他法律法规规章文件规定应履行的责任。</w:t>
            </w:r>
          </w:p>
        </w:tc>
        <w:tc>
          <w:tcPr>
            <w:tcW w:w="251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1、没有法律和事实依据实施行政处罚的；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2、行政处罚显失公正的；</w:t>
            </w:r>
            <w:r>
              <w:rPr>
                <w:rFonts w:hint="eastAsia" w:ascii="仿宋" w:hAnsi="仿宋" w:eastAsia="仿宋" w:cs="仿宋"/>
                <w:b w:val="0"/>
                <w:bCs w:val="0"/>
                <w:color w:val="auto"/>
                <w:sz w:val="18"/>
                <w:szCs w:val="18"/>
              </w:rPr>
              <w:br w:type="textWrapping"/>
            </w:r>
            <w:r>
              <w:rPr>
                <w:rFonts w:hint="eastAsia" w:ascii="仿宋" w:hAnsi="仿宋" w:eastAsia="仿宋" w:cs="仿宋"/>
                <w:b w:val="0"/>
                <w:bCs w:val="0"/>
                <w:color w:val="auto"/>
                <w:sz w:val="18"/>
                <w:szCs w:val="18"/>
              </w:rPr>
              <w:t>3、不具备行政执法资格实施行政处罚的；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4、应当依法移送追究刑事责任，而未依法移送有权机关的；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5、擅自改变行政处罚种类、幅度的；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6、违反法定的行政处罚程序的；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7、符合听证条件、行政管理相对人要求听证，应予组织听证而不组织听证的；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8、在行政处罚过程中发生腐败行为的；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9、其他违反法律法规规章文件规定的行为。</w:t>
            </w:r>
          </w:p>
        </w:tc>
        <w:tc>
          <w:tcPr>
            <w:tcW w:w="700" w:type="dxa"/>
            <w:vAlign w:val="center"/>
          </w:tcPr>
          <w:p>
            <w:pPr>
              <w:tabs>
                <w:tab w:val="left" w:pos="7937"/>
              </w:tabs>
              <w:spacing w:line="200" w:lineRule="exact"/>
              <w:jc w:val="left"/>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4" w:hRule="exact"/>
        </w:trPr>
        <w:tc>
          <w:tcPr>
            <w:tcW w:w="752" w:type="dxa"/>
            <w:vAlign w:val="center"/>
          </w:tcPr>
          <w:p>
            <w:pPr>
              <w:autoSpaceDN w:val="0"/>
              <w:spacing w:line="300" w:lineRule="exact"/>
              <w:jc w:val="center"/>
              <w:textAlignment w:val="center"/>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12</w:t>
            </w:r>
          </w:p>
        </w:tc>
        <w:tc>
          <w:tcPr>
            <w:tcW w:w="1213" w:type="dxa"/>
            <w:vAlign w:val="center"/>
          </w:tcPr>
          <w:p>
            <w:pPr>
              <w:tabs>
                <w:tab w:val="left" w:pos="7937"/>
              </w:tabs>
              <w:spacing w:line="200" w:lineRule="exact"/>
              <w:jc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行政处罚</w:t>
            </w:r>
          </w:p>
        </w:tc>
        <w:tc>
          <w:tcPr>
            <w:tcW w:w="1472" w:type="dxa"/>
            <w:vAlign w:val="center"/>
          </w:tcPr>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对</w:t>
            </w:r>
            <w:r>
              <w:rPr>
                <w:rFonts w:hint="eastAsia" w:ascii="仿宋" w:hAnsi="仿宋" w:eastAsia="仿宋" w:cs="仿宋"/>
                <w:b w:val="0"/>
                <w:bCs w:val="0"/>
                <w:color w:val="auto"/>
                <w:sz w:val="18"/>
                <w:szCs w:val="18"/>
                <w:highlight w:val="none"/>
              </w:rPr>
              <w:t>发卡企业违反资金管理行为的</w:t>
            </w:r>
            <w:r>
              <w:rPr>
                <w:rFonts w:hint="eastAsia" w:ascii="仿宋" w:hAnsi="仿宋" w:eastAsia="仿宋" w:cs="仿宋"/>
                <w:b w:val="0"/>
                <w:bCs w:val="0"/>
                <w:color w:val="auto"/>
                <w:sz w:val="18"/>
                <w:szCs w:val="18"/>
                <w:highlight w:val="none"/>
                <w:lang w:val="en-US" w:eastAsia="zh-CN"/>
              </w:rPr>
              <w:t>行政</w:t>
            </w:r>
            <w:r>
              <w:rPr>
                <w:rFonts w:hint="eastAsia" w:ascii="仿宋" w:hAnsi="仿宋" w:eastAsia="仿宋" w:cs="仿宋"/>
                <w:b w:val="0"/>
                <w:bCs w:val="0"/>
                <w:color w:val="auto"/>
                <w:sz w:val="18"/>
                <w:szCs w:val="18"/>
                <w:highlight w:val="none"/>
              </w:rPr>
              <w:t>处罚</w:t>
            </w:r>
          </w:p>
        </w:tc>
        <w:tc>
          <w:tcPr>
            <w:tcW w:w="1190" w:type="dxa"/>
            <w:vAlign w:val="center"/>
          </w:tcPr>
          <w:p>
            <w:pPr>
              <w:spacing w:line="200" w:lineRule="exact"/>
              <w:jc w:val="center"/>
              <w:rPr>
                <w:rFonts w:hint="eastAsia" w:ascii="仿宋" w:hAnsi="仿宋" w:eastAsia="仿宋" w:cs="仿宋"/>
                <w:b w:val="0"/>
                <w:bCs w:val="0"/>
                <w:color w:val="auto"/>
                <w:sz w:val="18"/>
                <w:szCs w:val="18"/>
                <w:highlight w:val="none"/>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80" w:type="dxa"/>
            <w:vAlign w:val="center"/>
          </w:tcPr>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《单用途商业预付卡管理办法（试行）》</w:t>
            </w:r>
            <w:r>
              <w:rPr>
                <w:rFonts w:hint="eastAsia" w:ascii="仿宋" w:hAnsi="仿宋" w:eastAsia="仿宋" w:cs="仿宋"/>
                <w:b w:val="0"/>
                <w:bCs w:val="0"/>
                <w:color w:val="auto"/>
                <w:sz w:val="18"/>
                <w:szCs w:val="18"/>
                <w:highlight w:val="none"/>
              </w:rPr>
              <w:t>（商务部令2012年第9号）第三十</w:t>
            </w:r>
            <w:r>
              <w:rPr>
                <w:rFonts w:hint="eastAsia" w:ascii="仿宋" w:hAnsi="仿宋" w:eastAsia="仿宋" w:cs="仿宋"/>
                <w:b w:val="0"/>
                <w:bCs w:val="0"/>
                <w:color w:val="auto"/>
                <w:sz w:val="18"/>
                <w:szCs w:val="18"/>
                <w:highlight w:val="none"/>
                <w:lang w:val="en-US" w:eastAsia="zh-CN"/>
              </w:rPr>
              <w:t>七</w:t>
            </w:r>
            <w:r>
              <w:rPr>
                <w:rFonts w:hint="eastAsia" w:ascii="仿宋" w:hAnsi="仿宋" w:eastAsia="仿宋" w:cs="仿宋"/>
                <w:b w:val="0"/>
                <w:bCs w:val="0"/>
                <w:color w:val="auto"/>
                <w:sz w:val="18"/>
                <w:szCs w:val="18"/>
                <w:highlight w:val="none"/>
              </w:rPr>
              <w:t>条：发卡企业违反本办法第二十四条至第二十七条、第三十一条规定的，由备案机关责令限期改正；逾期仍不改正的，处以1万元以上3万元以下罚款。集团发卡企业、品牌发卡企业疏于管理，其隶属的售卡企业12个月内3次违反本办法规定受到行政处罚的，备案机关可以对集团发卡企业、品牌发卡企业处以3万元以下罚款。</w:t>
            </w:r>
          </w:p>
          <w:p>
            <w:pPr>
              <w:tabs>
                <w:tab w:val="left" w:pos="7937"/>
              </w:tabs>
              <w:spacing w:line="200" w:lineRule="exact"/>
              <w:ind w:firstLine="344" w:firstLineChars="200"/>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二十四条</w:t>
            </w:r>
            <w:r>
              <w:rPr>
                <w:rFonts w:hint="eastAsia" w:ascii="仿宋" w:hAnsi="仿宋" w:eastAsia="仿宋" w:cs="仿宋"/>
                <w:b w:val="0"/>
                <w:bCs w:val="0"/>
                <w:color w:val="auto"/>
                <w:sz w:val="18"/>
                <w:szCs w:val="18"/>
                <w:highlight w:val="none"/>
                <w:lang w:eastAsia="zh-CN"/>
              </w:rPr>
              <w:t>：</w:t>
            </w:r>
            <w:r>
              <w:rPr>
                <w:rFonts w:hint="eastAsia" w:ascii="仿宋" w:hAnsi="仿宋" w:eastAsia="仿宋" w:cs="仿宋"/>
                <w:b w:val="0"/>
                <w:bCs w:val="0"/>
                <w:color w:val="auto"/>
                <w:sz w:val="18"/>
                <w:szCs w:val="18"/>
                <w:highlight w:val="none"/>
              </w:rPr>
              <w:t>发卡企业应对预收资金进行严格管理。预收资金只能用于发卡企业主营业务，不得用于不动产、股权、证券等投资及借贷。</w:t>
            </w:r>
            <w:r>
              <w:rPr>
                <w:rFonts w:hint="eastAsia" w:ascii="仿宋" w:hAnsi="仿宋" w:eastAsia="仿宋" w:cs="仿宋"/>
                <w:b w:val="0"/>
                <w:bCs w:val="0"/>
                <w:color w:val="auto"/>
                <w:sz w:val="18"/>
                <w:szCs w:val="18"/>
                <w:highlight w:val="none"/>
              </w:rPr>
              <w:br w:type="textWrapping"/>
            </w:r>
            <w:r>
              <w:rPr>
                <w:rFonts w:hint="eastAsia" w:ascii="仿宋" w:hAnsi="仿宋" w:eastAsia="仿宋" w:cs="仿宋"/>
                <w:b w:val="0"/>
                <w:bCs w:val="0"/>
                <w:color w:val="auto"/>
                <w:sz w:val="18"/>
                <w:szCs w:val="18"/>
                <w:highlight w:val="none"/>
                <w:lang w:val="en-US" w:eastAsia="zh-CN"/>
              </w:rPr>
              <w:t xml:space="preserve">    </w:t>
            </w:r>
            <w:r>
              <w:rPr>
                <w:rFonts w:hint="eastAsia" w:ascii="仿宋" w:hAnsi="仿宋" w:eastAsia="仿宋" w:cs="仿宋"/>
                <w:b w:val="0"/>
                <w:bCs w:val="0"/>
                <w:color w:val="auto"/>
                <w:sz w:val="18"/>
                <w:szCs w:val="18"/>
                <w:highlight w:val="none"/>
              </w:rPr>
              <w:t>第二十五条 主营业务为零售业、住宿和餐饮业的发卡企业，预收资金余额不得超过其上一会计年度主营业务收入的40%；主营业务为居民服务业的发卡企业的预收资金余额不得超过其上一会计年度主营业务收入；工商注册登记不足一年的发卡企业的预收资金余额不得超过其注册资本的2倍。集团发卡企业预收资金余额不得超过其上一会计年度本集团营业收入的30%。本办法所称预收资金是指发卡企业通过发行单用途卡所预收的资金总额，预收资金余额是指预收资金扣减已兑付商品或服务价款后的余额。</w:t>
            </w:r>
            <w:r>
              <w:rPr>
                <w:rFonts w:hint="eastAsia" w:ascii="仿宋" w:hAnsi="仿宋" w:eastAsia="仿宋" w:cs="仿宋"/>
                <w:b w:val="0"/>
                <w:bCs w:val="0"/>
                <w:color w:val="auto"/>
                <w:sz w:val="18"/>
                <w:szCs w:val="18"/>
                <w:highlight w:val="none"/>
              </w:rPr>
              <w:br w:type="textWrapping"/>
            </w:r>
            <w:r>
              <w:rPr>
                <w:rFonts w:hint="eastAsia" w:ascii="仿宋" w:hAnsi="仿宋" w:eastAsia="仿宋" w:cs="仿宋"/>
                <w:b w:val="0"/>
                <w:bCs w:val="0"/>
                <w:color w:val="auto"/>
                <w:sz w:val="18"/>
                <w:szCs w:val="18"/>
                <w:highlight w:val="none"/>
                <w:lang w:val="en-US" w:eastAsia="zh-CN"/>
              </w:rPr>
              <w:t xml:space="preserve">    </w:t>
            </w:r>
            <w:r>
              <w:rPr>
                <w:rFonts w:hint="eastAsia" w:ascii="仿宋" w:hAnsi="仿宋" w:eastAsia="仿宋" w:cs="仿宋"/>
                <w:b w:val="0"/>
                <w:bCs w:val="0"/>
                <w:color w:val="auto"/>
                <w:sz w:val="18"/>
                <w:szCs w:val="18"/>
                <w:highlight w:val="none"/>
              </w:rPr>
              <w:t>第二十六条 规模发卡企业、集团发卡企业和品牌发卡企业实行资金存管制度。规模发卡企业存管资金比例不低于上一季度预收资金余额的20%；集团发卡企业存管资金比例不低于上一季度预收资金余额的30%；品牌发卡企业存管资金比例不低于上一季度预收资金余额的40%。</w:t>
            </w:r>
            <w:r>
              <w:rPr>
                <w:rFonts w:hint="eastAsia" w:ascii="仿宋" w:hAnsi="仿宋" w:eastAsia="仿宋" w:cs="仿宋"/>
                <w:b w:val="0"/>
                <w:bCs w:val="0"/>
                <w:color w:val="auto"/>
                <w:sz w:val="18"/>
                <w:szCs w:val="18"/>
                <w:highlight w:val="none"/>
              </w:rPr>
              <w:br w:type="textWrapping"/>
            </w:r>
            <w:r>
              <w:rPr>
                <w:rFonts w:hint="eastAsia" w:ascii="仿宋" w:hAnsi="仿宋" w:eastAsia="仿宋" w:cs="仿宋"/>
                <w:b w:val="0"/>
                <w:bCs w:val="0"/>
                <w:color w:val="auto"/>
                <w:sz w:val="18"/>
                <w:szCs w:val="18"/>
                <w:highlight w:val="none"/>
                <w:lang w:val="en-US" w:eastAsia="zh-CN"/>
              </w:rPr>
              <w:t xml:space="preserve">     </w:t>
            </w:r>
            <w:r>
              <w:rPr>
                <w:rFonts w:hint="eastAsia" w:ascii="仿宋" w:hAnsi="仿宋" w:eastAsia="仿宋" w:cs="仿宋"/>
                <w:b w:val="0"/>
                <w:bCs w:val="0"/>
                <w:color w:val="auto"/>
                <w:sz w:val="18"/>
                <w:szCs w:val="18"/>
                <w:highlight w:val="none"/>
              </w:rPr>
              <w:t>第二十七条 规模发卡企业、集团发卡企业和品牌发卡企业应确定一个商业银行账户作为资金存管账户，并与存管银行签订资金存管协议。资金存管协议应规定存管银行对发卡企业资金存管比例进行监督，对超额调用存管资金的指令予以拒绝，并按照备案机关要求提供发卡企业资金存缴情况。</w:t>
            </w:r>
          </w:p>
          <w:p>
            <w:pPr>
              <w:tabs>
                <w:tab w:val="left" w:pos="7937"/>
              </w:tabs>
              <w:spacing w:line="200" w:lineRule="exact"/>
              <w:ind w:firstLine="344" w:firstLineChars="200"/>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第三十一条</w:t>
            </w:r>
            <w:r>
              <w:rPr>
                <w:rFonts w:hint="eastAsia" w:ascii="仿宋" w:hAnsi="仿宋" w:eastAsia="仿宋" w:cs="仿宋"/>
                <w:b w:val="0"/>
                <w:bCs w:val="0"/>
                <w:color w:val="auto"/>
                <w:sz w:val="18"/>
                <w:szCs w:val="18"/>
                <w:highlight w:val="none"/>
                <w:lang w:eastAsia="zh-CN"/>
              </w:rPr>
              <w:t>：</w:t>
            </w:r>
            <w:r>
              <w:rPr>
                <w:rFonts w:hint="eastAsia" w:ascii="仿宋" w:hAnsi="仿宋" w:eastAsia="仿宋" w:cs="仿宋"/>
                <w:b w:val="0"/>
                <w:bCs w:val="0"/>
                <w:color w:val="auto"/>
                <w:sz w:val="18"/>
                <w:szCs w:val="18"/>
                <w:highlight w:val="none"/>
              </w:rPr>
              <w:t>规模发卡企业应于每季度结束后15个工作日内，集团发卡企业和品牌发卡企业应于每季度结束后20个工作日内登录商务部“单用途商业预付卡业务信息系统”，填报上一季度单用途卡业务情况。其他发卡企业应于每年1月31日前填报《发卡企业单用途卡业务报告表》（格式见附件3）。发卡企业填报的信息应当准确、真实、完整，不得故意隐瞒或虚报。</w:t>
            </w:r>
          </w:p>
        </w:tc>
        <w:tc>
          <w:tcPr>
            <w:tcW w:w="2925" w:type="dxa"/>
            <w:vAlign w:val="center"/>
          </w:tcPr>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1、立案责任：发卡企业涉嫌违反资金管理行为的，予以审查，决定是否立案。</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5、决定责任：制作行政处罚决定书，载明行政处罚告知、当事人陈述申辩或者听证情况等内容。</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6、送达责任：行政处罚决定书按法律规定的方式送达当事人。</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 xml:space="preserve">7、执行责任：依照生效的行政处罚决定责令限期改正；逾期仍不改正的，处以1万元以上3万元以下罚款。 </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8、其他法律法规规章文件规定应履行的责任。</w:t>
            </w:r>
          </w:p>
        </w:tc>
        <w:tc>
          <w:tcPr>
            <w:tcW w:w="2515" w:type="dxa"/>
            <w:vAlign w:val="center"/>
          </w:tcPr>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因不履行或不正确履行行政职责，有下列情形的，行政机关及相关工作人员应承担相应责任：</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1、没有法律和事实依据实施行政处罚的；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2、行政处罚显失公正的；</w:t>
            </w:r>
            <w:r>
              <w:rPr>
                <w:rFonts w:hint="eastAsia" w:ascii="仿宋" w:hAnsi="仿宋" w:eastAsia="仿宋" w:cs="仿宋"/>
                <w:b w:val="0"/>
                <w:bCs w:val="0"/>
                <w:color w:val="auto"/>
                <w:sz w:val="18"/>
                <w:szCs w:val="18"/>
                <w:highlight w:val="none"/>
              </w:rPr>
              <w:br w:type="textWrapping"/>
            </w:r>
            <w:r>
              <w:rPr>
                <w:rFonts w:hint="eastAsia" w:ascii="仿宋" w:hAnsi="仿宋" w:eastAsia="仿宋" w:cs="仿宋"/>
                <w:b w:val="0"/>
                <w:bCs w:val="0"/>
                <w:color w:val="auto"/>
                <w:sz w:val="18"/>
                <w:szCs w:val="18"/>
                <w:highlight w:val="none"/>
              </w:rPr>
              <w:t>3、不具备行政执法资格实施行政处罚的；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4、应当依法移送追究刑事责任，而未依法移送有权机关的；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5、擅自改变行政处罚种类、幅度的；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6、违反法定的行政处罚程序的；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7、符合听证条件、行政管理相对人要求听证，应予组织听证而不组织听证的；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8、在行政处罚过程中发生腐败行为的；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9、其他违反法律法规规章文件规定的行为。</w:t>
            </w:r>
          </w:p>
        </w:tc>
        <w:tc>
          <w:tcPr>
            <w:tcW w:w="700" w:type="dxa"/>
            <w:vAlign w:val="center"/>
          </w:tcPr>
          <w:p>
            <w:pPr>
              <w:tabs>
                <w:tab w:val="left" w:pos="7937"/>
              </w:tabs>
              <w:spacing w:line="200" w:lineRule="exact"/>
              <w:jc w:val="left"/>
              <w:rPr>
                <w:rFonts w:hint="eastAsia" w:ascii="仿宋" w:hAnsi="仿宋" w:eastAsia="仿宋" w:cs="仿宋"/>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9" w:hRule="exact"/>
        </w:trPr>
        <w:tc>
          <w:tcPr>
            <w:tcW w:w="752" w:type="dxa"/>
            <w:vAlign w:val="center"/>
          </w:tcPr>
          <w:p>
            <w:pPr>
              <w:autoSpaceDN w:val="0"/>
              <w:spacing w:line="300" w:lineRule="exact"/>
              <w:jc w:val="center"/>
              <w:textAlignment w:val="center"/>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13</w:t>
            </w:r>
          </w:p>
        </w:tc>
        <w:tc>
          <w:tcPr>
            <w:tcW w:w="1213"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行政处罚</w:t>
            </w:r>
          </w:p>
        </w:tc>
        <w:tc>
          <w:tcPr>
            <w:tcW w:w="1472"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对</w:t>
            </w:r>
            <w:r>
              <w:rPr>
                <w:rFonts w:hint="eastAsia" w:ascii="仿宋" w:hAnsi="仿宋" w:eastAsia="仿宋" w:cs="仿宋"/>
                <w:b w:val="0"/>
                <w:bCs w:val="0"/>
                <w:color w:val="auto"/>
                <w:sz w:val="18"/>
                <w:szCs w:val="18"/>
              </w:rPr>
              <w:t>家庭服务机构违规经营行为的</w:t>
            </w:r>
            <w:r>
              <w:rPr>
                <w:rFonts w:hint="eastAsia" w:ascii="仿宋" w:hAnsi="仿宋" w:eastAsia="仿宋" w:cs="仿宋"/>
                <w:b w:val="0"/>
                <w:bCs w:val="0"/>
                <w:color w:val="auto"/>
                <w:sz w:val="18"/>
                <w:szCs w:val="18"/>
                <w:highlight w:val="none"/>
                <w:lang w:val="en-US" w:eastAsia="zh-CN"/>
              </w:rPr>
              <w:t>行政</w:t>
            </w:r>
            <w:r>
              <w:rPr>
                <w:rFonts w:hint="eastAsia" w:ascii="仿宋" w:hAnsi="仿宋" w:eastAsia="仿宋" w:cs="仿宋"/>
                <w:b w:val="0"/>
                <w:bCs w:val="0"/>
                <w:color w:val="auto"/>
                <w:sz w:val="18"/>
                <w:szCs w:val="18"/>
              </w:rPr>
              <w:t>处罚</w:t>
            </w:r>
          </w:p>
        </w:tc>
        <w:tc>
          <w:tcPr>
            <w:tcW w:w="1190" w:type="dxa"/>
            <w:vAlign w:val="center"/>
          </w:tcPr>
          <w:p>
            <w:pPr>
              <w:spacing w:line="20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80" w:type="dxa"/>
            <w:vAlign w:val="center"/>
          </w:tcPr>
          <w:p>
            <w:pPr>
              <w:tabs>
                <w:tab w:val="left" w:pos="7937"/>
              </w:tabs>
              <w:spacing w:line="200" w:lineRule="exact"/>
              <w:jc w:val="left"/>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rPr>
              <w:t>《家庭服务业管理暂行办法》（商务部令2012年第11号）第三十二条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家庭服务机构违反本办法第九条规定，未公开服务项目、收费标准和投诉监督电话的，由商务主管部门责令改正；拒不改正的，可处5000元以下罚款</w:t>
            </w:r>
            <w:r>
              <w:rPr>
                <w:rFonts w:hint="eastAsia" w:ascii="仿宋" w:hAnsi="仿宋" w:eastAsia="仿宋" w:cs="仿宋"/>
                <w:b w:val="0"/>
                <w:bCs w:val="0"/>
                <w:color w:val="auto"/>
                <w:sz w:val="18"/>
                <w:szCs w:val="18"/>
                <w:lang w:eastAsia="zh-CN"/>
              </w:rPr>
              <w:t>。</w:t>
            </w:r>
          </w:p>
          <w:p>
            <w:pPr>
              <w:tabs>
                <w:tab w:val="left" w:pos="7937"/>
              </w:tabs>
              <w:spacing w:line="200" w:lineRule="exact"/>
              <w:ind w:firstLine="344" w:firstLineChars="200"/>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第三十三条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家庭服务机构违反本办法第十条规定，未按要求建立工作档案、跟踪管理制度，对消费者和家庭服务员之间的投诉不予妥善处理的，由商务主管部门责令改正；拒不改正的，可处2万元以下罚款。 </w:t>
            </w:r>
          </w:p>
          <w:p>
            <w:pPr>
              <w:tabs>
                <w:tab w:val="left" w:pos="7937"/>
              </w:tabs>
              <w:spacing w:line="200" w:lineRule="exact"/>
              <w:ind w:firstLine="344" w:firstLineChars="200"/>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第三十四条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家庭服务机构违反本办法第十一条、第二十六条规定，未按要求提供信息的，由商务主管部门责令改正；拒不改正的，可处1万元以下罚款。</w:t>
            </w:r>
          </w:p>
          <w:p>
            <w:pPr>
              <w:tabs>
                <w:tab w:val="left" w:pos="7937"/>
              </w:tabs>
              <w:spacing w:line="200" w:lineRule="exact"/>
              <w:ind w:firstLine="344" w:firstLineChars="200"/>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第三十五条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家庭服务机构有本办法第十二条规定行为的，由商务主管部门或有关主管部门责令改正；拒不改正的，属于商务主管部门职责的，可处3万元以下罚款，属于其他部门职责的，由商务主管部门提请有关主管部门处理。 </w:t>
            </w:r>
          </w:p>
          <w:p>
            <w:pPr>
              <w:tabs>
                <w:tab w:val="left" w:pos="7937"/>
              </w:tabs>
              <w:spacing w:line="200" w:lineRule="exact"/>
              <w:ind w:firstLine="344" w:firstLineChars="200"/>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第三十六条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 家庭服务机构违反本办法第十三条、第十四条、第十五条规定，未按要求订立家庭服务合同的，拒绝家庭服务员获取家庭服务合同的，由商务主管部门或有关部门责令改正；拒不改正的，可处3万元以下罚款。</w:t>
            </w:r>
          </w:p>
        </w:tc>
        <w:tc>
          <w:tcPr>
            <w:tcW w:w="2925" w:type="dxa"/>
            <w:vAlign w:val="center"/>
          </w:tcPr>
          <w:p>
            <w:pPr>
              <w:tabs>
                <w:tab w:val="left" w:pos="7937"/>
              </w:tabs>
              <w:spacing w:line="200" w:lineRule="exact"/>
              <w:jc w:val="left"/>
              <w:rPr>
                <w:rFonts w:hint="eastAsia" w:ascii="仿宋" w:hAnsi="仿宋" w:eastAsia="仿宋" w:cs="仿宋"/>
                <w:b w:val="0"/>
                <w:bCs w:val="0"/>
                <w:color w:val="auto"/>
                <w:sz w:val="15"/>
                <w:szCs w:val="15"/>
              </w:rPr>
            </w:pPr>
            <w:r>
              <w:rPr>
                <w:rFonts w:hint="eastAsia" w:ascii="仿宋" w:hAnsi="仿宋" w:eastAsia="仿宋" w:cs="仿宋"/>
                <w:b w:val="0"/>
                <w:bCs w:val="0"/>
                <w:color w:val="auto"/>
                <w:sz w:val="15"/>
                <w:szCs w:val="15"/>
              </w:rPr>
              <w:t>1、立案责任：家庭服务机构涉嫌违规经营行为的，予以审查，决定是否立案。</w:t>
            </w:r>
          </w:p>
          <w:p>
            <w:pPr>
              <w:tabs>
                <w:tab w:val="left" w:pos="7937"/>
              </w:tabs>
              <w:spacing w:line="200" w:lineRule="exact"/>
              <w:jc w:val="left"/>
              <w:rPr>
                <w:rFonts w:hint="eastAsia" w:ascii="仿宋" w:hAnsi="仿宋" w:eastAsia="仿宋" w:cs="仿宋"/>
                <w:b w:val="0"/>
                <w:bCs w:val="0"/>
                <w:color w:val="auto"/>
                <w:sz w:val="15"/>
                <w:szCs w:val="15"/>
              </w:rPr>
            </w:pPr>
            <w:r>
              <w:rPr>
                <w:rFonts w:hint="eastAsia" w:ascii="仿宋" w:hAnsi="仿宋" w:eastAsia="仿宋" w:cs="仿宋"/>
                <w:b w:val="0"/>
                <w:bCs w:val="0"/>
                <w:color w:val="auto"/>
                <w:sz w:val="15"/>
                <w:szCs w:val="15"/>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hint="eastAsia" w:ascii="仿宋" w:hAnsi="仿宋" w:eastAsia="仿宋" w:cs="仿宋"/>
                <w:b w:val="0"/>
                <w:bCs w:val="0"/>
                <w:color w:val="auto"/>
                <w:sz w:val="15"/>
                <w:szCs w:val="15"/>
              </w:rPr>
            </w:pPr>
            <w:r>
              <w:rPr>
                <w:rFonts w:hint="eastAsia" w:ascii="仿宋" w:hAnsi="仿宋" w:eastAsia="仿宋" w:cs="仿宋"/>
                <w:b w:val="0"/>
                <w:bCs w:val="0"/>
                <w:color w:val="auto"/>
                <w:sz w:val="15"/>
                <w:szCs w:val="15"/>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hint="eastAsia" w:ascii="仿宋" w:hAnsi="仿宋" w:eastAsia="仿宋" w:cs="仿宋"/>
                <w:b w:val="0"/>
                <w:bCs w:val="0"/>
                <w:color w:val="auto"/>
                <w:sz w:val="15"/>
                <w:szCs w:val="15"/>
              </w:rPr>
            </w:pPr>
            <w:r>
              <w:rPr>
                <w:rFonts w:hint="eastAsia" w:ascii="仿宋" w:hAnsi="仿宋" w:eastAsia="仿宋" w:cs="仿宋"/>
                <w:b w:val="0"/>
                <w:bCs w:val="0"/>
                <w:color w:val="auto"/>
                <w:sz w:val="15"/>
                <w:szCs w:val="15"/>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hint="eastAsia" w:ascii="仿宋" w:hAnsi="仿宋" w:eastAsia="仿宋" w:cs="仿宋"/>
                <w:b w:val="0"/>
                <w:bCs w:val="0"/>
                <w:color w:val="auto"/>
                <w:sz w:val="15"/>
                <w:szCs w:val="15"/>
              </w:rPr>
            </w:pPr>
            <w:r>
              <w:rPr>
                <w:rFonts w:hint="eastAsia" w:ascii="仿宋" w:hAnsi="仿宋" w:eastAsia="仿宋" w:cs="仿宋"/>
                <w:b w:val="0"/>
                <w:bCs w:val="0"/>
                <w:color w:val="auto"/>
                <w:sz w:val="15"/>
                <w:szCs w:val="15"/>
              </w:rPr>
              <w:t>5、决定责任：制作行政处罚决定书，载明行政处罚告知、当事人陈述申辩或者听证情况等内容。</w:t>
            </w:r>
          </w:p>
          <w:p>
            <w:pPr>
              <w:tabs>
                <w:tab w:val="left" w:pos="7937"/>
              </w:tabs>
              <w:spacing w:line="200" w:lineRule="exact"/>
              <w:jc w:val="left"/>
              <w:rPr>
                <w:rFonts w:hint="eastAsia" w:ascii="仿宋" w:hAnsi="仿宋" w:eastAsia="仿宋" w:cs="仿宋"/>
                <w:b w:val="0"/>
                <w:bCs w:val="0"/>
                <w:color w:val="auto"/>
                <w:sz w:val="15"/>
                <w:szCs w:val="15"/>
              </w:rPr>
            </w:pPr>
            <w:r>
              <w:rPr>
                <w:rFonts w:hint="eastAsia" w:ascii="仿宋" w:hAnsi="仿宋" w:eastAsia="仿宋" w:cs="仿宋"/>
                <w:b w:val="0"/>
                <w:bCs w:val="0"/>
                <w:color w:val="auto"/>
                <w:sz w:val="15"/>
                <w:szCs w:val="15"/>
              </w:rPr>
              <w:t>6、送达责任：行政处罚决定书按法律规定的方式送达当事人。</w:t>
            </w:r>
          </w:p>
          <w:p>
            <w:pPr>
              <w:tabs>
                <w:tab w:val="left" w:pos="7937"/>
              </w:tabs>
              <w:spacing w:line="200" w:lineRule="exact"/>
              <w:jc w:val="left"/>
              <w:rPr>
                <w:rFonts w:hint="eastAsia" w:ascii="仿宋" w:hAnsi="仿宋" w:eastAsia="仿宋" w:cs="仿宋"/>
                <w:b w:val="0"/>
                <w:bCs w:val="0"/>
                <w:color w:val="auto"/>
                <w:sz w:val="15"/>
                <w:szCs w:val="15"/>
              </w:rPr>
            </w:pPr>
            <w:r>
              <w:rPr>
                <w:rFonts w:hint="eastAsia" w:ascii="仿宋" w:hAnsi="仿宋" w:eastAsia="仿宋" w:cs="仿宋"/>
                <w:b w:val="0"/>
                <w:bCs w:val="0"/>
                <w:color w:val="auto"/>
                <w:sz w:val="15"/>
                <w:szCs w:val="15"/>
              </w:rPr>
              <w:t>7、执行责任：第三十二条 家庭服务机构违反本办法第九条规定，未公开服务项目、收费标准和投诉监督电话的，由商务主管部门责令改正；拒不改正的，可处5000元以下罚款。第三十三条 家庭服务机构违反本办法第十条规定，未按要求建立工作档案、跟踪管理制度，对消费者和家庭服务员之间的投诉不予妥善处理的，由商务主管部门责令改正；拒不改正的，可处2万元以下罚款。第三十四条 家庭服务机构违反本办法第十一条、第二十六条规定，未按要求提供信息的，由商务主管部门责令改正；拒不改正的，可处1万元以下罚款。</w:t>
            </w:r>
          </w:p>
          <w:p>
            <w:pPr>
              <w:tabs>
                <w:tab w:val="left" w:pos="7937"/>
              </w:tabs>
              <w:spacing w:line="200" w:lineRule="exact"/>
              <w:jc w:val="left"/>
              <w:rPr>
                <w:rFonts w:hint="eastAsia" w:ascii="仿宋" w:hAnsi="仿宋" w:eastAsia="仿宋" w:cs="仿宋"/>
                <w:b w:val="0"/>
                <w:bCs w:val="0"/>
                <w:color w:val="auto"/>
                <w:sz w:val="15"/>
                <w:szCs w:val="15"/>
              </w:rPr>
            </w:pPr>
            <w:r>
              <w:rPr>
                <w:rFonts w:hint="eastAsia" w:ascii="仿宋" w:hAnsi="仿宋" w:eastAsia="仿宋" w:cs="仿宋"/>
                <w:b w:val="0"/>
                <w:bCs w:val="0"/>
                <w:color w:val="auto"/>
                <w:sz w:val="15"/>
                <w:szCs w:val="15"/>
              </w:rPr>
              <w:t>　　第三十五条 家庭服务机构有本办法第十二条规定行为的，由商务主管部门或有关主管部门责令改正；拒不改正的，属于商务主管部门职责的，可处3万元以下罚款，属于其他部门职责的，由商务主管部门提请有关主管部门处理。  </w:t>
            </w:r>
          </w:p>
          <w:p>
            <w:pPr>
              <w:tabs>
                <w:tab w:val="left" w:pos="7937"/>
              </w:tabs>
              <w:spacing w:line="200" w:lineRule="exact"/>
              <w:jc w:val="left"/>
              <w:rPr>
                <w:rFonts w:hint="eastAsia" w:ascii="仿宋" w:hAnsi="仿宋" w:eastAsia="仿宋" w:cs="仿宋"/>
                <w:b w:val="0"/>
                <w:bCs w:val="0"/>
                <w:color w:val="auto"/>
                <w:sz w:val="15"/>
                <w:szCs w:val="15"/>
              </w:rPr>
            </w:pPr>
            <w:r>
              <w:rPr>
                <w:rFonts w:hint="eastAsia" w:ascii="仿宋" w:hAnsi="仿宋" w:eastAsia="仿宋" w:cs="仿宋"/>
                <w:b w:val="0"/>
                <w:bCs w:val="0"/>
                <w:color w:val="auto"/>
                <w:sz w:val="15"/>
                <w:szCs w:val="15"/>
              </w:rPr>
              <w:t xml:space="preserve">　　第三十六条 家庭服务机构违反本办法第十三条、第十四条、第十五条规定，未按要求订立家庭服务合同的，拒绝家庭服务员获取家庭服务合同的，由商务主管部门或有关部门责令改正；拒不改正的，可处3万元以下罚款。   </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5"/>
                <w:szCs w:val="15"/>
              </w:rPr>
              <w:t>8、其他法律法规规章文件规定应履行的责任。</w:t>
            </w:r>
          </w:p>
        </w:tc>
        <w:tc>
          <w:tcPr>
            <w:tcW w:w="251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1、没有法律和事实依据实施行政处罚的；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2、行政处罚显失公正的；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3、商务主管部门在家庭服务业监督管理工作中，玩忽职守、滥用职权、徇私舞弊的，依法给予行政处分；构成犯罪的，依法追究刑事责任。</w:t>
            </w:r>
            <w:r>
              <w:rPr>
                <w:rFonts w:hint="eastAsia" w:ascii="仿宋" w:hAnsi="仿宋" w:eastAsia="仿宋" w:cs="仿宋"/>
                <w:b w:val="0"/>
                <w:bCs w:val="0"/>
                <w:color w:val="auto"/>
                <w:sz w:val="18"/>
                <w:szCs w:val="18"/>
              </w:rPr>
              <w:br w:type="textWrapping"/>
            </w:r>
            <w:r>
              <w:rPr>
                <w:rFonts w:hint="eastAsia" w:ascii="仿宋" w:hAnsi="仿宋" w:eastAsia="仿宋" w:cs="仿宋"/>
                <w:b w:val="0"/>
                <w:bCs w:val="0"/>
                <w:color w:val="auto"/>
                <w:sz w:val="18"/>
                <w:szCs w:val="18"/>
              </w:rPr>
              <w:t>4、不具备行政执法资格实施行政处罚的；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5、应当依法移送追究刑事责任，而未依法移送有权机关的；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6、擅自改变行政处罚种类、幅度的；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7、违反法定的行政处罚程序的；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8、符合听证条件、行政管理相对人要求听证，应予组织听证而不组织听证的；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9、在行政处罚过程中发生腐败行为的；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10、其他违反法律法规规章文件规定的行为。</w:t>
            </w:r>
          </w:p>
        </w:tc>
        <w:tc>
          <w:tcPr>
            <w:tcW w:w="700" w:type="dxa"/>
            <w:vAlign w:val="center"/>
          </w:tcPr>
          <w:p>
            <w:pPr>
              <w:tabs>
                <w:tab w:val="left" w:pos="7937"/>
              </w:tabs>
              <w:spacing w:line="200" w:lineRule="exact"/>
              <w:jc w:val="left"/>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3" w:hRule="exact"/>
        </w:trPr>
        <w:tc>
          <w:tcPr>
            <w:tcW w:w="752" w:type="dxa"/>
            <w:vAlign w:val="center"/>
          </w:tcPr>
          <w:p>
            <w:pPr>
              <w:autoSpaceDN w:val="0"/>
              <w:spacing w:line="300" w:lineRule="exact"/>
              <w:jc w:val="center"/>
              <w:textAlignment w:val="center"/>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14</w:t>
            </w:r>
          </w:p>
        </w:tc>
        <w:tc>
          <w:tcPr>
            <w:tcW w:w="1213"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行政处罚</w:t>
            </w:r>
          </w:p>
        </w:tc>
        <w:tc>
          <w:tcPr>
            <w:tcW w:w="1472"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对家电维修经营者和从业人员违反应恪守职业道德行为的行政处罚</w:t>
            </w:r>
          </w:p>
        </w:tc>
        <w:tc>
          <w:tcPr>
            <w:tcW w:w="1190" w:type="dxa"/>
            <w:vAlign w:val="center"/>
          </w:tcPr>
          <w:p>
            <w:pPr>
              <w:spacing w:line="20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80" w:type="dxa"/>
            <w:vAlign w:val="center"/>
          </w:tcPr>
          <w:p>
            <w:pPr>
              <w:tabs>
                <w:tab w:val="left" w:pos="7937"/>
              </w:tabs>
              <w:spacing w:line="200" w:lineRule="exact"/>
              <w:jc w:val="left"/>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rPr>
              <w:t>《家电维修服务业管理办法》（商务部令2012年第7号 2012年8月1日起施行）第十四条：违反本办法第九条规定，情节严重的，可处三万元以下罚款</w:t>
            </w:r>
            <w:r>
              <w:rPr>
                <w:rFonts w:hint="eastAsia" w:ascii="仿宋" w:hAnsi="仿宋" w:eastAsia="仿宋" w:cs="仿宋"/>
                <w:b w:val="0"/>
                <w:bCs w:val="0"/>
                <w:color w:val="auto"/>
                <w:sz w:val="18"/>
                <w:szCs w:val="18"/>
                <w:lang w:eastAsia="zh-CN"/>
              </w:rPr>
              <w:t>。</w:t>
            </w:r>
          </w:p>
          <w:p>
            <w:pPr>
              <w:tabs>
                <w:tab w:val="left" w:pos="7937"/>
              </w:tabs>
              <w:spacing w:line="200" w:lineRule="exact"/>
              <w:ind w:firstLine="344" w:firstLineChars="200"/>
              <w:jc w:val="left"/>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rPr>
              <w:t>第九条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家电维修经营者和从业人员应恪守职业道德，不得有下列行为：（一）虚列、夸大、伪造维修服务项目或内容；（二）隐瞒、掩饰因维修服务导致用户产品损毁的事实；（三）虚报故障部件，故意替换性能正常的部件；（四）冒用家电生产者商标或特约维修标识。</w:t>
            </w:r>
          </w:p>
          <w:p>
            <w:pPr>
              <w:tabs>
                <w:tab w:val="left" w:pos="7937"/>
              </w:tabs>
              <w:spacing w:line="200" w:lineRule="exact"/>
              <w:jc w:val="left"/>
              <w:rPr>
                <w:rFonts w:hint="eastAsia" w:ascii="仿宋" w:hAnsi="仿宋" w:eastAsia="仿宋" w:cs="仿宋"/>
                <w:b w:val="0"/>
                <w:bCs w:val="0"/>
                <w:color w:val="auto"/>
                <w:sz w:val="18"/>
                <w:szCs w:val="18"/>
              </w:rPr>
            </w:pPr>
          </w:p>
        </w:tc>
        <w:tc>
          <w:tcPr>
            <w:tcW w:w="292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1、立案责任：家电维修经营者涉嫌违反本办法第九条规定的，予以审查，决定是否立案。</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7、执行责任：依照生效的行政处罚决定情节严重的，可处三万元以下罚款 </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8、其他法律法规规章文件规定应履行的责任。</w:t>
            </w:r>
          </w:p>
        </w:tc>
        <w:tc>
          <w:tcPr>
            <w:tcW w:w="251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1、没有法律和事实依据实施行政处罚的；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2、行政处罚显失公正的；</w:t>
            </w:r>
            <w:r>
              <w:rPr>
                <w:rFonts w:hint="eastAsia" w:ascii="仿宋" w:hAnsi="仿宋" w:eastAsia="仿宋" w:cs="仿宋"/>
                <w:b w:val="0"/>
                <w:bCs w:val="0"/>
                <w:color w:val="auto"/>
                <w:sz w:val="18"/>
                <w:szCs w:val="18"/>
              </w:rPr>
              <w:br w:type="textWrapping"/>
            </w:r>
            <w:r>
              <w:rPr>
                <w:rFonts w:hint="eastAsia" w:ascii="仿宋" w:hAnsi="仿宋" w:eastAsia="仿宋" w:cs="仿宋"/>
                <w:b w:val="0"/>
                <w:bCs w:val="0"/>
                <w:color w:val="auto"/>
                <w:sz w:val="18"/>
                <w:szCs w:val="18"/>
              </w:rPr>
              <w:t>3、不具备行政执法资格实施行政处罚的；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4、应当依法移送追究刑事责任，而未依法移送有权机关的；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5、擅自改变行政处罚种类、幅度的；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6、违反法定的行政处罚程序的；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7、符合听证条件、行政管理相对人要求听证，应予组织听证而不组织听证的；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8、在行政处罚过程中发生腐败行为的；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9、其他违反法律法规规章文件规定的行为。</w:t>
            </w:r>
          </w:p>
        </w:tc>
        <w:tc>
          <w:tcPr>
            <w:tcW w:w="700" w:type="dxa"/>
            <w:vAlign w:val="center"/>
          </w:tcPr>
          <w:p>
            <w:pPr>
              <w:tabs>
                <w:tab w:val="left" w:pos="7937"/>
              </w:tabs>
              <w:spacing w:line="200" w:lineRule="exact"/>
              <w:jc w:val="left"/>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0" w:hRule="exact"/>
        </w:trPr>
        <w:tc>
          <w:tcPr>
            <w:tcW w:w="752" w:type="dxa"/>
            <w:vAlign w:val="center"/>
          </w:tcPr>
          <w:p>
            <w:pPr>
              <w:autoSpaceDN w:val="0"/>
              <w:spacing w:line="300" w:lineRule="exact"/>
              <w:jc w:val="center"/>
              <w:textAlignment w:val="center"/>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15</w:t>
            </w:r>
          </w:p>
        </w:tc>
        <w:tc>
          <w:tcPr>
            <w:tcW w:w="1213"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行政处罚</w:t>
            </w:r>
          </w:p>
        </w:tc>
        <w:tc>
          <w:tcPr>
            <w:tcW w:w="1472"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对市场经营者未履行规定职责行为的行政处罚</w:t>
            </w:r>
          </w:p>
        </w:tc>
        <w:tc>
          <w:tcPr>
            <w:tcW w:w="1190" w:type="dxa"/>
            <w:vAlign w:val="center"/>
          </w:tcPr>
          <w:p>
            <w:pPr>
              <w:spacing w:line="20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8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《商品现货市场交易特别规定</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lang w:val="en-US" w:eastAsia="zh-CN"/>
              </w:rPr>
              <w:t>试行</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》第二十三条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市场经营者违反第十一条、第十二条、第十三条、第十四条、第十七条、第十八条、第十九条、第二十一条规定，由县级以上商务主管部门会同有关部门责令改正。逾期不改的，处一万元以上三万元以下罚款。</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Chars="0" w:right="0" w:rightChars="0" w:firstLine="344" w:firstLineChars="200"/>
              <w:textAlignment w:val="auto"/>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i w:val="0"/>
                <w:iCs w:val="0"/>
                <w:caps w:val="0"/>
                <w:color w:val="auto"/>
                <w:spacing w:val="0"/>
                <w:sz w:val="18"/>
                <w:szCs w:val="18"/>
                <w:lang w:val="en-US" w:eastAsia="zh-CN"/>
              </w:rPr>
              <w:t>第十一条：</w:t>
            </w:r>
            <w:r>
              <w:rPr>
                <w:rFonts w:hint="eastAsia" w:ascii="仿宋" w:hAnsi="仿宋" w:eastAsia="仿宋" w:cs="仿宋"/>
                <w:b w:val="0"/>
                <w:bCs w:val="0"/>
                <w:i w:val="0"/>
                <w:iCs w:val="0"/>
                <w:caps w:val="0"/>
                <w:color w:val="auto"/>
                <w:spacing w:val="0"/>
                <w:sz w:val="18"/>
                <w:szCs w:val="18"/>
              </w:rPr>
              <w:t>市场经营者应当履行下列职责：（一）提供交易的场所、设施及相关服务；（二）按照本规定确定的交易方式和交易对象，建立健全交易、交收、结算、仓储、信息发布、风险控制、市场管理等业务规则与各项规章制度；（三）法律法规规定的其他职责。</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Chars="0" w:right="0" w:rightChars="0" w:firstLine="344" w:firstLineChars="200"/>
              <w:textAlignment w:val="auto"/>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color w:val="auto"/>
                <w:sz w:val="18"/>
                <w:szCs w:val="18"/>
              </w:rPr>
              <w:t>第十二</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i w:val="0"/>
                <w:iCs w:val="0"/>
                <w:caps w:val="0"/>
                <w:color w:val="auto"/>
                <w:spacing w:val="0"/>
                <w:sz w:val="18"/>
                <w:szCs w:val="18"/>
              </w:rPr>
              <w:t>市场经营者应当公开业务规则和规章制度。制定、修改和变更业务规则和规章制度，应当在合理时间内提前公示。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Chars="0" w:right="0" w:rightChars="0"/>
              <w:textAlignment w:val="auto"/>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color w:val="auto"/>
                <w:sz w:val="18"/>
                <w:szCs w:val="18"/>
              </w:rPr>
              <w:t>第十三条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i w:val="0"/>
                <w:iCs w:val="0"/>
                <w:caps w:val="0"/>
                <w:color w:val="auto"/>
                <w:spacing w:val="0"/>
                <w:sz w:val="18"/>
                <w:szCs w:val="18"/>
              </w:rPr>
              <w:t>商品现货市场应当制定应急预案。出现异常情况时，应当及时采取有效措施，防止出现市场风险。</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Chars="0" w:right="0" w:rightChars="0" w:firstLine="344" w:firstLineChars="200"/>
              <w:textAlignment w:val="auto"/>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color w:val="auto"/>
                <w:sz w:val="18"/>
                <w:szCs w:val="18"/>
              </w:rPr>
              <w:t>第十四条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i w:val="0"/>
                <w:iCs w:val="0"/>
                <w:caps w:val="0"/>
                <w:color w:val="auto"/>
                <w:spacing w:val="0"/>
                <w:sz w:val="18"/>
                <w:szCs w:val="18"/>
              </w:rPr>
              <w:t>市场经营者应当采取合同约束、系统控制、强化内部管理等措施，加强资金管理力度。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Chars="0" w:right="0" w:rightChars="0" w:firstLine="344" w:firstLineChars="200"/>
              <w:textAlignment w:val="auto"/>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color w:val="auto"/>
                <w:sz w:val="18"/>
                <w:szCs w:val="18"/>
              </w:rPr>
              <w:t>第十七条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i w:val="0"/>
                <w:iCs w:val="0"/>
                <w:caps w:val="0"/>
                <w:color w:val="auto"/>
                <w:spacing w:val="0"/>
                <w:sz w:val="18"/>
                <w:szCs w:val="18"/>
              </w:rPr>
              <w:t>市场经营者应当建立完善商品信息发布制度，公布交易商品的名称、数量、质量、规格、产地等相关信息，保证信息的真实、准确，不得发布虚假信息。</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Chars="0" w:right="0" w:rightChars="0" w:firstLine="344" w:firstLineChars="200"/>
              <w:textAlignment w:val="auto"/>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color w:val="auto"/>
                <w:sz w:val="18"/>
                <w:szCs w:val="18"/>
              </w:rPr>
              <w:t>第十八条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i w:val="0"/>
                <w:iCs w:val="0"/>
                <w:caps w:val="0"/>
                <w:color w:val="auto"/>
                <w:spacing w:val="0"/>
                <w:sz w:val="18"/>
                <w:szCs w:val="18"/>
              </w:rPr>
              <w:t>采用现代信息化技术开展交易活动的，市场经营者应当实时记录商品仓储、交易、交收、结算、支付等相关信息，采取措施保证相关信息的完整和安全，并保存五年以上。</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right="0" w:rightChars="0" w:firstLine="344" w:firstLineChars="200"/>
              <w:textAlignment w:val="auto"/>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i w:val="0"/>
                <w:iCs w:val="0"/>
                <w:caps w:val="0"/>
                <w:color w:val="auto"/>
                <w:spacing w:val="0"/>
                <w:sz w:val="18"/>
                <w:szCs w:val="18"/>
                <w:lang w:val="en-US" w:eastAsia="zh-CN"/>
              </w:rPr>
              <w:t>第十九条：</w:t>
            </w:r>
            <w:r>
              <w:rPr>
                <w:rFonts w:hint="eastAsia" w:ascii="仿宋" w:hAnsi="仿宋" w:eastAsia="仿宋" w:cs="仿宋"/>
                <w:b w:val="0"/>
                <w:bCs w:val="0"/>
                <w:i w:val="0"/>
                <w:iCs w:val="0"/>
                <w:caps w:val="0"/>
                <w:color w:val="auto"/>
                <w:spacing w:val="0"/>
                <w:sz w:val="18"/>
                <w:szCs w:val="18"/>
              </w:rPr>
              <w:t>市场经营者不得擅自篡改、销毁相关信息和资料。</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right="0" w:rightChars="0" w:firstLine="344" w:firstLineChars="200"/>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第二十一条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i w:val="0"/>
                <w:iCs w:val="0"/>
                <w:caps w:val="0"/>
                <w:color w:val="auto"/>
                <w:spacing w:val="0"/>
                <w:sz w:val="18"/>
                <w:szCs w:val="18"/>
              </w:rPr>
              <w:t>市场经营者应当根据相关部门的要求报送有关经营信息与资料</w:t>
            </w:r>
            <w:r>
              <w:rPr>
                <w:rFonts w:hint="eastAsia" w:ascii="仿宋" w:hAnsi="仿宋" w:eastAsia="仿宋" w:cs="仿宋"/>
                <w:b w:val="0"/>
                <w:bCs w:val="0"/>
                <w:i w:val="0"/>
                <w:iCs w:val="0"/>
                <w:caps w:val="0"/>
                <w:color w:val="auto"/>
                <w:spacing w:val="0"/>
                <w:sz w:val="18"/>
                <w:szCs w:val="18"/>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仿宋" w:hAnsi="仿宋" w:eastAsia="仿宋" w:cs="仿宋"/>
                <w:b w:val="0"/>
                <w:bCs w:val="0"/>
                <w:color w:val="auto"/>
                <w:sz w:val="18"/>
                <w:szCs w:val="18"/>
              </w:rPr>
            </w:pPr>
          </w:p>
        </w:tc>
        <w:tc>
          <w:tcPr>
            <w:tcW w:w="292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1、立案责任：市场经营者涉嫌违反第十一条、第十二条、第十三条、第十四条、第十七条、第十八条、第十九条、第二十一条规定的，予以审查，决定是否立案。</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7、执行责任：依照生效的行政处罚决定责令改正。逾期不改的，处一万元以上三万元以下罚款。</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8、其他法律法规规章文件规定应履行的责任。</w:t>
            </w:r>
          </w:p>
        </w:tc>
        <w:tc>
          <w:tcPr>
            <w:tcW w:w="251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1、没有法律和事实依据实施行政处罚的；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2、行政处罚显失公正的；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3、商务主管部门在家庭服务业监督管理工作中，玩忽职守、滥用职权、徇私舞弊的，依法给予行政处分；构成犯罪的，依法追究刑事责任。</w:t>
            </w:r>
            <w:r>
              <w:rPr>
                <w:rFonts w:hint="eastAsia" w:ascii="仿宋" w:hAnsi="仿宋" w:eastAsia="仿宋" w:cs="仿宋"/>
                <w:b w:val="0"/>
                <w:bCs w:val="0"/>
                <w:color w:val="auto"/>
                <w:sz w:val="18"/>
                <w:szCs w:val="18"/>
              </w:rPr>
              <w:br w:type="textWrapping"/>
            </w:r>
            <w:r>
              <w:rPr>
                <w:rFonts w:hint="eastAsia" w:ascii="仿宋" w:hAnsi="仿宋" w:eastAsia="仿宋" w:cs="仿宋"/>
                <w:b w:val="0"/>
                <w:bCs w:val="0"/>
                <w:color w:val="auto"/>
                <w:sz w:val="18"/>
                <w:szCs w:val="18"/>
              </w:rPr>
              <w:t>4、不具备行政执法资格实施行政处罚的；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5、应当依法移送追究刑事责任，而未依法移送有权机关的；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6、擅自改变行政处罚种类、幅度的；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7、违反法定的行政处罚程序的；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8、符合听证条件、行政管理相对人要求听证，应予组织听证而不组织听证的；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9、在行政处罚过程中发生腐败行为的；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10、其他违反法律法规规章文件规定的行为。</w:t>
            </w:r>
          </w:p>
        </w:tc>
        <w:tc>
          <w:tcPr>
            <w:tcW w:w="700" w:type="dxa"/>
            <w:vAlign w:val="center"/>
          </w:tcPr>
          <w:p>
            <w:pPr>
              <w:tabs>
                <w:tab w:val="left" w:pos="7937"/>
              </w:tabs>
              <w:spacing w:line="200" w:lineRule="exact"/>
              <w:jc w:val="left"/>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0" w:hRule="exact"/>
        </w:trPr>
        <w:tc>
          <w:tcPr>
            <w:tcW w:w="752" w:type="dxa"/>
            <w:vAlign w:val="center"/>
          </w:tcPr>
          <w:p>
            <w:pPr>
              <w:autoSpaceDN w:val="0"/>
              <w:spacing w:line="300" w:lineRule="exact"/>
              <w:jc w:val="center"/>
              <w:textAlignment w:val="center"/>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16</w:t>
            </w:r>
          </w:p>
        </w:tc>
        <w:tc>
          <w:tcPr>
            <w:tcW w:w="1213"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行政处罚</w:t>
            </w:r>
          </w:p>
        </w:tc>
        <w:tc>
          <w:tcPr>
            <w:tcW w:w="1472"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对于餐饮经营者违反《餐饮业经营管理办法</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lang w:val="en-US" w:eastAsia="zh-CN"/>
              </w:rPr>
              <w:t>试行</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w:t>
            </w:r>
            <w:r>
              <w:rPr>
                <w:rFonts w:hint="eastAsia" w:ascii="仿宋" w:hAnsi="仿宋" w:eastAsia="仿宋" w:cs="仿宋"/>
                <w:b w:val="0"/>
                <w:bCs w:val="0"/>
                <w:color w:val="auto"/>
                <w:sz w:val="18"/>
                <w:szCs w:val="18"/>
                <w:lang w:val="en-US" w:eastAsia="zh-CN"/>
              </w:rPr>
              <w:t>行为</w:t>
            </w:r>
            <w:r>
              <w:rPr>
                <w:rFonts w:hint="eastAsia" w:ascii="仿宋" w:hAnsi="仿宋" w:eastAsia="仿宋" w:cs="仿宋"/>
                <w:b w:val="0"/>
                <w:bCs w:val="0"/>
                <w:color w:val="auto"/>
                <w:sz w:val="18"/>
                <w:szCs w:val="18"/>
              </w:rPr>
              <w:t>的</w:t>
            </w:r>
            <w:r>
              <w:rPr>
                <w:rFonts w:hint="eastAsia" w:ascii="仿宋" w:hAnsi="仿宋" w:eastAsia="仿宋" w:cs="仿宋"/>
                <w:b w:val="0"/>
                <w:bCs w:val="0"/>
                <w:color w:val="auto"/>
                <w:sz w:val="18"/>
                <w:szCs w:val="18"/>
                <w:lang w:val="en-US" w:eastAsia="zh-CN"/>
              </w:rPr>
              <w:t>行政</w:t>
            </w:r>
            <w:r>
              <w:rPr>
                <w:rFonts w:hint="eastAsia" w:ascii="仿宋" w:hAnsi="仿宋" w:eastAsia="仿宋" w:cs="仿宋"/>
                <w:b w:val="0"/>
                <w:bCs w:val="0"/>
                <w:color w:val="auto"/>
                <w:sz w:val="18"/>
                <w:szCs w:val="18"/>
              </w:rPr>
              <w:t>处罚</w:t>
            </w:r>
          </w:p>
        </w:tc>
        <w:tc>
          <w:tcPr>
            <w:tcW w:w="1190" w:type="dxa"/>
            <w:vAlign w:val="center"/>
          </w:tcPr>
          <w:p>
            <w:pPr>
              <w:spacing w:line="20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80"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《餐饮业经营管理办法</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lang w:val="en-US" w:eastAsia="zh-CN"/>
              </w:rPr>
              <w:t>试行</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第二十一条：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r>
              <w:rPr>
                <w:rFonts w:hint="eastAsia" w:ascii="仿宋" w:hAnsi="仿宋" w:eastAsia="仿宋" w:cs="仿宋"/>
                <w:b w:val="0"/>
                <w:bCs w:val="0"/>
                <w:color w:val="auto"/>
                <w:sz w:val="18"/>
                <w:szCs w:val="18"/>
              </w:rPr>
              <w:br w:type="textWrapping"/>
            </w:r>
            <w:r>
              <w:rPr>
                <w:rFonts w:hint="eastAsia" w:ascii="仿宋" w:hAnsi="仿宋" w:eastAsia="仿宋" w:cs="仿宋"/>
                <w:b w:val="0"/>
                <w:bCs w:val="0"/>
                <w:color w:val="auto"/>
                <w:sz w:val="18"/>
                <w:szCs w:val="18"/>
              </w:rPr>
              <w:br w:type="textWrapping"/>
            </w:r>
          </w:p>
        </w:tc>
        <w:tc>
          <w:tcPr>
            <w:tcW w:w="292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1、立案责任：餐饮经营者涉嫌违反餐饮业经营管理规定的，予以审查，决定是否立案。</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7、执行责任：依照生效的行政处罚决定责令限期改正，其中有违法所得的，可处违法所得3倍以下罚款，但最高不超过3万元；没有违法所得的，可处1万元以下罚款；对涉嫌犯罪的，依法移送司法机关处理。</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8、其他法律法规规章文件规定应履行的责任。</w:t>
            </w:r>
          </w:p>
        </w:tc>
        <w:tc>
          <w:tcPr>
            <w:tcW w:w="251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1、没有法律和事实依据实施行政处罚的；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2、行政处罚显失公正的；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3、商务主管部门在家庭服务业监督管理工作中，玩忽职守、滥用职权、徇私舞弊的，依法给予行政处分；构成犯罪的，依法追究刑事责任。</w:t>
            </w:r>
            <w:r>
              <w:rPr>
                <w:rFonts w:hint="eastAsia" w:ascii="仿宋" w:hAnsi="仿宋" w:eastAsia="仿宋" w:cs="仿宋"/>
                <w:b w:val="0"/>
                <w:bCs w:val="0"/>
                <w:color w:val="auto"/>
                <w:sz w:val="18"/>
                <w:szCs w:val="18"/>
              </w:rPr>
              <w:br w:type="textWrapping"/>
            </w:r>
            <w:r>
              <w:rPr>
                <w:rFonts w:hint="eastAsia" w:ascii="仿宋" w:hAnsi="仿宋" w:eastAsia="仿宋" w:cs="仿宋"/>
                <w:b w:val="0"/>
                <w:bCs w:val="0"/>
                <w:color w:val="auto"/>
                <w:sz w:val="18"/>
                <w:szCs w:val="18"/>
              </w:rPr>
              <w:t>4、不具备行政执法资格实施行政处罚的；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5、应当依法移送追究刑事责任，而未依法移送有权机关的；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6、擅自改变行政处罚种类、幅度的；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7、违反法定的行政处罚程序的；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8、符合听证条件、行政管理相对人要求听证，应予组织听证而不组织听证的；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9、在行政处罚过程中发生腐败行为的；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10、其他违反法律法规规章文件规定的行为。</w:t>
            </w:r>
          </w:p>
        </w:tc>
        <w:tc>
          <w:tcPr>
            <w:tcW w:w="700" w:type="dxa"/>
            <w:vAlign w:val="center"/>
          </w:tcPr>
          <w:p>
            <w:pPr>
              <w:tabs>
                <w:tab w:val="left" w:pos="7937"/>
              </w:tabs>
              <w:spacing w:line="200" w:lineRule="exact"/>
              <w:jc w:val="left"/>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1" w:hRule="exact"/>
        </w:trPr>
        <w:tc>
          <w:tcPr>
            <w:tcW w:w="752" w:type="dxa"/>
            <w:vAlign w:val="center"/>
          </w:tcPr>
          <w:p>
            <w:pPr>
              <w:autoSpaceDN w:val="0"/>
              <w:spacing w:line="300" w:lineRule="exact"/>
              <w:jc w:val="center"/>
              <w:textAlignment w:val="center"/>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17</w:t>
            </w:r>
          </w:p>
        </w:tc>
        <w:tc>
          <w:tcPr>
            <w:tcW w:w="1213" w:type="dxa"/>
            <w:vAlign w:val="center"/>
          </w:tcPr>
          <w:p>
            <w:pPr>
              <w:tabs>
                <w:tab w:val="left" w:pos="7937"/>
              </w:tabs>
              <w:spacing w:line="200" w:lineRule="exact"/>
              <w:jc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行政处罚</w:t>
            </w:r>
          </w:p>
        </w:tc>
        <w:tc>
          <w:tcPr>
            <w:tcW w:w="1472" w:type="dxa"/>
            <w:vAlign w:val="center"/>
          </w:tcPr>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对于外商投资企业未按规定设立及变更备案的</w:t>
            </w:r>
            <w:r>
              <w:rPr>
                <w:rFonts w:hint="eastAsia" w:ascii="仿宋" w:hAnsi="仿宋" w:eastAsia="仿宋" w:cs="仿宋"/>
                <w:b w:val="0"/>
                <w:bCs w:val="0"/>
                <w:color w:val="auto"/>
                <w:sz w:val="18"/>
                <w:szCs w:val="18"/>
                <w:lang w:val="en-US" w:eastAsia="zh-CN"/>
              </w:rPr>
              <w:t>行政</w:t>
            </w:r>
            <w:r>
              <w:rPr>
                <w:rFonts w:hint="eastAsia" w:ascii="仿宋" w:hAnsi="仿宋" w:eastAsia="仿宋" w:cs="仿宋"/>
                <w:b w:val="0"/>
                <w:bCs w:val="0"/>
                <w:color w:val="auto"/>
                <w:sz w:val="18"/>
                <w:szCs w:val="18"/>
                <w:highlight w:val="none"/>
              </w:rPr>
              <w:t>处罚</w:t>
            </w:r>
          </w:p>
        </w:tc>
        <w:tc>
          <w:tcPr>
            <w:tcW w:w="1190" w:type="dxa"/>
            <w:vAlign w:val="center"/>
          </w:tcPr>
          <w:p>
            <w:pPr>
              <w:spacing w:line="200" w:lineRule="exact"/>
              <w:jc w:val="center"/>
              <w:rPr>
                <w:rFonts w:hint="eastAsia" w:ascii="仿宋" w:hAnsi="仿宋" w:eastAsia="仿宋" w:cs="仿宋"/>
                <w:b w:val="0"/>
                <w:bCs w:val="0"/>
                <w:color w:val="auto"/>
                <w:sz w:val="18"/>
                <w:szCs w:val="18"/>
                <w:highlight w:val="none"/>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8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right="0"/>
              <w:jc w:val="both"/>
              <w:textAlignment w:val="baseline"/>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《外商投资企业设立及变更备案管理暂行办法》自2018年6月30日起施行</w:t>
            </w:r>
            <w:r>
              <w:rPr>
                <w:rFonts w:hint="eastAsia" w:ascii="仿宋" w:hAnsi="仿宋" w:eastAsia="仿宋" w:cs="仿宋"/>
                <w:b w:val="0"/>
                <w:bCs w:val="0"/>
                <w:color w:val="auto"/>
                <w:sz w:val="18"/>
                <w:szCs w:val="18"/>
                <w:highlight w:val="none"/>
                <w:lang w:eastAsia="zh-CN"/>
              </w:rPr>
              <w:t>，</w:t>
            </w:r>
            <w:r>
              <w:rPr>
                <w:rFonts w:hint="eastAsia" w:ascii="仿宋" w:hAnsi="仿宋" w:eastAsia="仿宋" w:cs="仿宋"/>
                <w:b w:val="0"/>
                <w:bCs w:val="0"/>
                <w:color w:val="auto"/>
                <w:sz w:val="18"/>
                <w:szCs w:val="18"/>
                <w:highlight w:val="none"/>
              </w:rPr>
              <w:t>第</w:t>
            </w:r>
            <w:r>
              <w:rPr>
                <w:rFonts w:hint="eastAsia" w:ascii="仿宋" w:hAnsi="仿宋" w:eastAsia="仿宋" w:cs="仿宋"/>
                <w:b w:val="0"/>
                <w:bCs w:val="0"/>
                <w:color w:val="auto"/>
                <w:sz w:val="18"/>
                <w:szCs w:val="18"/>
                <w:highlight w:val="none"/>
                <w:lang w:val="en-US" w:eastAsia="zh-CN"/>
              </w:rPr>
              <w:t>二十四</w:t>
            </w:r>
            <w:r>
              <w:rPr>
                <w:rFonts w:hint="eastAsia" w:ascii="仿宋" w:hAnsi="仿宋" w:eastAsia="仿宋" w:cs="仿宋"/>
                <w:b w:val="0"/>
                <w:bCs w:val="0"/>
                <w:color w:val="auto"/>
                <w:sz w:val="18"/>
                <w:szCs w:val="18"/>
                <w:highlight w:val="none"/>
              </w:rPr>
              <w:t>条</w:t>
            </w:r>
            <w:r>
              <w:rPr>
                <w:rFonts w:hint="eastAsia" w:ascii="仿宋" w:hAnsi="仿宋" w:eastAsia="仿宋" w:cs="仿宋"/>
                <w:b w:val="0"/>
                <w:bCs w:val="0"/>
                <w:color w:val="auto"/>
                <w:sz w:val="18"/>
                <w:szCs w:val="18"/>
                <w:highlight w:val="none"/>
                <w:lang w:eastAsia="zh-CN"/>
              </w:rPr>
              <w:t>：</w:t>
            </w:r>
            <w:r>
              <w:rPr>
                <w:rFonts w:hint="eastAsia" w:ascii="仿宋" w:hAnsi="仿宋" w:eastAsia="仿宋" w:cs="仿宋"/>
                <w:b w:val="0"/>
                <w:bCs w:val="0"/>
                <w:color w:val="auto"/>
                <w:sz w:val="18"/>
                <w:szCs w:val="18"/>
                <w:highlight w:val="none"/>
              </w:rPr>
              <w:t>外商投资企业或其投资者违反本办法的规定，未能按期履行备案义务，或在进行备案时存在重大遗漏的，商务主管部门应责令限期改正；逾期不改正，或情节严重的，处3万元以下罚款。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right="0" w:firstLine="344" w:firstLineChars="200"/>
              <w:jc w:val="both"/>
              <w:textAlignment w:val="baseline"/>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外商投资企业或其投资者违反本办法的规定，逃避履行备案义务，在进行备案时隐瞒真实情况、提供误导性或虚假信息，或伪造、变造、出租、出借、转让《备案回执》的，商务主管部门应责令限期改正，并处3万元以下罚款。违反其他法律法规的，由有关部门追究相应法律责任。</w:t>
            </w:r>
          </w:p>
          <w:p>
            <w:pPr>
              <w:keepNext w:val="0"/>
              <w:keepLines w:val="0"/>
              <w:pageBreakBefore w:val="0"/>
              <w:tabs>
                <w:tab w:val="left" w:pos="7937"/>
              </w:tabs>
              <w:kinsoku/>
              <w:wordWrap/>
              <w:overflowPunct/>
              <w:topLinePunct w:val="0"/>
              <w:autoSpaceDE/>
              <w:autoSpaceDN/>
              <w:bidi w:val="0"/>
              <w:adjustRightInd/>
              <w:snapToGrid/>
              <w:spacing w:line="200" w:lineRule="exact"/>
              <w:jc w:val="left"/>
              <w:rPr>
                <w:rFonts w:hint="eastAsia" w:ascii="仿宋" w:hAnsi="仿宋" w:eastAsia="仿宋" w:cs="仿宋"/>
                <w:b w:val="0"/>
                <w:bCs w:val="0"/>
                <w:color w:val="auto"/>
                <w:sz w:val="18"/>
                <w:szCs w:val="18"/>
                <w:highlight w:val="none"/>
                <w:lang w:eastAsia="zh-CN"/>
              </w:rPr>
            </w:pPr>
          </w:p>
          <w:p>
            <w:pPr>
              <w:keepNext w:val="0"/>
              <w:keepLines w:val="0"/>
              <w:pageBreakBefore w:val="0"/>
              <w:tabs>
                <w:tab w:val="left" w:pos="7937"/>
              </w:tabs>
              <w:kinsoku/>
              <w:wordWrap/>
              <w:overflowPunct/>
              <w:topLinePunct w:val="0"/>
              <w:autoSpaceDE/>
              <w:autoSpaceDN/>
              <w:bidi w:val="0"/>
              <w:adjustRightInd/>
              <w:snapToGrid/>
              <w:spacing w:line="200" w:lineRule="exact"/>
              <w:jc w:val="left"/>
              <w:rPr>
                <w:rFonts w:hint="eastAsia" w:ascii="仿宋" w:hAnsi="仿宋" w:eastAsia="仿宋" w:cs="仿宋"/>
                <w:b w:val="0"/>
                <w:bCs w:val="0"/>
                <w:color w:val="auto"/>
                <w:sz w:val="18"/>
                <w:szCs w:val="18"/>
                <w:highlight w:val="none"/>
              </w:rPr>
            </w:pPr>
          </w:p>
        </w:tc>
        <w:tc>
          <w:tcPr>
            <w:tcW w:w="2925" w:type="dxa"/>
            <w:vAlign w:val="center"/>
          </w:tcPr>
          <w:p>
            <w:pPr>
              <w:tabs>
                <w:tab w:val="left" w:pos="7937"/>
              </w:tabs>
              <w:spacing w:line="200" w:lineRule="exact"/>
              <w:jc w:val="left"/>
              <w:rPr>
                <w:rFonts w:hint="eastAsia" w:ascii="仿宋" w:hAnsi="仿宋" w:eastAsia="仿宋" w:cs="仿宋"/>
                <w:b w:val="0"/>
                <w:bCs w:val="0"/>
                <w:color w:val="auto"/>
                <w:kern w:val="0"/>
                <w:sz w:val="18"/>
                <w:szCs w:val="18"/>
                <w:highlight w:val="none"/>
                <w:lang w:val="en-US" w:eastAsia="zh-CN" w:bidi="ar"/>
              </w:rPr>
            </w:pPr>
            <w:r>
              <w:rPr>
                <w:rFonts w:hint="eastAsia" w:ascii="仿宋" w:hAnsi="仿宋" w:eastAsia="仿宋" w:cs="仿宋"/>
                <w:b w:val="0"/>
                <w:bCs w:val="0"/>
                <w:color w:val="auto"/>
                <w:kern w:val="0"/>
                <w:sz w:val="18"/>
                <w:szCs w:val="18"/>
                <w:highlight w:val="none"/>
                <w:lang w:val="en-US" w:eastAsia="zh-CN" w:bidi="ar"/>
              </w:rPr>
              <w:t>1、立案责任：外商投资企业涉嫌违反餐饮业经营管理规定的，予以审查，决定是否立案。</w:t>
            </w:r>
          </w:p>
          <w:p>
            <w:pPr>
              <w:tabs>
                <w:tab w:val="left" w:pos="7937"/>
              </w:tabs>
              <w:spacing w:line="200" w:lineRule="exact"/>
              <w:jc w:val="left"/>
              <w:rPr>
                <w:rFonts w:hint="eastAsia" w:ascii="仿宋" w:hAnsi="仿宋" w:eastAsia="仿宋" w:cs="仿宋"/>
                <w:b w:val="0"/>
                <w:bCs w:val="0"/>
                <w:color w:val="auto"/>
                <w:kern w:val="0"/>
                <w:sz w:val="18"/>
                <w:szCs w:val="18"/>
                <w:highlight w:val="none"/>
                <w:lang w:val="en-US" w:eastAsia="zh-CN" w:bidi="ar"/>
              </w:rPr>
            </w:pPr>
            <w:r>
              <w:rPr>
                <w:rFonts w:hint="eastAsia" w:ascii="仿宋" w:hAnsi="仿宋" w:eastAsia="仿宋" w:cs="仿宋"/>
                <w:b w:val="0"/>
                <w:bCs w:val="0"/>
                <w:color w:val="auto"/>
                <w:kern w:val="0"/>
                <w:sz w:val="18"/>
                <w:szCs w:val="18"/>
                <w:highlight w:val="none"/>
                <w:lang w:val="en-US" w:eastAsia="zh-CN" w:bidi="ar"/>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hint="eastAsia" w:ascii="仿宋" w:hAnsi="仿宋" w:eastAsia="仿宋" w:cs="仿宋"/>
                <w:b w:val="0"/>
                <w:bCs w:val="0"/>
                <w:color w:val="auto"/>
                <w:kern w:val="0"/>
                <w:sz w:val="18"/>
                <w:szCs w:val="18"/>
                <w:highlight w:val="none"/>
                <w:lang w:val="en-US" w:eastAsia="zh-CN" w:bidi="ar"/>
              </w:rPr>
            </w:pPr>
            <w:r>
              <w:rPr>
                <w:rFonts w:hint="eastAsia" w:ascii="仿宋" w:hAnsi="仿宋" w:eastAsia="仿宋" w:cs="仿宋"/>
                <w:b w:val="0"/>
                <w:bCs w:val="0"/>
                <w:color w:val="auto"/>
                <w:kern w:val="0"/>
                <w:sz w:val="18"/>
                <w:szCs w:val="18"/>
                <w:highlight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hint="eastAsia" w:ascii="仿宋" w:hAnsi="仿宋" w:eastAsia="仿宋" w:cs="仿宋"/>
                <w:b w:val="0"/>
                <w:bCs w:val="0"/>
                <w:color w:val="auto"/>
                <w:kern w:val="0"/>
                <w:sz w:val="18"/>
                <w:szCs w:val="18"/>
                <w:highlight w:val="none"/>
                <w:lang w:val="en-US" w:eastAsia="zh-CN" w:bidi="ar"/>
              </w:rPr>
            </w:pPr>
            <w:r>
              <w:rPr>
                <w:rFonts w:hint="eastAsia" w:ascii="仿宋" w:hAnsi="仿宋" w:eastAsia="仿宋" w:cs="仿宋"/>
                <w:b w:val="0"/>
                <w:bCs w:val="0"/>
                <w:color w:val="auto"/>
                <w:kern w:val="0"/>
                <w:sz w:val="18"/>
                <w:szCs w:val="18"/>
                <w:highlight w:val="none"/>
                <w:lang w:val="en-US" w:eastAsia="zh-CN" w:bidi="ar"/>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hint="eastAsia" w:ascii="仿宋" w:hAnsi="仿宋" w:eastAsia="仿宋" w:cs="仿宋"/>
                <w:b w:val="0"/>
                <w:bCs w:val="0"/>
                <w:color w:val="auto"/>
                <w:kern w:val="0"/>
                <w:sz w:val="18"/>
                <w:szCs w:val="18"/>
                <w:highlight w:val="none"/>
                <w:lang w:val="en-US" w:eastAsia="zh-CN" w:bidi="ar"/>
              </w:rPr>
            </w:pPr>
            <w:r>
              <w:rPr>
                <w:rFonts w:hint="eastAsia" w:ascii="仿宋" w:hAnsi="仿宋" w:eastAsia="仿宋" w:cs="仿宋"/>
                <w:b w:val="0"/>
                <w:bCs w:val="0"/>
                <w:color w:val="auto"/>
                <w:kern w:val="0"/>
                <w:sz w:val="18"/>
                <w:szCs w:val="18"/>
                <w:highlight w:val="none"/>
                <w:lang w:val="en-US" w:eastAsia="zh-CN" w:bidi="ar"/>
              </w:rPr>
              <w:t>5、决定责任：制作行政处罚决定书，载明行政处罚告知、当事人陈述申辩或者听证情况等内容。</w:t>
            </w:r>
          </w:p>
          <w:p>
            <w:pPr>
              <w:tabs>
                <w:tab w:val="left" w:pos="7937"/>
              </w:tabs>
              <w:spacing w:line="200" w:lineRule="exact"/>
              <w:jc w:val="left"/>
              <w:rPr>
                <w:rFonts w:hint="eastAsia" w:ascii="仿宋" w:hAnsi="仿宋" w:eastAsia="仿宋" w:cs="仿宋"/>
                <w:b w:val="0"/>
                <w:bCs w:val="0"/>
                <w:color w:val="auto"/>
                <w:kern w:val="0"/>
                <w:sz w:val="18"/>
                <w:szCs w:val="18"/>
                <w:highlight w:val="none"/>
                <w:lang w:val="en-US" w:eastAsia="zh-CN" w:bidi="ar"/>
              </w:rPr>
            </w:pPr>
            <w:r>
              <w:rPr>
                <w:rFonts w:hint="eastAsia" w:ascii="仿宋" w:hAnsi="仿宋" w:eastAsia="仿宋" w:cs="仿宋"/>
                <w:b w:val="0"/>
                <w:bCs w:val="0"/>
                <w:color w:val="auto"/>
                <w:kern w:val="0"/>
                <w:sz w:val="18"/>
                <w:szCs w:val="18"/>
                <w:highlight w:val="none"/>
                <w:lang w:val="en-US" w:eastAsia="zh-CN" w:bidi="ar"/>
              </w:rPr>
              <w:t>6、送达责任：行政处罚决定书按法律规定的方式送达当事人。</w:t>
            </w:r>
          </w:p>
          <w:p>
            <w:pPr>
              <w:tabs>
                <w:tab w:val="left" w:pos="7937"/>
              </w:tabs>
              <w:spacing w:line="200" w:lineRule="exact"/>
              <w:jc w:val="left"/>
              <w:rPr>
                <w:rFonts w:hint="eastAsia" w:ascii="仿宋" w:hAnsi="仿宋" w:eastAsia="仿宋" w:cs="仿宋"/>
                <w:b w:val="0"/>
                <w:bCs w:val="0"/>
                <w:color w:val="auto"/>
                <w:kern w:val="0"/>
                <w:sz w:val="18"/>
                <w:szCs w:val="18"/>
                <w:highlight w:val="none"/>
                <w:lang w:val="en-US" w:eastAsia="zh-CN" w:bidi="ar"/>
              </w:rPr>
            </w:pPr>
            <w:r>
              <w:rPr>
                <w:rFonts w:hint="eastAsia" w:ascii="仿宋" w:hAnsi="仿宋" w:eastAsia="仿宋" w:cs="仿宋"/>
                <w:b w:val="0"/>
                <w:bCs w:val="0"/>
                <w:color w:val="auto"/>
                <w:kern w:val="0"/>
                <w:sz w:val="18"/>
                <w:szCs w:val="18"/>
                <w:highlight w:val="none"/>
                <w:lang w:val="en-US" w:eastAsia="zh-CN" w:bidi="ar"/>
              </w:rPr>
              <w:t>7、执行责任：依照生效的行政处罚决定撤销该企业境外投资备案，给予警告，并依法公布处罚决定。</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kern w:val="0"/>
                <w:sz w:val="18"/>
                <w:szCs w:val="18"/>
                <w:highlight w:val="none"/>
                <w:lang w:val="en-US" w:eastAsia="zh-CN" w:bidi="ar"/>
              </w:rPr>
              <w:t>8、其他法律法规规章文件规定应履行的责任。</w:t>
            </w:r>
          </w:p>
        </w:tc>
        <w:tc>
          <w:tcPr>
            <w:tcW w:w="2515" w:type="dxa"/>
            <w:vAlign w:val="center"/>
          </w:tcPr>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因不履行或不正确履行行政职责，有下列情形的，行政机关及相关工作人员应承担相应责任：</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1、没有法律和事实依据实施行政处罚的；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2、行政处罚显失公正的；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3、商务部和省级商务主管部门有关工作人员不依照本办法规定履行职责、滥用职权、索取或者收受他人财物或者谋取其他利益，构成犯罪的，依法追究刑事责任；尚不构成犯罪的，依法给予行政处分。</w:t>
            </w:r>
            <w:r>
              <w:rPr>
                <w:rFonts w:hint="eastAsia" w:ascii="仿宋" w:hAnsi="仿宋" w:eastAsia="仿宋" w:cs="仿宋"/>
                <w:b w:val="0"/>
                <w:bCs w:val="0"/>
                <w:color w:val="auto"/>
                <w:sz w:val="18"/>
                <w:szCs w:val="18"/>
                <w:highlight w:val="none"/>
              </w:rPr>
              <w:br w:type="textWrapping"/>
            </w:r>
            <w:r>
              <w:rPr>
                <w:rFonts w:hint="eastAsia" w:ascii="仿宋" w:hAnsi="仿宋" w:eastAsia="仿宋" w:cs="仿宋"/>
                <w:b w:val="0"/>
                <w:bCs w:val="0"/>
                <w:color w:val="auto"/>
                <w:sz w:val="18"/>
                <w:szCs w:val="18"/>
                <w:highlight w:val="none"/>
              </w:rPr>
              <w:t>4、不具备行政执法资格实施行政处罚的；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5、应当依法移送追究刑事责任，而未依法移送有权机关的；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6、擅自改变行政处罚种类、幅度的；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7、违反法定的行政处罚程序的；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8、符合听证条件、行政管理相对人要求听证，应予组织听证而不组织听证的；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9、在行政处罚过程中发生腐败行为的；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10、其他违反法律法规规章文件规定的行为。</w:t>
            </w:r>
          </w:p>
        </w:tc>
        <w:tc>
          <w:tcPr>
            <w:tcW w:w="700" w:type="dxa"/>
            <w:vAlign w:val="center"/>
          </w:tcPr>
          <w:p>
            <w:pPr>
              <w:tabs>
                <w:tab w:val="left" w:pos="7937"/>
              </w:tabs>
              <w:spacing w:line="200" w:lineRule="exact"/>
              <w:jc w:val="left"/>
              <w:rPr>
                <w:rFonts w:hint="eastAsia" w:ascii="仿宋" w:hAnsi="仿宋" w:eastAsia="仿宋" w:cs="仿宋"/>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6" w:hRule="exact"/>
        </w:trPr>
        <w:tc>
          <w:tcPr>
            <w:tcW w:w="752" w:type="dxa"/>
            <w:vAlign w:val="center"/>
          </w:tcPr>
          <w:p>
            <w:pPr>
              <w:autoSpaceDN w:val="0"/>
              <w:spacing w:line="300" w:lineRule="exact"/>
              <w:jc w:val="center"/>
              <w:textAlignment w:val="center"/>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18</w:t>
            </w:r>
          </w:p>
        </w:tc>
        <w:tc>
          <w:tcPr>
            <w:tcW w:w="1213"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行政处罚</w:t>
            </w:r>
          </w:p>
        </w:tc>
        <w:tc>
          <w:tcPr>
            <w:tcW w:w="1472"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对从事汽车销售及相关服务的企业违反销售行为规范及销售市场秩序行为的</w:t>
            </w:r>
            <w:r>
              <w:rPr>
                <w:rFonts w:hint="eastAsia" w:ascii="仿宋" w:hAnsi="仿宋" w:eastAsia="仿宋" w:cs="仿宋"/>
                <w:b w:val="0"/>
                <w:bCs w:val="0"/>
                <w:color w:val="auto"/>
                <w:sz w:val="18"/>
                <w:szCs w:val="18"/>
                <w:lang w:val="en-US" w:eastAsia="zh-CN"/>
              </w:rPr>
              <w:t>行政</w:t>
            </w:r>
            <w:r>
              <w:rPr>
                <w:rFonts w:hint="eastAsia" w:ascii="仿宋" w:hAnsi="仿宋" w:eastAsia="仿宋" w:cs="仿宋"/>
                <w:b w:val="0"/>
                <w:bCs w:val="0"/>
                <w:color w:val="auto"/>
                <w:sz w:val="18"/>
                <w:szCs w:val="18"/>
              </w:rPr>
              <w:t>处罚</w:t>
            </w:r>
          </w:p>
        </w:tc>
        <w:tc>
          <w:tcPr>
            <w:tcW w:w="1190" w:type="dxa"/>
            <w:vAlign w:val="center"/>
          </w:tcPr>
          <w:p>
            <w:pPr>
              <w:spacing w:line="20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8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right="0"/>
              <w:textAlignment w:val="baseline"/>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《汽车销售管理办法》</w:t>
            </w:r>
            <w:r>
              <w:rPr>
                <w:rFonts w:hint="eastAsia" w:ascii="仿宋" w:hAnsi="仿宋" w:eastAsia="仿宋" w:cs="仿宋"/>
                <w:b w:val="0"/>
                <w:bCs w:val="0"/>
                <w:i w:val="0"/>
                <w:iCs w:val="0"/>
                <w:caps w:val="0"/>
                <w:color w:val="auto"/>
                <w:spacing w:val="0"/>
                <w:sz w:val="18"/>
                <w:szCs w:val="18"/>
              </w:rPr>
              <w:t>商务部令2017年第1号</w:t>
            </w:r>
            <w:r>
              <w:rPr>
                <w:rFonts w:hint="eastAsia" w:ascii="仿宋" w:hAnsi="仿宋" w:eastAsia="仿宋" w:cs="仿宋"/>
                <w:b w:val="0"/>
                <w:bCs w:val="0"/>
                <w:i w:val="0"/>
                <w:iCs w:val="0"/>
                <w:caps w:val="0"/>
                <w:color w:val="auto"/>
                <w:spacing w:val="0"/>
                <w:sz w:val="18"/>
                <w:szCs w:val="18"/>
                <w:lang w:eastAsia="zh-CN"/>
              </w:rPr>
              <w:t>，</w:t>
            </w:r>
            <w:r>
              <w:rPr>
                <w:rFonts w:hint="eastAsia" w:ascii="仿宋" w:hAnsi="仿宋" w:eastAsia="仿宋" w:cs="仿宋"/>
                <w:b w:val="0"/>
                <w:bCs w:val="0"/>
                <w:color w:val="auto"/>
                <w:sz w:val="18"/>
                <w:szCs w:val="18"/>
              </w:rPr>
              <w:t>第三十二条：违反本办法第十条、第十二条、第十四条、第十七条第一款、第二十一条、第二十三条第二款、第二十四条、第二十五条、第二十六条有关规定的，由县级以上地方商务主管部门责令改正，并可给予警告或3万元以下罚款。第三十三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违反本办法第十一条、第十五条、第十八条、第二十条第二款、第二十七条、第二十八条有关规定的，由县级以上地方商务主管部门责令改正，并可给予警告或1万元以下罚款。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right="0" w:firstLine="344" w:firstLineChars="200"/>
              <w:textAlignment w:val="baseline"/>
              <w:rPr>
                <w:rFonts w:hint="eastAsia" w:ascii="仿宋" w:hAnsi="仿宋" w:eastAsia="仿宋" w:cs="仿宋"/>
                <w:b w:val="0"/>
                <w:bCs w:val="0"/>
                <w:i w:val="0"/>
                <w:iCs w:val="0"/>
                <w:caps w:val="0"/>
                <w:color w:val="auto"/>
                <w:spacing w:val="0"/>
                <w:sz w:val="18"/>
                <w:szCs w:val="18"/>
                <w:lang w:eastAsia="zh-CN"/>
              </w:rPr>
            </w:pPr>
            <w:r>
              <w:rPr>
                <w:rFonts w:hint="eastAsia" w:ascii="仿宋" w:hAnsi="仿宋" w:eastAsia="仿宋" w:cs="仿宋"/>
                <w:b w:val="0"/>
                <w:bCs w:val="0"/>
                <w:color w:val="auto"/>
                <w:sz w:val="18"/>
                <w:szCs w:val="18"/>
              </w:rPr>
              <w:t>第十条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i w:val="0"/>
                <w:iCs w:val="0"/>
                <w:caps w:val="0"/>
                <w:color w:val="auto"/>
                <w:spacing w:val="0"/>
                <w:sz w:val="18"/>
                <w:szCs w:val="18"/>
              </w:rPr>
              <w:t>经销商应当在经营场所以适当形式明示销售汽车、配件及其他相关产品的价格和各项服务收费标准，不得在标价之外加价销售或收取额外费用</w:t>
            </w:r>
            <w:r>
              <w:rPr>
                <w:rFonts w:hint="eastAsia" w:ascii="仿宋" w:hAnsi="仿宋" w:eastAsia="仿宋" w:cs="仿宋"/>
                <w:b w:val="0"/>
                <w:bCs w:val="0"/>
                <w:i w:val="0"/>
                <w:iCs w:val="0"/>
                <w:caps w:val="0"/>
                <w:color w:val="auto"/>
                <w:spacing w:val="0"/>
                <w:sz w:val="18"/>
                <w:szCs w:val="18"/>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right="0" w:firstLine="344" w:firstLineChars="200"/>
              <w:textAlignment w:val="baseline"/>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color w:val="auto"/>
                <w:sz w:val="18"/>
                <w:szCs w:val="18"/>
              </w:rPr>
              <w:t>第十二条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i w:val="0"/>
                <w:iCs w:val="0"/>
                <w:caps w:val="0"/>
                <w:color w:val="auto"/>
                <w:spacing w:val="0"/>
                <w:sz w:val="18"/>
                <w:szCs w:val="18"/>
              </w:rPr>
              <w:t>经销商出售未经供应商授权销售的汽车，或者未经境外汽车生产企业授权销售的进口汽车，应当以书面形式向消费者作出提醒和说明，并书面告知向消费者承担相关责任的主体。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right="0" w:firstLine="344" w:firstLineChars="200"/>
              <w:textAlignment w:val="baseline"/>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color w:val="auto"/>
                <w:sz w:val="18"/>
                <w:szCs w:val="18"/>
              </w:rPr>
              <w:t>第十四条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i w:val="0"/>
                <w:iCs w:val="0"/>
                <w:caps w:val="0"/>
                <w:color w:val="auto"/>
                <w:spacing w:val="0"/>
                <w:sz w:val="18"/>
                <w:szCs w:val="18"/>
              </w:rPr>
              <w:t>供应商、经销商不得限定消费者户籍所在地，不得对消费者限定汽车配件、用品、金融、保险、救援等产品的提供商和售后服务商，但家用汽车产品“三包”服务、召回等由供应商承担费用时使用的配件和服务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right="0" w:firstLine="344" w:firstLineChars="200"/>
              <w:textAlignment w:val="baseline"/>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color w:val="auto"/>
                <w:sz w:val="18"/>
                <w:szCs w:val="18"/>
              </w:rPr>
              <w:t>第十七条第一款</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i w:val="0"/>
                <w:iCs w:val="0"/>
                <w:caps w:val="0"/>
                <w:color w:val="auto"/>
                <w:spacing w:val="0"/>
                <w:sz w:val="18"/>
                <w:szCs w:val="18"/>
              </w:rPr>
              <w:t>经销商、售后服务商销售或者提供配件应当如实标明原厂配件、质量相当配件、再制造件、回用件等，明示生产商（进口产品为进口商）、生产日期、适配车型等信息，向消费者销售或者提供原厂配件以外的其他配件时，应当予以提醒和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right="0" w:firstLine="344" w:firstLineChars="200"/>
              <w:textAlignment w:val="baseline"/>
              <w:rPr>
                <w:rFonts w:hint="eastAsia" w:ascii="仿宋" w:hAnsi="仿宋" w:eastAsia="仿宋" w:cs="仿宋"/>
                <w:b w:val="0"/>
                <w:bCs w:val="0"/>
                <w:i w:val="0"/>
                <w:iCs w:val="0"/>
                <w:caps w:val="0"/>
                <w:color w:val="auto"/>
                <w:spacing w:val="0"/>
                <w:sz w:val="18"/>
                <w:szCs w:val="18"/>
                <w:vertAlign w:val="baseline"/>
              </w:rPr>
            </w:pPr>
            <w:r>
              <w:rPr>
                <w:rFonts w:hint="eastAsia" w:ascii="仿宋" w:hAnsi="仿宋" w:eastAsia="仿宋" w:cs="仿宋"/>
                <w:b w:val="0"/>
                <w:bCs w:val="0"/>
                <w:color w:val="auto"/>
                <w:sz w:val="18"/>
                <w:szCs w:val="18"/>
              </w:rPr>
              <w:t>第二十一条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i w:val="0"/>
                <w:iCs w:val="0"/>
                <w:caps w:val="0"/>
                <w:color w:val="auto"/>
                <w:spacing w:val="0"/>
                <w:sz w:val="18"/>
                <w:szCs w:val="18"/>
                <w:vertAlign w:val="baseline"/>
              </w:rPr>
              <w:t>供应商不得限制配件生产商（进口产品为进口商）的销售对象，不得限制经销商、售后服务商转售配件，有关法律法规规章及其配套的规范性文件另有规定的除外。供应商应当及时向社会公布停产或者停止销售的车型，并保证其后至少10年的配件供应以及相应的售后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right="0" w:firstLine="344" w:firstLineChars="200"/>
              <w:textAlignment w:val="baseline"/>
              <w:rPr>
                <w:rFonts w:hint="eastAsia" w:ascii="仿宋" w:hAnsi="仿宋" w:eastAsia="仿宋" w:cs="仿宋"/>
                <w:b w:val="0"/>
                <w:bCs w:val="0"/>
                <w:i w:val="0"/>
                <w:iCs w:val="0"/>
                <w:caps w:val="0"/>
                <w:color w:val="auto"/>
                <w:spacing w:val="0"/>
                <w:sz w:val="18"/>
                <w:szCs w:val="18"/>
                <w:lang w:eastAsia="zh-CN"/>
              </w:rPr>
            </w:pPr>
            <w:r>
              <w:rPr>
                <w:rFonts w:hint="eastAsia" w:ascii="仿宋" w:hAnsi="仿宋" w:eastAsia="仿宋" w:cs="仿宋"/>
                <w:b w:val="0"/>
                <w:bCs w:val="0"/>
                <w:color w:val="auto"/>
                <w:sz w:val="18"/>
                <w:szCs w:val="18"/>
              </w:rPr>
              <w:t>第二十三条第二款</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i w:val="0"/>
                <w:iCs w:val="0"/>
                <w:caps w:val="0"/>
                <w:color w:val="auto"/>
                <w:spacing w:val="0"/>
                <w:sz w:val="18"/>
                <w:szCs w:val="18"/>
              </w:rPr>
              <w:t>经销商不再经营供应商产品的，应当将客户、车辆资料和维修历史记录在授权合同终止后30日内移交给供应商，不得实施有损于供应商品牌形象的行为；家用汽车产品经销商不再经营供应商产品时，应当及时通知消费者，在供应商的配合下变更承担“三包”责任的经销商。供应商、承担“三包”责任的经销商应当保证为消费者继续提供相应的售后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right="0" w:firstLine="344" w:firstLineChars="200"/>
              <w:textAlignment w:val="baseline"/>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二十四条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i w:val="0"/>
                <w:iCs w:val="0"/>
                <w:caps w:val="0"/>
                <w:color w:val="auto"/>
                <w:spacing w:val="0"/>
                <w:sz w:val="18"/>
                <w:szCs w:val="18"/>
                <w:vertAlign w:val="baseline"/>
              </w:rPr>
              <w:t>供应商可以要求经销商为本</w:t>
            </w:r>
          </w:p>
        </w:tc>
        <w:tc>
          <w:tcPr>
            <w:tcW w:w="292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1、立案责任：发现经营者涉嫌违反本办法第十条、第十二条、第十四条、第十七条第一款、第二十一条、第二十三条第二款、第二十四条、第二十五条、第二十六条有关规定的，予以审查，决定是否立案。</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7、执行责任：依照生效的行政处罚决定，责令改正，并可给予警告或3万元以下罚款。</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8、其他法律法规规章文件规定应履行的责任。</w:t>
            </w:r>
          </w:p>
        </w:tc>
        <w:tc>
          <w:tcPr>
            <w:tcW w:w="251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1、没有法律和事实依据实施行政处罚的；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2、行政处罚显失公正的；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3、商务主管部门的工作人员在汽车销售及其相关服务活动监督管理工作中滥用职权、玩忽职守、徇私舞弊的，依法给予处分;构成犯罪的，依法追究刑事责任；</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4、不具备行政执法资格实施行政处罚的；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5、应当依法移送追究刑事责任，而未依法移送有权机关的；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6</w:t>
            </w:r>
            <w:r>
              <w:rPr>
                <w:rFonts w:hint="eastAsia" w:ascii="仿宋" w:hAnsi="仿宋" w:eastAsia="仿宋" w:cs="仿宋"/>
                <w:b w:val="0"/>
                <w:bCs w:val="0"/>
                <w:color w:val="auto"/>
                <w:sz w:val="18"/>
                <w:szCs w:val="18"/>
                <w:highlight w:val="none"/>
              </w:rPr>
              <w:t>、擅自改变行政处罚种类、幅度的；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7</w:t>
            </w:r>
            <w:r>
              <w:rPr>
                <w:rFonts w:hint="eastAsia" w:ascii="仿宋" w:hAnsi="仿宋" w:eastAsia="仿宋" w:cs="仿宋"/>
                <w:b w:val="0"/>
                <w:bCs w:val="0"/>
                <w:color w:val="auto"/>
                <w:sz w:val="18"/>
                <w:szCs w:val="18"/>
                <w:highlight w:val="none"/>
              </w:rPr>
              <w:t>、违反法定的行政处罚程序的；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8</w:t>
            </w:r>
            <w:r>
              <w:rPr>
                <w:rFonts w:hint="eastAsia" w:ascii="仿宋" w:hAnsi="仿宋" w:eastAsia="仿宋" w:cs="仿宋"/>
                <w:b w:val="0"/>
                <w:bCs w:val="0"/>
                <w:color w:val="auto"/>
                <w:sz w:val="18"/>
                <w:szCs w:val="18"/>
                <w:highlight w:val="none"/>
              </w:rPr>
              <w:t>、符合听证条件、行政管理相对人要求听证，应予组织听证而不组织听证的；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9</w:t>
            </w:r>
            <w:r>
              <w:rPr>
                <w:rFonts w:hint="eastAsia" w:ascii="仿宋" w:hAnsi="仿宋" w:eastAsia="仿宋" w:cs="仿宋"/>
                <w:b w:val="0"/>
                <w:bCs w:val="0"/>
                <w:color w:val="auto"/>
                <w:sz w:val="18"/>
                <w:szCs w:val="18"/>
                <w:highlight w:val="none"/>
              </w:rPr>
              <w:t>、在行政处罚过程中发生腐败行为的；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highlight w:val="none"/>
                <w:lang w:val="en-US" w:eastAsia="zh-CN"/>
              </w:rPr>
              <w:t>10</w:t>
            </w:r>
            <w:r>
              <w:rPr>
                <w:rFonts w:hint="eastAsia" w:ascii="仿宋" w:hAnsi="仿宋" w:eastAsia="仿宋" w:cs="仿宋"/>
                <w:b w:val="0"/>
                <w:bCs w:val="0"/>
                <w:color w:val="auto"/>
                <w:sz w:val="18"/>
                <w:szCs w:val="18"/>
                <w:highlight w:val="none"/>
              </w:rPr>
              <w:t>、其他违反法律法规规章文件规定的行为。</w:t>
            </w:r>
          </w:p>
        </w:tc>
        <w:tc>
          <w:tcPr>
            <w:tcW w:w="700" w:type="dxa"/>
            <w:vAlign w:val="center"/>
          </w:tcPr>
          <w:p>
            <w:pPr>
              <w:tabs>
                <w:tab w:val="left" w:pos="7937"/>
              </w:tabs>
              <w:spacing w:line="200" w:lineRule="exact"/>
              <w:jc w:val="left"/>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0" w:hRule="exact"/>
        </w:trPr>
        <w:tc>
          <w:tcPr>
            <w:tcW w:w="752" w:type="dxa"/>
            <w:vAlign w:val="center"/>
          </w:tcPr>
          <w:p>
            <w:pPr>
              <w:autoSpaceDN w:val="0"/>
              <w:spacing w:line="300" w:lineRule="exact"/>
              <w:jc w:val="center"/>
              <w:textAlignment w:val="center"/>
              <w:rPr>
                <w:rFonts w:hint="eastAsia" w:ascii="仿宋" w:hAnsi="仿宋" w:eastAsia="仿宋" w:cs="仿宋"/>
                <w:b w:val="0"/>
                <w:bCs w:val="0"/>
                <w:color w:val="auto"/>
                <w:sz w:val="18"/>
                <w:szCs w:val="18"/>
                <w:lang w:val="en-US" w:eastAsia="zh-CN"/>
              </w:rPr>
            </w:pPr>
          </w:p>
        </w:tc>
        <w:tc>
          <w:tcPr>
            <w:tcW w:w="1213"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行政处罚</w:t>
            </w:r>
          </w:p>
        </w:tc>
        <w:tc>
          <w:tcPr>
            <w:tcW w:w="1472"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对从事汽车销售及相关服务的企业违反销售行为规范及销售市场秩序行为的</w:t>
            </w:r>
            <w:r>
              <w:rPr>
                <w:rFonts w:hint="eastAsia" w:ascii="仿宋" w:hAnsi="仿宋" w:eastAsia="仿宋" w:cs="仿宋"/>
                <w:b w:val="0"/>
                <w:bCs w:val="0"/>
                <w:color w:val="auto"/>
                <w:sz w:val="18"/>
                <w:szCs w:val="18"/>
                <w:lang w:val="en-US" w:eastAsia="zh-CN"/>
              </w:rPr>
              <w:t>行政</w:t>
            </w:r>
            <w:r>
              <w:rPr>
                <w:rFonts w:hint="eastAsia" w:ascii="仿宋" w:hAnsi="仿宋" w:eastAsia="仿宋" w:cs="仿宋"/>
                <w:b w:val="0"/>
                <w:bCs w:val="0"/>
                <w:color w:val="auto"/>
                <w:sz w:val="18"/>
                <w:szCs w:val="18"/>
              </w:rPr>
              <w:t>处罚</w:t>
            </w:r>
          </w:p>
        </w:tc>
        <w:tc>
          <w:tcPr>
            <w:tcW w:w="1190" w:type="dxa"/>
            <w:vAlign w:val="center"/>
          </w:tcPr>
          <w:p>
            <w:pPr>
              <w:spacing w:line="20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80" w:type="dxa"/>
            <w:vAlign w:val="center"/>
          </w:tcPr>
          <w:p>
            <w:pPr>
              <w:keepNext w:val="0"/>
              <w:keepLines w:val="0"/>
              <w:pageBreakBefore w:val="0"/>
              <w:numPr>
                <w:ilvl w:val="0"/>
                <w:numId w:val="0"/>
              </w:numPr>
              <w:tabs>
                <w:tab w:val="left" w:pos="7937"/>
              </w:tabs>
              <w:kinsoku/>
              <w:overflowPunct/>
              <w:topLinePunct w:val="0"/>
              <w:autoSpaceDE/>
              <w:autoSpaceDN/>
              <w:bidi w:val="0"/>
              <w:adjustRightInd/>
              <w:snapToGrid/>
              <w:spacing w:line="200" w:lineRule="exact"/>
              <w:jc w:val="left"/>
              <w:rPr>
                <w:rFonts w:hint="eastAsia" w:ascii="仿宋" w:hAnsi="仿宋" w:eastAsia="仿宋" w:cs="仿宋"/>
                <w:b w:val="0"/>
                <w:bCs w:val="0"/>
                <w:i w:val="0"/>
                <w:iCs w:val="0"/>
                <w:caps w:val="0"/>
                <w:color w:val="auto"/>
                <w:spacing w:val="0"/>
                <w:sz w:val="18"/>
                <w:szCs w:val="18"/>
                <w:vertAlign w:val="baseline"/>
              </w:rPr>
            </w:pPr>
            <w:r>
              <w:rPr>
                <w:rFonts w:hint="eastAsia" w:ascii="仿宋" w:hAnsi="仿宋" w:eastAsia="仿宋" w:cs="仿宋"/>
                <w:b w:val="0"/>
                <w:bCs w:val="0"/>
                <w:i w:val="0"/>
                <w:iCs w:val="0"/>
                <w:caps w:val="0"/>
                <w:color w:val="auto"/>
                <w:spacing w:val="0"/>
                <w:sz w:val="18"/>
                <w:szCs w:val="18"/>
                <w:vertAlign w:val="baseline"/>
              </w:rPr>
              <w:t>企业品牌汽车设立单独展区，满足经营需要和维护品牌形象的基本功能，但不得对经销商实施下列行为：（一）要求同时具备销售、售后服务等功能；（二）规定整车、配件库存品种或数量，或者规定汽车销售数量，但双方在签署授权合同或合同延期时就上述内容书面达成一致的除外；（三）限制经营其他供应商商品；（四）限制为其他供应商的汽车提供配件及其他售后服务；（五）要求承担以汽车供应商名义实施的广告、车展等宣传推广费用，或者限定广告宣传方式和媒体；（六）限定不合理的经营场地面积、建筑物结构以及有偿设计单位、建筑单位、建筑材料、通用设备以及办公设施的品牌或者供应商</w:t>
            </w:r>
            <w:r>
              <w:rPr>
                <w:rFonts w:hint="eastAsia" w:ascii="仿宋" w:hAnsi="仿宋" w:eastAsia="仿宋" w:cs="仿宋"/>
                <w:b w:val="0"/>
                <w:bCs w:val="0"/>
                <w:i w:val="0"/>
                <w:iCs w:val="0"/>
                <w:caps w:val="0"/>
                <w:color w:val="auto"/>
                <w:spacing w:val="0"/>
                <w:sz w:val="18"/>
                <w:szCs w:val="18"/>
                <w:vertAlign w:val="baseline"/>
                <w:lang w:eastAsia="zh-CN"/>
              </w:rPr>
              <w:t>；（</w:t>
            </w:r>
            <w:r>
              <w:rPr>
                <w:rFonts w:hint="eastAsia" w:ascii="仿宋" w:hAnsi="仿宋" w:eastAsia="仿宋" w:cs="仿宋"/>
                <w:b w:val="0"/>
                <w:bCs w:val="0"/>
                <w:i w:val="0"/>
                <w:iCs w:val="0"/>
                <w:caps w:val="0"/>
                <w:color w:val="auto"/>
                <w:spacing w:val="0"/>
                <w:sz w:val="18"/>
                <w:szCs w:val="18"/>
                <w:vertAlign w:val="baseline"/>
                <w:lang w:val="en-US" w:eastAsia="zh-CN"/>
              </w:rPr>
              <w:t>七</w:t>
            </w:r>
            <w:r>
              <w:rPr>
                <w:rFonts w:hint="eastAsia" w:ascii="仿宋" w:hAnsi="仿宋" w:eastAsia="仿宋" w:cs="仿宋"/>
                <w:b w:val="0"/>
                <w:bCs w:val="0"/>
                <w:i w:val="0"/>
                <w:iCs w:val="0"/>
                <w:caps w:val="0"/>
                <w:color w:val="auto"/>
                <w:spacing w:val="0"/>
                <w:sz w:val="18"/>
                <w:szCs w:val="18"/>
                <w:vertAlign w:val="baseline"/>
                <w:lang w:eastAsia="zh-CN"/>
              </w:rPr>
              <w:t>）</w:t>
            </w:r>
            <w:r>
              <w:rPr>
                <w:rFonts w:hint="eastAsia" w:ascii="仿宋" w:hAnsi="仿宋" w:eastAsia="仿宋" w:cs="仿宋"/>
                <w:b w:val="0"/>
                <w:bCs w:val="0"/>
                <w:i w:val="0"/>
                <w:iCs w:val="0"/>
                <w:caps w:val="0"/>
                <w:color w:val="auto"/>
                <w:spacing w:val="0"/>
                <w:sz w:val="18"/>
                <w:szCs w:val="18"/>
                <w:vertAlign w:val="baseline"/>
              </w:rPr>
              <w:t>搭售未订购的汽车、配件及其他商品；（八）干涉经销商人力资源和财务管理以及其他属于经销商自主经营范围内的活动；（九）限制本企业汽车产品经销商之间相互转售。</w:t>
            </w:r>
          </w:p>
          <w:p>
            <w:pPr>
              <w:keepNext w:val="0"/>
              <w:keepLines w:val="0"/>
              <w:pageBreakBefore w:val="0"/>
              <w:numPr>
                <w:ilvl w:val="0"/>
                <w:numId w:val="0"/>
              </w:numPr>
              <w:tabs>
                <w:tab w:val="left" w:pos="7937"/>
              </w:tabs>
              <w:kinsoku/>
              <w:overflowPunct/>
              <w:topLinePunct w:val="0"/>
              <w:autoSpaceDE/>
              <w:autoSpaceDN/>
              <w:bidi w:val="0"/>
              <w:adjustRightInd/>
              <w:snapToGrid/>
              <w:spacing w:line="200" w:lineRule="exact"/>
              <w:ind w:firstLine="344" w:firstLineChars="200"/>
              <w:jc w:val="left"/>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color w:val="auto"/>
                <w:sz w:val="18"/>
                <w:szCs w:val="18"/>
              </w:rPr>
              <w:t>第二十五条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i w:val="0"/>
                <w:iCs w:val="0"/>
                <w:caps w:val="0"/>
                <w:color w:val="auto"/>
                <w:spacing w:val="0"/>
                <w:sz w:val="18"/>
                <w:szCs w:val="18"/>
              </w:rPr>
              <w:t>供应商制定或实施营销奖励等商务政策应当遵循公平、公正、透明的原则。供应商应当向经销商明确商务政策的主要内容，对于临时性商务政策，应当提前以双方约定的方式告知；对于被解除授权的经销商，应当维护经销商在授权期间应有的权益，不得拒绝或延迟支付销售返利。</w:t>
            </w:r>
          </w:p>
          <w:p>
            <w:pPr>
              <w:keepNext w:val="0"/>
              <w:keepLines w:val="0"/>
              <w:pageBreakBefore w:val="0"/>
              <w:numPr>
                <w:ilvl w:val="0"/>
                <w:numId w:val="0"/>
              </w:numPr>
              <w:tabs>
                <w:tab w:val="left" w:pos="7937"/>
              </w:tabs>
              <w:kinsoku/>
              <w:overflowPunct/>
              <w:topLinePunct w:val="0"/>
              <w:autoSpaceDE/>
              <w:autoSpaceDN/>
              <w:bidi w:val="0"/>
              <w:adjustRightInd/>
              <w:snapToGrid/>
              <w:spacing w:line="200" w:lineRule="exact"/>
              <w:ind w:firstLine="344" w:firstLineChars="200"/>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第二十六条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i w:val="0"/>
                <w:iCs w:val="0"/>
                <w:caps w:val="0"/>
                <w:color w:val="auto"/>
                <w:spacing w:val="0"/>
                <w:sz w:val="18"/>
                <w:szCs w:val="18"/>
              </w:rPr>
              <w:t>除双方合同另有约定外, 供应商在经销商获得授权销售区域内不得向消费者直接销售汽车。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right="0" w:firstLine="344" w:firstLineChars="200"/>
              <w:textAlignment w:val="baseline"/>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color w:val="auto"/>
                <w:sz w:val="18"/>
                <w:szCs w:val="18"/>
              </w:rPr>
              <w:t>第十一条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i w:val="0"/>
                <w:iCs w:val="0"/>
                <w:caps w:val="0"/>
                <w:color w:val="auto"/>
                <w:spacing w:val="0"/>
                <w:sz w:val="18"/>
                <w:szCs w:val="18"/>
              </w:rPr>
              <w:t>经销商应当在经营场所明示所出售的汽车产品质量保证、保修服务及消费者需知悉的其他售后服务政策，出售家用汽车产品的经销商还应当在经营场所明示家用汽车产品的“三包”信息。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right="0" w:firstLine="344" w:firstLineChars="200"/>
              <w:textAlignment w:val="baseline"/>
              <w:rPr>
                <w:rFonts w:hint="eastAsia" w:ascii="仿宋" w:hAnsi="仿宋" w:eastAsia="仿宋" w:cs="仿宋"/>
                <w:b w:val="0"/>
                <w:bCs w:val="0"/>
                <w:i w:val="0"/>
                <w:iCs w:val="0"/>
                <w:caps w:val="0"/>
                <w:color w:val="auto"/>
                <w:spacing w:val="0"/>
                <w:sz w:val="18"/>
                <w:szCs w:val="18"/>
                <w:lang w:eastAsia="zh-CN"/>
              </w:rPr>
            </w:pPr>
            <w:r>
              <w:rPr>
                <w:rFonts w:hint="eastAsia" w:ascii="仿宋" w:hAnsi="仿宋" w:eastAsia="仿宋" w:cs="仿宋"/>
                <w:b w:val="0"/>
                <w:bCs w:val="0"/>
                <w:color w:val="auto"/>
                <w:sz w:val="18"/>
                <w:szCs w:val="18"/>
              </w:rPr>
              <w:t>第十五条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i w:val="0"/>
                <w:iCs w:val="0"/>
                <w:caps w:val="0"/>
                <w:color w:val="auto"/>
                <w:spacing w:val="0"/>
                <w:sz w:val="18"/>
                <w:szCs w:val="18"/>
              </w:rPr>
              <w:t>经销商向消费者销售汽车时，应当核实登记消费者的有效身份证明，签订销售合同，并如实开具销售发票。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right="0" w:firstLine="344" w:firstLineChars="200"/>
              <w:textAlignment w:val="baseline"/>
              <w:rPr>
                <w:rFonts w:hint="eastAsia" w:ascii="仿宋" w:hAnsi="仿宋" w:eastAsia="仿宋" w:cs="仿宋"/>
                <w:b w:val="0"/>
                <w:bCs w:val="0"/>
                <w:i w:val="0"/>
                <w:iCs w:val="0"/>
                <w:caps w:val="0"/>
                <w:color w:val="auto"/>
                <w:spacing w:val="0"/>
                <w:sz w:val="18"/>
                <w:szCs w:val="18"/>
                <w:lang w:eastAsia="zh-CN"/>
              </w:rPr>
            </w:pPr>
            <w:r>
              <w:rPr>
                <w:rFonts w:hint="eastAsia" w:ascii="仿宋" w:hAnsi="仿宋" w:eastAsia="仿宋" w:cs="仿宋"/>
                <w:b w:val="0"/>
                <w:bCs w:val="0"/>
                <w:color w:val="auto"/>
                <w:sz w:val="18"/>
                <w:szCs w:val="18"/>
              </w:rPr>
              <w:t>第十八条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i w:val="0"/>
                <w:iCs w:val="0"/>
                <w:caps w:val="0"/>
                <w:color w:val="auto"/>
                <w:spacing w:val="0"/>
                <w:sz w:val="18"/>
                <w:szCs w:val="18"/>
              </w:rPr>
              <w:t>供应商、经销商应当建立健全消费者投诉制度，明确受理消费者投诉的具体部门和人员，并向消费者明示投诉渠道。投诉的受理、转交以及处理情况应当自收到投诉之日起7个工作日内通知投诉的消费者。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right="0" w:firstLine="344" w:firstLineChars="200"/>
              <w:textAlignment w:val="baseline"/>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color w:val="auto"/>
                <w:sz w:val="18"/>
                <w:szCs w:val="18"/>
              </w:rPr>
              <w:t>第二十条第二款</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i w:val="0"/>
                <w:iCs w:val="0"/>
                <w:caps w:val="0"/>
                <w:color w:val="auto"/>
                <w:spacing w:val="0"/>
                <w:sz w:val="18"/>
                <w:szCs w:val="18"/>
              </w:rPr>
              <w:t>供应商、经销商应当在本企业网站或经营场所公示与其合作的售后服务商名单。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right="0" w:firstLine="344" w:firstLineChars="200"/>
              <w:textAlignment w:val="baseline"/>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第二十七条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i w:val="0"/>
                <w:iCs w:val="0"/>
                <w:caps w:val="0"/>
                <w:color w:val="auto"/>
                <w:spacing w:val="0"/>
                <w:sz w:val="18"/>
                <w:szCs w:val="18"/>
                <w:vertAlign w:val="baseline"/>
              </w:rPr>
              <w:t>供应商、经销商应当自取得营业执照之日起90日内通过国务院商务</w:t>
            </w:r>
          </w:p>
        </w:tc>
        <w:tc>
          <w:tcPr>
            <w:tcW w:w="292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1、立案责任：发现经营者涉嫌违反本办法第十条、第十二条、第十四条、第十七条第一款、第二十一条、第二十三条第二款、第二十四条、第二十五条、第二十六条有关规定的，予以审查，决定是否立案。</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7、执行责任：依照生效的行政处罚决定，责令改正，并可给予警告或3万元以下罚款。</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8、其他法律法规规章文件规定应履行的责任。</w:t>
            </w:r>
          </w:p>
        </w:tc>
        <w:tc>
          <w:tcPr>
            <w:tcW w:w="251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1、没有法律和事实依据实施行政处罚的；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2、行政处罚显失公正的；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3、商务主管部门的工作人员在汽车销售及其相关服务活动监督管理工作中滥用职权、玩忽职守、徇私舞弊的，依法给予处分;构成犯罪的，依法追究刑事责任；</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4、不具备行政执法资格实施行政处罚的；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5、应当依法移送追究刑事责任，而未依法移送有权机关的；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6</w:t>
            </w:r>
            <w:r>
              <w:rPr>
                <w:rFonts w:hint="eastAsia" w:ascii="仿宋" w:hAnsi="仿宋" w:eastAsia="仿宋" w:cs="仿宋"/>
                <w:b w:val="0"/>
                <w:bCs w:val="0"/>
                <w:color w:val="auto"/>
                <w:sz w:val="18"/>
                <w:szCs w:val="18"/>
                <w:highlight w:val="none"/>
              </w:rPr>
              <w:t>、擅自改变行政处罚种类、幅度的；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7</w:t>
            </w:r>
            <w:r>
              <w:rPr>
                <w:rFonts w:hint="eastAsia" w:ascii="仿宋" w:hAnsi="仿宋" w:eastAsia="仿宋" w:cs="仿宋"/>
                <w:b w:val="0"/>
                <w:bCs w:val="0"/>
                <w:color w:val="auto"/>
                <w:sz w:val="18"/>
                <w:szCs w:val="18"/>
                <w:highlight w:val="none"/>
              </w:rPr>
              <w:t>、违反法定的行政处罚程序的；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8</w:t>
            </w:r>
            <w:r>
              <w:rPr>
                <w:rFonts w:hint="eastAsia" w:ascii="仿宋" w:hAnsi="仿宋" w:eastAsia="仿宋" w:cs="仿宋"/>
                <w:b w:val="0"/>
                <w:bCs w:val="0"/>
                <w:color w:val="auto"/>
                <w:sz w:val="18"/>
                <w:szCs w:val="18"/>
                <w:highlight w:val="none"/>
              </w:rPr>
              <w:t>、符合听证条件、行政管理相对人要求听证，应予组织听证而不组织听证的；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9</w:t>
            </w:r>
            <w:r>
              <w:rPr>
                <w:rFonts w:hint="eastAsia" w:ascii="仿宋" w:hAnsi="仿宋" w:eastAsia="仿宋" w:cs="仿宋"/>
                <w:b w:val="0"/>
                <w:bCs w:val="0"/>
                <w:color w:val="auto"/>
                <w:sz w:val="18"/>
                <w:szCs w:val="18"/>
                <w:highlight w:val="none"/>
              </w:rPr>
              <w:t>、在行政处罚过程中发生腐败行为的；</w:t>
            </w:r>
          </w:p>
          <w:p>
            <w:pPr>
              <w:tabs>
                <w:tab w:val="left" w:pos="7937"/>
              </w:tabs>
              <w:spacing w:line="200" w:lineRule="exact"/>
              <w:jc w:val="left"/>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10</w:t>
            </w:r>
            <w:r>
              <w:rPr>
                <w:rFonts w:hint="eastAsia" w:ascii="仿宋" w:hAnsi="仿宋" w:eastAsia="仿宋" w:cs="仿宋"/>
                <w:b w:val="0"/>
                <w:bCs w:val="0"/>
                <w:color w:val="auto"/>
                <w:sz w:val="18"/>
                <w:szCs w:val="18"/>
                <w:highlight w:val="none"/>
              </w:rPr>
              <w:t>、其他违反法律法规规章文件规定的行为。</w:t>
            </w:r>
          </w:p>
        </w:tc>
        <w:tc>
          <w:tcPr>
            <w:tcW w:w="700" w:type="dxa"/>
            <w:vAlign w:val="center"/>
          </w:tcPr>
          <w:p>
            <w:pPr>
              <w:autoSpaceDN w:val="0"/>
              <w:spacing w:line="300" w:lineRule="exact"/>
              <w:jc w:val="center"/>
              <w:textAlignment w:val="center"/>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8" w:hRule="exact"/>
        </w:trPr>
        <w:tc>
          <w:tcPr>
            <w:tcW w:w="752" w:type="dxa"/>
            <w:vAlign w:val="center"/>
          </w:tcPr>
          <w:p>
            <w:pPr>
              <w:autoSpaceDN w:val="0"/>
              <w:spacing w:line="300" w:lineRule="exact"/>
              <w:jc w:val="center"/>
              <w:textAlignment w:val="center"/>
              <w:rPr>
                <w:rFonts w:hint="eastAsia" w:ascii="仿宋" w:hAnsi="仿宋" w:eastAsia="仿宋" w:cs="仿宋"/>
                <w:b w:val="0"/>
                <w:bCs w:val="0"/>
                <w:color w:val="auto"/>
                <w:sz w:val="18"/>
                <w:szCs w:val="18"/>
                <w:lang w:val="en-US" w:eastAsia="zh-CN"/>
              </w:rPr>
            </w:pPr>
          </w:p>
        </w:tc>
        <w:tc>
          <w:tcPr>
            <w:tcW w:w="1213"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行政处罚</w:t>
            </w:r>
          </w:p>
        </w:tc>
        <w:tc>
          <w:tcPr>
            <w:tcW w:w="1472"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对从事汽车销售及相关服务的企业违反销售行为规范及销售市场秩序行为的</w:t>
            </w:r>
            <w:r>
              <w:rPr>
                <w:rFonts w:hint="eastAsia" w:ascii="仿宋" w:hAnsi="仿宋" w:eastAsia="仿宋" w:cs="仿宋"/>
                <w:b w:val="0"/>
                <w:bCs w:val="0"/>
                <w:color w:val="auto"/>
                <w:sz w:val="18"/>
                <w:szCs w:val="18"/>
                <w:lang w:val="en-US" w:eastAsia="zh-CN"/>
              </w:rPr>
              <w:t>行政</w:t>
            </w:r>
            <w:r>
              <w:rPr>
                <w:rFonts w:hint="eastAsia" w:ascii="仿宋" w:hAnsi="仿宋" w:eastAsia="仿宋" w:cs="仿宋"/>
                <w:b w:val="0"/>
                <w:bCs w:val="0"/>
                <w:color w:val="auto"/>
                <w:sz w:val="18"/>
                <w:szCs w:val="18"/>
              </w:rPr>
              <w:t>处罚</w:t>
            </w:r>
          </w:p>
        </w:tc>
        <w:tc>
          <w:tcPr>
            <w:tcW w:w="1190" w:type="dxa"/>
            <w:vAlign w:val="center"/>
          </w:tcPr>
          <w:p>
            <w:pPr>
              <w:spacing w:line="20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80" w:type="dxa"/>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right="0"/>
              <w:jc w:val="both"/>
              <w:textAlignment w:val="baseline"/>
              <w:rPr>
                <w:rFonts w:hint="eastAsia" w:ascii="仿宋" w:hAnsi="仿宋" w:eastAsia="仿宋" w:cs="仿宋"/>
                <w:b w:val="0"/>
                <w:bCs w:val="0"/>
                <w:i w:val="0"/>
                <w:iCs w:val="0"/>
                <w:caps w:val="0"/>
                <w:color w:val="auto"/>
                <w:spacing w:val="0"/>
                <w:sz w:val="18"/>
                <w:szCs w:val="18"/>
                <w:vertAlign w:val="baseline"/>
              </w:rPr>
            </w:pPr>
            <w:r>
              <w:rPr>
                <w:rFonts w:hint="eastAsia" w:ascii="仿宋" w:hAnsi="仿宋" w:eastAsia="仿宋" w:cs="仿宋"/>
                <w:b w:val="0"/>
                <w:bCs w:val="0"/>
                <w:i w:val="0"/>
                <w:iCs w:val="0"/>
                <w:caps w:val="0"/>
                <w:color w:val="auto"/>
                <w:spacing w:val="0"/>
                <w:sz w:val="18"/>
                <w:szCs w:val="18"/>
                <w:vertAlign w:val="baseline"/>
              </w:rPr>
              <w:t>主管部门全国汽车流通信息管理系统备案基本信息。供应商、经销商备案的基本信息发生变更的，应当自信息变更之日起30日内完成信息更新。本办法实施以前已设立的供应商、经销商应当自本办法实施之日起90日内按前款规定备案基本信息。供应商、经销商应当按照国务院商务主管部门的要求，及时通过全国汽车流通信息管理系统报送汽车销售数量、种类等信息。</w:t>
            </w:r>
          </w:p>
          <w:p>
            <w:pPr>
              <w:keepNext w:val="0"/>
              <w:keepLines w:val="0"/>
              <w:pageBreakBefore w:val="0"/>
              <w:tabs>
                <w:tab w:val="left" w:pos="7937"/>
              </w:tabs>
              <w:kinsoku/>
              <w:overflowPunct/>
              <w:topLinePunct w:val="0"/>
              <w:autoSpaceDE/>
              <w:autoSpaceDN/>
              <w:bidi w:val="0"/>
              <w:adjustRightInd/>
              <w:snapToGrid/>
              <w:spacing w:line="200" w:lineRule="exact"/>
              <w:ind w:firstLine="344" w:firstLineChars="200"/>
              <w:jc w:val="both"/>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第二十八条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i w:val="0"/>
                <w:iCs w:val="0"/>
                <w:caps w:val="0"/>
                <w:color w:val="auto"/>
                <w:spacing w:val="0"/>
                <w:sz w:val="18"/>
                <w:szCs w:val="18"/>
              </w:rPr>
              <w:t>经销商应当建立销售汽车、用户等信息档案，准确、及时地反映本区域销售动态、用户要求和其他相关信息。汽车销售、用户等信息档案保存期不得少于10年。</w:t>
            </w:r>
          </w:p>
        </w:tc>
        <w:tc>
          <w:tcPr>
            <w:tcW w:w="292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1、立案责任：发现经营者涉嫌违反本办法第十条、第十二条、第十四条、第十七条第一款、第二十一条、第二十三条第二款、第二十四条、第二十五条、第二十六条有关规定的，予以审查，决定是否立案。</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7、执行责任：依照生效的行政处罚决定，责令改正，并可给予警告或3万元以下罚款。</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8、其他法律法规规章文件规定应履行的责任。</w:t>
            </w:r>
          </w:p>
        </w:tc>
        <w:tc>
          <w:tcPr>
            <w:tcW w:w="251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1、没有法律和事实依据实施行政处罚的；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2、行政处罚显失公正的；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3、商务主管部门的工作人员在汽车销售及其相关服务活动监督管理工作中滥用职权、玩忽职守、徇私舞弊的，依法给予处分;构成犯罪的，依法追究刑事责任；</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4、不具备行政执法资格实施行政处罚的；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5、应当依法移送追究刑事责任，而未依法移送有权机关的；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6</w:t>
            </w:r>
            <w:r>
              <w:rPr>
                <w:rFonts w:hint="eastAsia" w:ascii="仿宋" w:hAnsi="仿宋" w:eastAsia="仿宋" w:cs="仿宋"/>
                <w:b w:val="0"/>
                <w:bCs w:val="0"/>
                <w:color w:val="auto"/>
                <w:sz w:val="18"/>
                <w:szCs w:val="18"/>
                <w:highlight w:val="none"/>
              </w:rPr>
              <w:t>、擅自改变行政处罚种类、幅度的；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7</w:t>
            </w:r>
            <w:r>
              <w:rPr>
                <w:rFonts w:hint="eastAsia" w:ascii="仿宋" w:hAnsi="仿宋" w:eastAsia="仿宋" w:cs="仿宋"/>
                <w:b w:val="0"/>
                <w:bCs w:val="0"/>
                <w:color w:val="auto"/>
                <w:sz w:val="18"/>
                <w:szCs w:val="18"/>
                <w:highlight w:val="none"/>
              </w:rPr>
              <w:t>、违反法定的行政处罚程序的；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8</w:t>
            </w:r>
            <w:r>
              <w:rPr>
                <w:rFonts w:hint="eastAsia" w:ascii="仿宋" w:hAnsi="仿宋" w:eastAsia="仿宋" w:cs="仿宋"/>
                <w:b w:val="0"/>
                <w:bCs w:val="0"/>
                <w:color w:val="auto"/>
                <w:sz w:val="18"/>
                <w:szCs w:val="18"/>
                <w:highlight w:val="none"/>
              </w:rPr>
              <w:t>、符合听证条件、行政管理相对人要求听证，应予组织听证而不组织听证的；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9</w:t>
            </w:r>
            <w:r>
              <w:rPr>
                <w:rFonts w:hint="eastAsia" w:ascii="仿宋" w:hAnsi="仿宋" w:eastAsia="仿宋" w:cs="仿宋"/>
                <w:b w:val="0"/>
                <w:bCs w:val="0"/>
                <w:color w:val="auto"/>
                <w:sz w:val="18"/>
                <w:szCs w:val="18"/>
                <w:highlight w:val="none"/>
              </w:rPr>
              <w:t>、在行政处罚过程中发生腐败行为的；</w:t>
            </w:r>
          </w:p>
          <w:p>
            <w:pPr>
              <w:tabs>
                <w:tab w:val="left" w:pos="7937"/>
              </w:tabs>
              <w:spacing w:line="200" w:lineRule="exact"/>
              <w:jc w:val="left"/>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10</w:t>
            </w:r>
            <w:r>
              <w:rPr>
                <w:rFonts w:hint="eastAsia" w:ascii="仿宋" w:hAnsi="仿宋" w:eastAsia="仿宋" w:cs="仿宋"/>
                <w:b w:val="0"/>
                <w:bCs w:val="0"/>
                <w:color w:val="auto"/>
                <w:sz w:val="18"/>
                <w:szCs w:val="18"/>
                <w:highlight w:val="none"/>
              </w:rPr>
              <w:t>、其他违反法律法规规章文件规定的行为。</w:t>
            </w:r>
          </w:p>
        </w:tc>
        <w:tc>
          <w:tcPr>
            <w:tcW w:w="700" w:type="dxa"/>
            <w:vAlign w:val="center"/>
          </w:tcPr>
          <w:p>
            <w:pPr>
              <w:tabs>
                <w:tab w:val="left" w:pos="7937"/>
              </w:tabs>
              <w:spacing w:line="200" w:lineRule="exact"/>
              <w:jc w:val="left"/>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4" w:hRule="exact"/>
        </w:trPr>
        <w:tc>
          <w:tcPr>
            <w:tcW w:w="752" w:type="dxa"/>
            <w:vAlign w:val="center"/>
          </w:tcPr>
          <w:p>
            <w:pPr>
              <w:autoSpaceDN w:val="0"/>
              <w:spacing w:line="300" w:lineRule="exact"/>
              <w:jc w:val="center"/>
              <w:textAlignment w:val="center"/>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19</w:t>
            </w:r>
          </w:p>
        </w:tc>
        <w:tc>
          <w:tcPr>
            <w:tcW w:w="1213"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行政处罚</w:t>
            </w:r>
          </w:p>
        </w:tc>
        <w:tc>
          <w:tcPr>
            <w:tcW w:w="1472" w:type="dxa"/>
            <w:vAlign w:val="center"/>
          </w:tcPr>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对</w:t>
            </w:r>
            <w:r>
              <w:rPr>
                <w:rFonts w:hint="eastAsia" w:ascii="仿宋" w:hAnsi="仿宋" w:eastAsia="仿宋" w:cs="仿宋"/>
                <w:b w:val="0"/>
                <w:bCs w:val="0"/>
                <w:color w:val="auto"/>
                <w:sz w:val="18"/>
                <w:szCs w:val="18"/>
              </w:rPr>
              <w:t>回收拆解企业</w:t>
            </w:r>
            <w:r>
              <w:rPr>
                <w:rFonts w:hint="eastAsia" w:ascii="仿宋" w:hAnsi="仿宋" w:eastAsia="仿宋" w:cs="仿宋"/>
                <w:b w:val="0"/>
                <w:bCs w:val="0"/>
                <w:color w:val="auto"/>
                <w:sz w:val="18"/>
                <w:szCs w:val="18"/>
                <w:lang w:val="en-US" w:eastAsia="zh-CN"/>
              </w:rPr>
              <w:t>违反</w:t>
            </w:r>
            <w:r>
              <w:rPr>
                <w:rFonts w:hint="eastAsia" w:ascii="仿宋" w:hAnsi="仿宋" w:eastAsia="仿宋" w:cs="仿宋"/>
                <w:b w:val="0"/>
                <w:bCs w:val="0"/>
                <w:color w:val="auto"/>
                <w:sz w:val="18"/>
                <w:szCs w:val="18"/>
              </w:rPr>
              <w:t>《报废机动车回收管理办法实施细则》</w:t>
            </w:r>
            <w:r>
              <w:rPr>
                <w:rFonts w:hint="eastAsia" w:ascii="仿宋" w:hAnsi="仿宋" w:eastAsia="仿宋" w:cs="仿宋"/>
                <w:b w:val="0"/>
                <w:bCs w:val="0"/>
                <w:color w:val="auto"/>
                <w:sz w:val="18"/>
                <w:szCs w:val="18"/>
                <w:lang w:val="en-US" w:eastAsia="zh-CN"/>
              </w:rPr>
              <w:t>的行政处罚</w:t>
            </w:r>
          </w:p>
        </w:tc>
        <w:tc>
          <w:tcPr>
            <w:tcW w:w="1190" w:type="dxa"/>
            <w:vAlign w:val="center"/>
          </w:tcPr>
          <w:p>
            <w:pPr>
              <w:spacing w:line="20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80"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报废机动车回收管理办法实施细则》（商务部令2020年第2号）第四十条：违反本细则第七条第一款规定，未取得资质认定，擅自从事报废机动车回收拆解活动的，由县级以上地方商务主管部门会同有关部门按照《管理办法》第十九条规定没收非法回收拆解的报废机动车、报废机动车“五大总成”和其他零部件，没收违法所得；违法所得在5万元以上的，并处违法所得2倍以上5倍以下的罚款；违法所得不足5万元或者没有违法所得的，并处5万元以上10万元以下的罚款。</w:t>
            </w:r>
          </w:p>
          <w:p>
            <w:pPr>
              <w:tabs>
                <w:tab w:val="left" w:pos="7937"/>
              </w:tabs>
              <w:spacing w:line="200" w:lineRule="exact"/>
              <w:ind w:firstLine="344" w:firstLineChars="200"/>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第四十一条：违反本细则第十四条规定，回收拆解企业涂改、出租、出借或者以其他形式非法转让《资质认定书》的，由县级以上地方商务主管部门责令改正，并处1万元以上3万元以下的罚款。</w:t>
            </w:r>
          </w:p>
          <w:p>
            <w:pPr>
              <w:tabs>
                <w:tab w:val="left" w:pos="7937"/>
              </w:tabs>
              <w:spacing w:line="200" w:lineRule="exact"/>
              <w:ind w:firstLine="344" w:firstLineChars="200"/>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第四十二条： 违反本细则第十五条第一款规定，回收拆解企业未按照要求备案分支机构的，由分支机构注册登记所在地县级以上地方商务主管部门责令改正，并处1万元以上3万元以下的罚款。第四十二条：违反本细则第十五条第二款规定，回收拆解企业的分支机构对报废机动车进行拆解的，由分支机构注册登记所在地县级以上地方商务主管部门责令改正，并处3万元罚款；拒不改正或者情节严重的，由原发证部门吊销回收拆解企业的《资质认定书》。</w:t>
            </w:r>
          </w:p>
          <w:p>
            <w:pPr>
              <w:tabs>
                <w:tab w:val="left" w:pos="7937"/>
              </w:tabs>
              <w:spacing w:line="200" w:lineRule="exact"/>
              <w:ind w:firstLine="344" w:firstLineChars="200"/>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四十三条：违反本细则第十九条第一款、第二十条、第二十一条的规定，回收拆解企业违规开具或者发放《报废机动车回收证明》，或者未按照规定对已出具《报废机动车回收证明》的报废机动车进行拆解的，由县级以上地方商务主管部门责令限期改正，整改期间暂停打印《报废机动车回收证明》；情节严重的，处1万元以上3万元以下的罚款。</w:t>
            </w:r>
          </w:p>
          <w:p>
            <w:pPr>
              <w:tabs>
                <w:tab w:val="left" w:pos="7937"/>
              </w:tabs>
              <w:spacing w:line="200" w:lineRule="exact"/>
              <w:ind w:firstLine="344" w:firstLineChars="200"/>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四十四条：违反本细则第十九条第二款规定，回收拆解企业未按照国家有关规定及时向公安机关交通管理部门办理机动车注销登记，并将注销证明转交机动车所有人的，由县级以上地方商务主管部门按照《管理办法》第二十二条规定责令改正，可以处1万元以上5万元以下的罚款。</w:t>
            </w:r>
          </w:p>
          <w:p>
            <w:pPr>
              <w:tabs>
                <w:tab w:val="left" w:pos="7937"/>
              </w:tabs>
              <w:spacing w:line="200" w:lineRule="exact"/>
              <w:ind w:firstLine="344" w:firstLineChars="200"/>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第四十五条：违反本细则第二十三条规定，回收拆解企业未在其资质认定的拆解经营场地内对回收的报废机动车予以拆解，或者交易报废机动车整车、拼装车的，由县级</w:t>
            </w:r>
          </w:p>
        </w:tc>
        <w:tc>
          <w:tcPr>
            <w:tcW w:w="292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1、立案责任：发现经营者涉嫌违反本细则第七条第一款规定的，予以审查，决定是否立案。</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依照生效的行政处罚决定，没收非法回收拆解的报废机动车、报废机动车“五大总成”和其他零部件，没收违法所得；违法所得在5万元以上的，并处违法所得2倍以上5倍以下的罚款；违法所得不足5万元或者没有违法所得的，并处5万元以上10万元以下的罚款。</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8、其他法律法规规章文件规定应履行的责任。</w:t>
            </w:r>
          </w:p>
        </w:tc>
        <w:tc>
          <w:tcPr>
            <w:tcW w:w="251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1、没有法律和事实依据实施行政处罚的；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2、行政处罚显失公正的；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3、违反相关规定的，按照《管理办法》第二十五条规定追究责任。任何单位和个人有权对相关部门及其工作人员的违法违规行为进行举报；</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4、不具备行政执法资格实施行政处罚的；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5、应当依法移送追究刑事责任，而未依法移送有权机关的；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6</w:t>
            </w:r>
            <w:r>
              <w:rPr>
                <w:rFonts w:hint="eastAsia" w:ascii="仿宋" w:hAnsi="仿宋" w:eastAsia="仿宋" w:cs="仿宋"/>
                <w:b w:val="0"/>
                <w:bCs w:val="0"/>
                <w:color w:val="auto"/>
                <w:sz w:val="18"/>
                <w:szCs w:val="18"/>
                <w:highlight w:val="none"/>
              </w:rPr>
              <w:t>、擅自改变行政处罚种类、幅度的；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7</w:t>
            </w:r>
            <w:r>
              <w:rPr>
                <w:rFonts w:hint="eastAsia" w:ascii="仿宋" w:hAnsi="仿宋" w:eastAsia="仿宋" w:cs="仿宋"/>
                <w:b w:val="0"/>
                <w:bCs w:val="0"/>
                <w:color w:val="auto"/>
                <w:sz w:val="18"/>
                <w:szCs w:val="18"/>
                <w:highlight w:val="none"/>
              </w:rPr>
              <w:t>、违反法定的行政处罚程序的；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8</w:t>
            </w:r>
            <w:r>
              <w:rPr>
                <w:rFonts w:hint="eastAsia" w:ascii="仿宋" w:hAnsi="仿宋" w:eastAsia="仿宋" w:cs="仿宋"/>
                <w:b w:val="0"/>
                <w:bCs w:val="0"/>
                <w:color w:val="auto"/>
                <w:sz w:val="18"/>
                <w:szCs w:val="18"/>
                <w:highlight w:val="none"/>
              </w:rPr>
              <w:t>、符合听证条件、行政管理相对人要求听证，应予组织听证而不组织听证的；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9</w:t>
            </w:r>
            <w:r>
              <w:rPr>
                <w:rFonts w:hint="eastAsia" w:ascii="仿宋" w:hAnsi="仿宋" w:eastAsia="仿宋" w:cs="仿宋"/>
                <w:b w:val="0"/>
                <w:bCs w:val="0"/>
                <w:color w:val="auto"/>
                <w:sz w:val="18"/>
                <w:szCs w:val="18"/>
                <w:highlight w:val="none"/>
              </w:rPr>
              <w:t>、在行政处罚过程中发生腐败行为的；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highlight w:val="none"/>
                <w:lang w:val="en-US" w:eastAsia="zh-CN"/>
              </w:rPr>
              <w:t>10</w:t>
            </w:r>
            <w:r>
              <w:rPr>
                <w:rFonts w:hint="eastAsia" w:ascii="仿宋" w:hAnsi="仿宋" w:eastAsia="仿宋" w:cs="仿宋"/>
                <w:b w:val="0"/>
                <w:bCs w:val="0"/>
                <w:color w:val="auto"/>
                <w:sz w:val="18"/>
                <w:szCs w:val="18"/>
                <w:highlight w:val="none"/>
              </w:rPr>
              <w:t>、其他违反法律法规规章文件规定的行为。</w:t>
            </w:r>
          </w:p>
        </w:tc>
        <w:tc>
          <w:tcPr>
            <w:tcW w:w="700" w:type="dxa"/>
            <w:vAlign w:val="center"/>
          </w:tcPr>
          <w:p>
            <w:pPr>
              <w:tabs>
                <w:tab w:val="left" w:pos="7937"/>
              </w:tabs>
              <w:spacing w:line="200" w:lineRule="exact"/>
              <w:jc w:val="left"/>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3" w:hRule="exact"/>
        </w:trPr>
        <w:tc>
          <w:tcPr>
            <w:tcW w:w="752" w:type="dxa"/>
            <w:vAlign w:val="center"/>
          </w:tcPr>
          <w:p>
            <w:pPr>
              <w:autoSpaceDN w:val="0"/>
              <w:spacing w:line="300" w:lineRule="exact"/>
              <w:jc w:val="center"/>
              <w:textAlignment w:val="center"/>
              <w:rPr>
                <w:rFonts w:hint="eastAsia" w:ascii="仿宋" w:hAnsi="仿宋" w:eastAsia="仿宋" w:cs="仿宋"/>
                <w:b w:val="0"/>
                <w:bCs w:val="0"/>
                <w:color w:val="auto"/>
                <w:sz w:val="18"/>
                <w:szCs w:val="18"/>
                <w:lang w:val="en-US" w:eastAsia="zh-CN"/>
              </w:rPr>
            </w:pPr>
          </w:p>
        </w:tc>
        <w:tc>
          <w:tcPr>
            <w:tcW w:w="1213"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行政处罚</w:t>
            </w:r>
          </w:p>
        </w:tc>
        <w:tc>
          <w:tcPr>
            <w:tcW w:w="1472"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对</w:t>
            </w:r>
            <w:r>
              <w:rPr>
                <w:rFonts w:hint="eastAsia" w:ascii="仿宋" w:hAnsi="仿宋" w:eastAsia="仿宋" w:cs="仿宋"/>
                <w:b w:val="0"/>
                <w:bCs w:val="0"/>
                <w:color w:val="auto"/>
                <w:sz w:val="18"/>
                <w:szCs w:val="18"/>
              </w:rPr>
              <w:t>回收拆解企业</w:t>
            </w:r>
            <w:r>
              <w:rPr>
                <w:rFonts w:hint="eastAsia" w:ascii="仿宋" w:hAnsi="仿宋" w:eastAsia="仿宋" w:cs="仿宋"/>
                <w:b w:val="0"/>
                <w:bCs w:val="0"/>
                <w:color w:val="auto"/>
                <w:sz w:val="18"/>
                <w:szCs w:val="18"/>
                <w:lang w:val="en-US" w:eastAsia="zh-CN"/>
              </w:rPr>
              <w:t>违反</w:t>
            </w:r>
            <w:r>
              <w:rPr>
                <w:rFonts w:hint="eastAsia" w:ascii="仿宋" w:hAnsi="仿宋" w:eastAsia="仿宋" w:cs="仿宋"/>
                <w:b w:val="0"/>
                <w:bCs w:val="0"/>
                <w:color w:val="auto"/>
                <w:sz w:val="18"/>
                <w:szCs w:val="18"/>
              </w:rPr>
              <w:t>《报废机动车回收管理办法实施细则》</w:t>
            </w:r>
            <w:r>
              <w:rPr>
                <w:rFonts w:hint="eastAsia" w:ascii="仿宋" w:hAnsi="仿宋" w:eastAsia="仿宋" w:cs="仿宋"/>
                <w:b w:val="0"/>
                <w:bCs w:val="0"/>
                <w:color w:val="auto"/>
                <w:sz w:val="18"/>
                <w:szCs w:val="18"/>
                <w:lang w:val="en-US" w:eastAsia="zh-CN"/>
              </w:rPr>
              <w:t>的行政处罚</w:t>
            </w:r>
          </w:p>
        </w:tc>
        <w:tc>
          <w:tcPr>
            <w:tcW w:w="1190" w:type="dxa"/>
            <w:vAlign w:val="center"/>
          </w:tcPr>
          <w:p>
            <w:pPr>
              <w:spacing w:line="20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80"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以上地方商务主管部门责令改正，并处3万元罚款；拒不改正或者情节严重的，由原发证部门吊销《资质认定书》。</w:t>
            </w:r>
          </w:p>
          <w:p>
            <w:pPr>
              <w:tabs>
                <w:tab w:val="left" w:pos="7937"/>
              </w:tabs>
              <w:spacing w:line="200" w:lineRule="exact"/>
              <w:ind w:firstLine="344" w:firstLineChars="200"/>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四十六条：违反本细则第二十四条规定，回收拆解企业未建立生产经营全覆盖的电子监控系统，或者录像保存不足1年的，由县级以上地方商务主管部门责令限期改正，整改期间暂停打印《报废机动车回收证明》；情节严重的，处1万元以上3万元以下的罚款。</w:t>
            </w:r>
          </w:p>
          <w:p>
            <w:pPr>
              <w:tabs>
                <w:tab w:val="left" w:pos="7937"/>
              </w:tabs>
              <w:spacing w:line="200" w:lineRule="exact"/>
              <w:ind w:firstLine="344" w:firstLineChars="200"/>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四十八条：违反本细则第二十六条规定，回收拆解企业未按照要求建立报废机动车零部件销售台账并如实记录“五大总成”信息并上传信息系统的，由县级以上地方商务主管部门按照《管理办法》第二十三条规定责令改正，并处1万元以上5万元以下的罚款；情节严重的，责令停业整顿。</w:t>
            </w:r>
          </w:p>
          <w:p>
            <w:pPr>
              <w:tabs>
                <w:tab w:val="left" w:pos="7937"/>
              </w:tabs>
              <w:spacing w:line="200" w:lineRule="exact"/>
              <w:ind w:firstLine="344" w:firstLineChars="200"/>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四十九条：违反本细则第二十七条规定，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由县级以上地方商务主管部门会同工业和信息化主管部门责令改正，并处1万元以上3万元以下的罚款。</w:t>
            </w:r>
          </w:p>
          <w:p>
            <w:pPr>
              <w:tabs>
                <w:tab w:val="left" w:pos="7937"/>
              </w:tabs>
              <w:spacing w:line="200" w:lineRule="exact"/>
              <w:ind w:firstLine="344" w:firstLineChars="200"/>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五十条：违反本细则第二十八条、第二十九条规定，回收拆解企业出售的报废机动车“五大总成”及其他零部件不符合相关要求的，由县级以上地方商务主管部门按照《管理办法》第二十一条规定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w:t>
            </w:r>
          </w:p>
          <w:p>
            <w:pPr>
              <w:tabs>
                <w:tab w:val="left" w:pos="7937"/>
              </w:tabs>
              <w:spacing w:line="200" w:lineRule="exact"/>
              <w:ind w:firstLine="344" w:firstLineChars="200"/>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回收拆解企业将报废机动车“五大总成”及其他零部件出售给或者交予本细则第二十八条、第二十九条规定以外企业处理的，由县级以上地方商务主管部门会同有关部门责令改正，并处1万元以上3万元以下的罚款。</w:t>
            </w:r>
          </w:p>
        </w:tc>
        <w:tc>
          <w:tcPr>
            <w:tcW w:w="292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1、立案责任：发现经营者涉嫌违反本细则第十九条第一款、第二十条、第二十一条规定的，予以审查，决定是否立案。</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7、执行责任：责令限期改正，整改期间暂停打印《报废机动车回收证明》；情节严重的，处1万元以上3万元以下的罚款。</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8、其他法律法规规章文件规定应履行的责任。</w:t>
            </w:r>
          </w:p>
        </w:tc>
        <w:tc>
          <w:tcPr>
            <w:tcW w:w="251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1、没有法律和事实依据实施行政处罚的；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2、行政处罚显失公正的；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3、违反相关规定的，按照《管理办法》第二十五条规定追究责任。任何单位和个人有权对相关部门及其工作人员的违法违规行为进行举报；</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4、不具备行政执法资格实施行政处罚的；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5、应当依法移送追究刑事责任，而未依法移送有权机关的；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6</w:t>
            </w:r>
            <w:r>
              <w:rPr>
                <w:rFonts w:hint="eastAsia" w:ascii="仿宋" w:hAnsi="仿宋" w:eastAsia="仿宋" w:cs="仿宋"/>
                <w:b w:val="0"/>
                <w:bCs w:val="0"/>
                <w:color w:val="auto"/>
                <w:sz w:val="18"/>
                <w:szCs w:val="18"/>
                <w:highlight w:val="none"/>
              </w:rPr>
              <w:t>、擅自改变行政处罚种类、幅度的；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7</w:t>
            </w:r>
            <w:r>
              <w:rPr>
                <w:rFonts w:hint="eastAsia" w:ascii="仿宋" w:hAnsi="仿宋" w:eastAsia="仿宋" w:cs="仿宋"/>
                <w:b w:val="0"/>
                <w:bCs w:val="0"/>
                <w:color w:val="auto"/>
                <w:sz w:val="18"/>
                <w:szCs w:val="18"/>
                <w:highlight w:val="none"/>
              </w:rPr>
              <w:t>、违反法定的行政处罚程序的；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8</w:t>
            </w:r>
            <w:r>
              <w:rPr>
                <w:rFonts w:hint="eastAsia" w:ascii="仿宋" w:hAnsi="仿宋" w:eastAsia="仿宋" w:cs="仿宋"/>
                <w:b w:val="0"/>
                <w:bCs w:val="0"/>
                <w:color w:val="auto"/>
                <w:sz w:val="18"/>
                <w:szCs w:val="18"/>
                <w:highlight w:val="none"/>
              </w:rPr>
              <w:t>、符合听证条件、行政管理相对人要求听证，应予组织听证而不组织听证的；</w:t>
            </w:r>
          </w:p>
          <w:p>
            <w:pPr>
              <w:tabs>
                <w:tab w:val="left" w:pos="7937"/>
              </w:tabs>
              <w:spacing w:line="20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9</w:t>
            </w:r>
            <w:r>
              <w:rPr>
                <w:rFonts w:hint="eastAsia" w:ascii="仿宋" w:hAnsi="仿宋" w:eastAsia="仿宋" w:cs="仿宋"/>
                <w:b w:val="0"/>
                <w:bCs w:val="0"/>
                <w:color w:val="auto"/>
                <w:sz w:val="18"/>
                <w:szCs w:val="18"/>
                <w:highlight w:val="none"/>
              </w:rPr>
              <w:t>、在行政处罚过程中发生腐败行为的；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highlight w:val="none"/>
                <w:lang w:val="en-US" w:eastAsia="zh-CN"/>
              </w:rPr>
              <w:t>10</w:t>
            </w:r>
            <w:r>
              <w:rPr>
                <w:rFonts w:hint="eastAsia" w:ascii="仿宋" w:hAnsi="仿宋" w:eastAsia="仿宋" w:cs="仿宋"/>
                <w:b w:val="0"/>
                <w:bCs w:val="0"/>
                <w:color w:val="auto"/>
                <w:sz w:val="18"/>
                <w:szCs w:val="18"/>
                <w:highlight w:val="none"/>
              </w:rPr>
              <w:t>、其他违反法律法规规章文件规定的行为。</w:t>
            </w:r>
          </w:p>
        </w:tc>
        <w:tc>
          <w:tcPr>
            <w:tcW w:w="700" w:type="dxa"/>
            <w:vAlign w:val="center"/>
          </w:tcPr>
          <w:p>
            <w:pPr>
              <w:tabs>
                <w:tab w:val="left" w:pos="7937"/>
              </w:tabs>
              <w:spacing w:line="200" w:lineRule="exact"/>
              <w:jc w:val="left"/>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1" w:hRule="exact"/>
        </w:trPr>
        <w:tc>
          <w:tcPr>
            <w:tcW w:w="752" w:type="dxa"/>
            <w:vAlign w:val="center"/>
          </w:tcPr>
          <w:p>
            <w:pPr>
              <w:autoSpaceDN w:val="0"/>
              <w:spacing w:line="300" w:lineRule="exact"/>
              <w:jc w:val="center"/>
              <w:textAlignment w:val="center"/>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20</w:t>
            </w:r>
          </w:p>
        </w:tc>
        <w:tc>
          <w:tcPr>
            <w:tcW w:w="1213"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行政处罚</w:t>
            </w:r>
          </w:p>
        </w:tc>
        <w:tc>
          <w:tcPr>
            <w:tcW w:w="1472"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_GB2312"/>
                <w:b w:val="0"/>
                <w:bCs w:val="0"/>
                <w:color w:val="auto"/>
                <w:sz w:val="18"/>
                <w:szCs w:val="18"/>
              </w:rPr>
              <w:t>对商务领域经营者未遵守国家关于禁限使用不可降解塑料袋等一次性塑料制品规定行为的行政处罚</w:t>
            </w:r>
          </w:p>
        </w:tc>
        <w:tc>
          <w:tcPr>
            <w:tcW w:w="1190" w:type="dxa"/>
            <w:vAlign w:val="center"/>
          </w:tcPr>
          <w:p>
            <w:pPr>
              <w:spacing w:line="20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80"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《商务领域经营者使用、报告一次性塑料制品管理办法》第二十五条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商务领域经营者未遵守国家禁限使用规定的，由县级以上地方商务主管部门责令限期改正，限期不改正的，处一万元以上十万元以下的罚款。</w:t>
            </w:r>
          </w:p>
        </w:tc>
        <w:tc>
          <w:tcPr>
            <w:tcW w:w="292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1、立案责任：发现经营者涉嫌违反本细则第二十五条规定的，予以审查，决定是否立案。</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7、执行责任：责令改正，商务领域经营者未遵守国家禁限使用规定的，由县级以上地方商务主管部门责令限期改正，限期不改正的，处一万元以上十万元以下的罚款。</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8、其他法律法规规章文件规定应履行的责任。</w:t>
            </w:r>
          </w:p>
        </w:tc>
        <w:tc>
          <w:tcPr>
            <w:tcW w:w="251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1、没有法律和事实依据实施行政处罚的；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2、行政处罚显失公正的；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3、违反相关规定的，任何单位和个人有权对相关部门及其工作人员的违法违规行为进行举报；</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4、不具备行政执法资格实施行政处罚的；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5、应当依法移送追究刑事责任，而未依法移送有权机关的；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6、擅自改变行政处罚种类、幅度的；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7、违反法定的行政处罚程序的；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8、符合听证条件、行政管理相对人要求听证，应予组织听证而不组织听证的；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9、在行政处罚过程中发生腐败行为的；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10、其他违反法律法规规章文件规定的行为。</w:t>
            </w:r>
          </w:p>
        </w:tc>
        <w:tc>
          <w:tcPr>
            <w:tcW w:w="700" w:type="dxa"/>
            <w:vAlign w:val="center"/>
          </w:tcPr>
          <w:p>
            <w:pPr>
              <w:tabs>
                <w:tab w:val="left" w:pos="7937"/>
              </w:tabs>
              <w:spacing w:line="200" w:lineRule="exact"/>
              <w:jc w:val="left"/>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6" w:hRule="exact"/>
        </w:trPr>
        <w:tc>
          <w:tcPr>
            <w:tcW w:w="752" w:type="dxa"/>
            <w:vAlign w:val="center"/>
          </w:tcPr>
          <w:p>
            <w:pPr>
              <w:autoSpaceDN w:val="0"/>
              <w:spacing w:line="300" w:lineRule="exact"/>
              <w:jc w:val="center"/>
              <w:textAlignment w:val="center"/>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21</w:t>
            </w:r>
          </w:p>
        </w:tc>
        <w:tc>
          <w:tcPr>
            <w:tcW w:w="1213"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行政处罚</w:t>
            </w:r>
          </w:p>
        </w:tc>
        <w:tc>
          <w:tcPr>
            <w:tcW w:w="1472" w:type="dxa"/>
            <w:vAlign w:val="center"/>
          </w:tcPr>
          <w:p>
            <w:pPr>
              <w:tabs>
                <w:tab w:val="left" w:pos="7937"/>
              </w:tabs>
              <w:spacing w:line="200" w:lineRule="exact"/>
              <w:jc w:val="left"/>
              <w:rPr>
                <w:rFonts w:hint="eastAsia" w:ascii="仿宋_GB2312"/>
                <w:b w:val="0"/>
                <w:bCs w:val="0"/>
                <w:color w:val="auto"/>
                <w:sz w:val="18"/>
                <w:szCs w:val="18"/>
              </w:rPr>
            </w:pPr>
            <w:r>
              <w:rPr>
                <w:rFonts w:hint="eastAsia" w:ascii="仿宋_GB2312"/>
                <w:b w:val="0"/>
                <w:bCs w:val="0"/>
                <w:color w:val="auto"/>
                <w:sz w:val="18"/>
                <w:szCs w:val="18"/>
              </w:rPr>
              <w:t>对商品零售场所开办单位、电子商务平台（含外卖平台）企业、外卖企业违反</w:t>
            </w:r>
            <w:r>
              <w:rPr>
                <w:rFonts w:hint="eastAsia" w:ascii="仿宋" w:hAnsi="仿宋" w:eastAsia="仿宋" w:cs="仿宋"/>
                <w:b w:val="0"/>
                <w:bCs w:val="0"/>
                <w:color w:val="auto"/>
                <w:sz w:val="18"/>
                <w:szCs w:val="18"/>
              </w:rPr>
              <w:t>《商务领域经营者使用、报告一次性塑料制品管理办法》</w:t>
            </w:r>
            <w:r>
              <w:rPr>
                <w:rFonts w:hint="eastAsia" w:ascii="仿宋_GB2312"/>
                <w:b w:val="0"/>
                <w:bCs w:val="0"/>
                <w:color w:val="auto"/>
                <w:sz w:val="18"/>
                <w:szCs w:val="18"/>
              </w:rPr>
              <w:t>第十六条、第十七条、第十八条第一款和第二款、第十九条规定，未按照本办法报告一次性塑料制品使用情况的行政处罚</w:t>
            </w:r>
          </w:p>
        </w:tc>
        <w:tc>
          <w:tcPr>
            <w:tcW w:w="1190" w:type="dxa"/>
            <w:vAlign w:val="center"/>
          </w:tcPr>
          <w:p>
            <w:pPr>
              <w:spacing w:line="200" w:lineRule="exact"/>
              <w:jc w:val="center"/>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唐山市开平区商务和投资促进局</w:t>
            </w:r>
          </w:p>
        </w:tc>
        <w:tc>
          <w:tcPr>
            <w:tcW w:w="3480"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《商务领域经营者使用、报告一次性塑料制品管理办法》第二十六条 </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违反本办法第十六条、第十七条、第十八条第一款和第二款、第十九条规定，商品零售场所开办单位、电子商务平台（含外卖平台）企业、外卖企业未按照本办法报告一次性塑料制品使用情况的，由县级以上地方商务主管部门责令限期改正，限期不改正的，处一万元以上十万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right="0" w:firstLine="344" w:firstLineChars="200"/>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第十六</w:t>
            </w:r>
            <w:r>
              <w:rPr>
                <w:rFonts w:hint="eastAsia" w:ascii="仿宋" w:hAnsi="仿宋" w:eastAsia="仿宋" w:cs="仿宋"/>
                <w:b w:val="0"/>
                <w:bCs w:val="0"/>
                <w:color w:val="auto"/>
                <w:sz w:val="18"/>
                <w:szCs w:val="18"/>
                <w:lang w:eastAsia="zh-CN"/>
              </w:rPr>
              <w:t>：</w:t>
            </w:r>
            <w:r>
              <w:rPr>
                <w:rFonts w:hint="default" w:ascii="仿宋" w:hAnsi="仿宋" w:eastAsia="仿宋" w:cs="仿宋"/>
                <w:b w:val="0"/>
                <w:bCs w:val="0"/>
                <w:color w:val="auto"/>
                <w:kern w:val="2"/>
                <w:sz w:val="18"/>
                <w:szCs w:val="18"/>
                <w:lang w:val="en-US" w:eastAsia="zh-CN" w:bidi="ar-SA"/>
              </w:rPr>
              <w:t>商品零售场所开办单位、电子商务平台（含外卖平台）企业、外卖企业应当通过商务部建立的全国一次性塑料制品使用、回收报告系统，向所在地县级商务主管部门报告一次性塑料制品使用、回收情况。报告每半年一次，上半年报告应于当年7月31日前完成，下半年报告应于次年的1月31日前完成。一次性塑料制品报告范围根据国家相关规定动态调整。报告应当真实、完整，不得含有虚假内容，不得有重大遗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right="0" w:firstLine="344" w:firstLineChars="200"/>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第十七条</w:t>
            </w:r>
            <w:r>
              <w:rPr>
                <w:rFonts w:hint="eastAsia" w:ascii="仿宋" w:hAnsi="仿宋" w:eastAsia="仿宋" w:cs="仿宋"/>
                <w:b w:val="0"/>
                <w:bCs w:val="0"/>
                <w:color w:val="auto"/>
                <w:sz w:val="18"/>
                <w:szCs w:val="18"/>
                <w:lang w:eastAsia="zh-CN"/>
              </w:rPr>
              <w:t>：</w:t>
            </w:r>
            <w:r>
              <w:rPr>
                <w:rFonts w:hint="default" w:ascii="仿宋" w:hAnsi="仿宋" w:eastAsia="仿宋" w:cs="仿宋"/>
                <w:b w:val="0"/>
                <w:bCs w:val="0"/>
                <w:color w:val="auto"/>
                <w:kern w:val="2"/>
                <w:sz w:val="18"/>
                <w:szCs w:val="18"/>
                <w:lang w:val="en-US" w:eastAsia="zh-CN" w:bidi="ar-SA"/>
              </w:rPr>
              <w:t>商品零售场所开办单位报告其自营、联营及其场所内经营者塑料购物袋有偿使用情况、塑料废弃物回收情况和场所内经营者作出自律承诺的情况。商品零售场所内存在不同企业法人的商品零售场所开办单位的，开办单位分别报告各自情况。鼓励商品零售场所开办单位报告范围外的商品零售经营者报告塑料购物袋有偿使用情况和塑料废弃物回收情况。</w:t>
            </w:r>
          </w:p>
          <w:p>
            <w:pPr>
              <w:tabs>
                <w:tab w:val="left" w:pos="7937"/>
              </w:tabs>
              <w:spacing w:line="200" w:lineRule="exact"/>
              <w:ind w:firstLine="344" w:firstLineChars="200"/>
              <w:jc w:val="lef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rPr>
              <w:t>第十八条第一款</w:t>
            </w:r>
            <w:r>
              <w:rPr>
                <w:rFonts w:hint="eastAsia" w:ascii="仿宋" w:hAnsi="仿宋" w:eastAsia="仿宋" w:cs="仿宋"/>
                <w:b w:val="0"/>
                <w:bCs w:val="0"/>
                <w:color w:val="auto"/>
                <w:sz w:val="18"/>
                <w:szCs w:val="18"/>
                <w:lang w:eastAsia="zh-CN"/>
              </w:rPr>
              <w:t>：</w:t>
            </w:r>
            <w:r>
              <w:rPr>
                <w:rFonts w:hint="default" w:ascii="仿宋" w:hAnsi="仿宋" w:eastAsia="仿宋" w:cs="仿宋"/>
                <w:b w:val="0"/>
                <w:bCs w:val="0"/>
                <w:color w:val="auto"/>
                <w:kern w:val="2"/>
                <w:sz w:val="18"/>
                <w:szCs w:val="18"/>
                <w:lang w:val="en-US" w:eastAsia="zh-CN" w:bidi="ar-SA"/>
              </w:rPr>
              <w:t>电子商务平台企业报告其自营业务产生的快递塑料包装（含塑料包装袋、塑料胶带、一次性塑料编织袋等）的使用情况、塑料废弃物回收情况和平台内经营者作出自律承诺的情况。外卖平台企业报告其自营业务产生的塑料购物袋、一次性塑料餐具（刀、叉、勺）、一次性可降解塑料吸管的使用情况、塑料废弃物回收情况和平台内经营者作出自律承诺的情况。</w:t>
            </w:r>
            <w:r>
              <w:rPr>
                <w:rFonts w:hint="eastAsia" w:ascii="仿宋" w:hAnsi="仿宋" w:eastAsia="仿宋" w:cs="仿宋"/>
                <w:b w:val="0"/>
                <w:bCs w:val="0"/>
                <w:color w:val="auto"/>
                <w:sz w:val="18"/>
                <w:szCs w:val="18"/>
              </w:rPr>
              <w:t>第二款</w:t>
            </w:r>
            <w:r>
              <w:rPr>
                <w:rFonts w:hint="eastAsia" w:ascii="仿宋" w:hAnsi="仿宋" w:eastAsia="仿宋" w:cs="仿宋"/>
                <w:b w:val="0"/>
                <w:bCs w:val="0"/>
                <w:color w:val="auto"/>
                <w:sz w:val="18"/>
                <w:szCs w:val="18"/>
                <w:lang w:eastAsia="zh-CN"/>
              </w:rPr>
              <w:t>：</w:t>
            </w:r>
            <w:r>
              <w:rPr>
                <w:rFonts w:hint="default" w:ascii="仿宋" w:hAnsi="仿宋" w:eastAsia="仿宋" w:cs="仿宋"/>
                <w:b w:val="0"/>
                <w:bCs w:val="0"/>
                <w:color w:val="auto"/>
                <w:kern w:val="2"/>
                <w:sz w:val="18"/>
                <w:szCs w:val="18"/>
                <w:lang w:val="en-US" w:eastAsia="zh-CN" w:bidi="ar-SA"/>
              </w:rPr>
              <w:t>电子商务平台企业、外卖平台企业参照前款报告客体，对平台内经营者一次性塑料制品使用、回收情况应当按照报告期开展总体评估，并向所在地县级商务主管部门报告。总体评估报告包括平台企业制定鼓励平台内经营者减少上述一次性塑料制品使用的平台规则、采取的相关治理措施、开展的宣传推广活动、平台内经营者取得的减量成效等。外</w:t>
            </w:r>
          </w:p>
        </w:tc>
        <w:tc>
          <w:tcPr>
            <w:tcW w:w="292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1、立案责任：发现经营者涉嫌违反本细则第二十六条规定的，予以审查，决定是否立案。</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7、执行责任：责令改正，</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商务领域经营者使用、报告一次性塑料制品管理办法》第二十六条 ，违反本办法第十六条、第十七条、第十八条第一款和第二款、第十九条规定，商品零售场所开办单位、电子商务平台（含外卖平台）企业、外卖企业未按照本办法报告一次性塑料制品使用情况的，由县级以上地方商务主管部门责令限期改正，限期不改正的，处一万元以上十万元以下的罚款。</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8、其他法律法规规章文件规定应履行的责任。</w:t>
            </w:r>
          </w:p>
        </w:tc>
        <w:tc>
          <w:tcPr>
            <w:tcW w:w="251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1、没有法律和事实依据实施行政处罚的；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2、行政处罚显失公正的；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3、违反相关规定的，任何单位和个人有权对相关部门及其工作人员的违法违规行为进行举报；</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4、不具备行政执法资格实施行政处罚的；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5、应当依法移送追究刑事责任，而未依法移送有权机关的；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6、擅自改变行政处罚种类、幅度的；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7、违反法定的行政处罚程序的；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8、符合听证条件、行政管理相对人要求听证，应予组织听证而不组织听证的；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9、在行政处罚过程中发生腐败行为的；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10、其他违反法律法规规章文件规定的行为。</w:t>
            </w:r>
          </w:p>
        </w:tc>
        <w:tc>
          <w:tcPr>
            <w:tcW w:w="700" w:type="dxa"/>
            <w:vAlign w:val="center"/>
          </w:tcPr>
          <w:p>
            <w:pPr>
              <w:tabs>
                <w:tab w:val="left" w:pos="7937"/>
              </w:tabs>
              <w:spacing w:line="200" w:lineRule="exact"/>
              <w:jc w:val="left"/>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6" w:hRule="exact"/>
        </w:trPr>
        <w:tc>
          <w:tcPr>
            <w:tcW w:w="752" w:type="dxa"/>
            <w:vAlign w:val="center"/>
          </w:tcPr>
          <w:p>
            <w:pPr>
              <w:autoSpaceDN w:val="0"/>
              <w:spacing w:line="300" w:lineRule="exact"/>
              <w:jc w:val="center"/>
              <w:textAlignment w:val="center"/>
              <w:rPr>
                <w:rFonts w:hint="eastAsia" w:ascii="仿宋" w:hAnsi="仿宋" w:eastAsia="仿宋" w:cs="仿宋"/>
                <w:b w:val="0"/>
                <w:bCs w:val="0"/>
                <w:color w:val="auto"/>
                <w:sz w:val="18"/>
                <w:szCs w:val="18"/>
                <w:lang w:val="en-US" w:eastAsia="zh-CN"/>
              </w:rPr>
            </w:pPr>
          </w:p>
        </w:tc>
        <w:tc>
          <w:tcPr>
            <w:tcW w:w="1213"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行政处罚</w:t>
            </w:r>
          </w:p>
        </w:tc>
        <w:tc>
          <w:tcPr>
            <w:tcW w:w="1472" w:type="dxa"/>
            <w:vAlign w:val="center"/>
          </w:tcPr>
          <w:p>
            <w:pPr>
              <w:tabs>
                <w:tab w:val="left" w:pos="7937"/>
              </w:tabs>
              <w:spacing w:line="200" w:lineRule="exact"/>
              <w:jc w:val="left"/>
              <w:rPr>
                <w:rFonts w:hint="eastAsia" w:ascii="仿宋" w:hAnsi="仿宋" w:eastAsia="仿宋" w:cs="仿宋"/>
                <w:b w:val="0"/>
                <w:bCs w:val="0"/>
                <w:color w:val="auto"/>
                <w:sz w:val="18"/>
                <w:szCs w:val="18"/>
                <w:lang w:val="en-US" w:eastAsia="zh-CN"/>
              </w:rPr>
            </w:pPr>
            <w:r>
              <w:rPr>
                <w:rFonts w:hint="eastAsia" w:ascii="仿宋_GB2312"/>
                <w:b w:val="0"/>
                <w:bCs w:val="0"/>
                <w:color w:val="auto"/>
                <w:sz w:val="18"/>
                <w:szCs w:val="18"/>
              </w:rPr>
              <w:t>对商品零售场所开办单位、电子商务平台（含外卖平台）企业、外卖企业违反</w:t>
            </w:r>
            <w:r>
              <w:rPr>
                <w:rFonts w:hint="eastAsia" w:ascii="仿宋" w:hAnsi="仿宋" w:eastAsia="仿宋" w:cs="仿宋"/>
                <w:b w:val="0"/>
                <w:bCs w:val="0"/>
                <w:color w:val="auto"/>
                <w:sz w:val="18"/>
                <w:szCs w:val="18"/>
              </w:rPr>
              <w:t>《商务领域经营者使用、报告一次性塑料制品管理办法》</w:t>
            </w:r>
            <w:r>
              <w:rPr>
                <w:rFonts w:hint="eastAsia" w:ascii="仿宋_GB2312"/>
                <w:b w:val="0"/>
                <w:bCs w:val="0"/>
                <w:color w:val="auto"/>
                <w:sz w:val="18"/>
                <w:szCs w:val="18"/>
              </w:rPr>
              <w:t>第十六条、第十七条、第十八条第一款和第二款、第十九条规定，未按照本办法报告一次性塑料制品使用情况的行政处罚</w:t>
            </w:r>
          </w:p>
        </w:tc>
        <w:tc>
          <w:tcPr>
            <w:tcW w:w="1190" w:type="dxa"/>
            <w:vAlign w:val="center"/>
          </w:tcPr>
          <w:p>
            <w:pPr>
              <w:spacing w:line="20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80" w:type="dxa"/>
            <w:vAlign w:val="top"/>
          </w:tcPr>
          <w:p>
            <w:pPr>
              <w:tabs>
                <w:tab w:val="left" w:pos="7937"/>
              </w:tabs>
              <w:spacing w:line="200" w:lineRule="exact"/>
              <w:jc w:val="both"/>
              <w:rPr>
                <w:rFonts w:hint="eastAsia" w:ascii="仿宋" w:hAnsi="仿宋" w:eastAsia="仿宋" w:cs="仿宋"/>
                <w:b w:val="0"/>
                <w:bCs w:val="0"/>
                <w:color w:val="auto"/>
                <w:sz w:val="18"/>
                <w:szCs w:val="18"/>
                <w:lang w:val="en-US" w:eastAsia="zh-CN"/>
              </w:rPr>
            </w:pPr>
            <w:r>
              <w:rPr>
                <w:rFonts w:hint="default" w:ascii="仿宋" w:hAnsi="仿宋" w:eastAsia="仿宋" w:cs="仿宋"/>
                <w:b w:val="0"/>
                <w:bCs w:val="0"/>
                <w:color w:val="auto"/>
                <w:kern w:val="2"/>
                <w:sz w:val="18"/>
                <w:szCs w:val="18"/>
                <w:lang w:val="en-US" w:eastAsia="zh-CN" w:bidi="ar-SA"/>
              </w:rPr>
              <w:t>卖平台企业除评估报告以上内容外，还应当报告其平台内经营者对上述一次性塑料制品有偿使用评估情况。</w:t>
            </w:r>
          </w:p>
          <w:p>
            <w:pPr>
              <w:tabs>
                <w:tab w:val="left" w:pos="7937"/>
              </w:tabs>
              <w:spacing w:line="200" w:lineRule="exact"/>
              <w:ind w:firstLine="344" w:firstLineChars="200"/>
              <w:jc w:val="both"/>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第十九条</w:t>
            </w:r>
            <w:r>
              <w:rPr>
                <w:rFonts w:hint="eastAsia" w:ascii="仿宋" w:hAnsi="仿宋" w:eastAsia="仿宋" w:cs="仿宋"/>
                <w:b w:val="0"/>
                <w:bCs w:val="0"/>
                <w:color w:val="auto"/>
                <w:sz w:val="18"/>
                <w:szCs w:val="18"/>
                <w:lang w:eastAsia="zh-CN"/>
              </w:rPr>
              <w:t>：</w:t>
            </w:r>
            <w:r>
              <w:rPr>
                <w:rFonts w:hint="default" w:ascii="仿宋" w:hAnsi="仿宋" w:eastAsia="仿宋" w:cs="仿宋"/>
                <w:b w:val="0"/>
                <w:bCs w:val="0"/>
                <w:color w:val="auto"/>
                <w:kern w:val="2"/>
                <w:sz w:val="18"/>
                <w:szCs w:val="18"/>
                <w:lang w:val="en-US" w:eastAsia="zh-CN" w:bidi="ar-SA"/>
              </w:rPr>
              <w:t>外卖企业报告塑料购物袋、一次性塑料餐具（刀、叉、勺）、一次性可降解塑料吸管使用情况和塑料废弃物回收情况。外卖企业报告数据不区分店内即时消费与外卖业务。商品零售场所开办单位提供外卖服务的，按照本办法第十七条和本条规定合并报告。</w:t>
            </w:r>
          </w:p>
          <w:p>
            <w:pPr>
              <w:tabs>
                <w:tab w:val="left" w:pos="7937"/>
              </w:tabs>
              <w:spacing w:line="200" w:lineRule="exact"/>
              <w:jc w:val="both"/>
              <w:rPr>
                <w:rFonts w:hint="eastAsia" w:ascii="仿宋" w:hAnsi="仿宋" w:eastAsia="仿宋" w:cs="仿宋"/>
                <w:b w:val="0"/>
                <w:bCs w:val="0"/>
                <w:color w:val="auto"/>
                <w:sz w:val="18"/>
                <w:szCs w:val="18"/>
                <w:lang w:val="en-US" w:eastAsia="zh-CN"/>
              </w:rPr>
            </w:pPr>
          </w:p>
        </w:tc>
        <w:tc>
          <w:tcPr>
            <w:tcW w:w="292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1、立案责任：发现经营者涉嫌违反本细则第二十六条规定的，予以审查，决定是否立案。</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7、执行责任：责令改正，</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商务领域经营者使用、报告一次性塑料制品管理办法》第二十六条 ，违反本办法第十六条、第十七条、第十八条第一款和第二款、第十九条规定，商品零售场所开办单位、电子商务平台（含外卖平台）企业、外卖企业未按照本办法报告一次性塑料制品使用情况的，由县级以上地方商务主管部门责令限期改正，限期不改正的，处一万元以上十万元以下的罚款。</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8、其他法律法规规章文件规定应履行的责任。</w:t>
            </w:r>
          </w:p>
        </w:tc>
        <w:tc>
          <w:tcPr>
            <w:tcW w:w="251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1、没有法律和事实依据实施行政处罚的；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2、行政处罚显失公正的；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3、违反相关规定的，任何单位和个人有权对相关部门及其工作人员的违法违规行为进行举报；</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4、不具备行政执法资格实施行政处罚的；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5、应当依法移送追究刑事责任，而未依法移送有权机关的；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6、擅自改变行政处罚种类、幅度的；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7、违反法定的行政处罚程序的；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8、符合听证条件、行政管理相对人要求听证，应予组织听证而不组织听证的；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9、在行政处罚过程中发生腐败行为的；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10、其他违反法律法规规章文件规定的行为。</w:t>
            </w:r>
          </w:p>
        </w:tc>
        <w:tc>
          <w:tcPr>
            <w:tcW w:w="700" w:type="dxa"/>
            <w:vAlign w:val="center"/>
          </w:tcPr>
          <w:p>
            <w:pPr>
              <w:tabs>
                <w:tab w:val="left" w:pos="7937"/>
              </w:tabs>
              <w:spacing w:line="200" w:lineRule="exact"/>
              <w:jc w:val="left"/>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1" w:hRule="exact"/>
        </w:trPr>
        <w:tc>
          <w:tcPr>
            <w:tcW w:w="752" w:type="dxa"/>
            <w:vAlign w:val="center"/>
          </w:tcPr>
          <w:p>
            <w:pPr>
              <w:tabs>
                <w:tab w:val="left" w:pos="7937"/>
              </w:tabs>
              <w:spacing w:line="200" w:lineRule="exact"/>
              <w:jc w:val="center"/>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22</w:t>
            </w:r>
          </w:p>
        </w:tc>
        <w:tc>
          <w:tcPr>
            <w:tcW w:w="1213"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行政处罚</w:t>
            </w:r>
          </w:p>
        </w:tc>
        <w:tc>
          <w:tcPr>
            <w:tcW w:w="1472"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对外国投资者或者外商投资企业未按照要求报送投资信息且逾期未补报的行政处罚</w:t>
            </w:r>
          </w:p>
        </w:tc>
        <w:tc>
          <w:tcPr>
            <w:tcW w:w="1190" w:type="dxa"/>
            <w:vAlign w:val="center"/>
          </w:tcPr>
          <w:p>
            <w:pPr>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唐山市开平区商务和投资促进局</w:t>
            </w:r>
          </w:p>
        </w:tc>
        <w:tc>
          <w:tcPr>
            <w:tcW w:w="3480" w:type="dxa"/>
            <w:vAlign w:val="center"/>
          </w:tcPr>
          <w:p>
            <w:pPr>
              <w:keepNext w:val="0"/>
              <w:keepLines w:val="0"/>
              <w:pageBreakBefore w:val="0"/>
              <w:widowControl w:val="0"/>
              <w:tabs>
                <w:tab w:val="left" w:pos="7937"/>
              </w:tabs>
              <w:kinsoku/>
              <w:wordWrap/>
              <w:overflowPunct/>
              <w:topLinePunct w:val="0"/>
              <w:autoSpaceDE/>
              <w:autoSpaceDN/>
              <w:bidi w:val="0"/>
              <w:adjustRightInd/>
              <w:snapToGrid/>
              <w:spacing w:line="200" w:lineRule="exact"/>
              <w:jc w:val="left"/>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外商投资信息报告办法》（商务部、市场监管总局2019年第2号）第二十五条：外国投资者或者外商投资企业未按照本办法要求报送投资信息，且在商务主管部门通知后未按照本办法第十九条予以补报或更正的，由商务主管部门责令其于20个工作日内改正；逾期不改正的，处十万元以上三十万元以下罚款；逾期不改正且存在以下情形的，处三十万元以上五十万元以下罚款：</w:t>
            </w:r>
          </w:p>
          <w:p>
            <w:pPr>
              <w:keepNext w:val="0"/>
              <w:keepLines w:val="0"/>
              <w:pageBreakBefore w:val="0"/>
              <w:widowControl w:val="0"/>
              <w:tabs>
                <w:tab w:val="left" w:pos="7937"/>
              </w:tabs>
              <w:kinsoku/>
              <w:wordWrap/>
              <w:overflowPunct/>
              <w:topLinePunct w:val="0"/>
              <w:autoSpaceDE/>
              <w:autoSpaceDN/>
              <w:bidi w:val="0"/>
              <w:adjustRightInd/>
              <w:snapToGrid/>
              <w:spacing w:line="200" w:lineRule="exact"/>
              <w:ind w:firstLine="344" w:firstLineChars="200"/>
              <w:jc w:val="left"/>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（一）外国投资者或者外商投资企业故意逃避履行信息报告义务，或在进行信息报告时隐瞒真实情况、提供误导性或虚假信息；</w:t>
            </w:r>
          </w:p>
          <w:p>
            <w:pPr>
              <w:keepNext w:val="0"/>
              <w:keepLines w:val="0"/>
              <w:pageBreakBefore w:val="0"/>
              <w:widowControl w:val="0"/>
              <w:tabs>
                <w:tab w:val="left" w:pos="7937"/>
              </w:tabs>
              <w:kinsoku/>
              <w:wordWrap/>
              <w:overflowPunct/>
              <w:topLinePunct w:val="0"/>
              <w:autoSpaceDE/>
              <w:autoSpaceDN/>
              <w:bidi w:val="0"/>
              <w:adjustRightInd/>
              <w:snapToGrid/>
              <w:spacing w:line="200" w:lineRule="exact"/>
              <w:ind w:firstLine="344" w:firstLineChars="200"/>
              <w:jc w:val="left"/>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（二）外国投资者或者外商投资企业就所属行业、是否涉及外商投资准入特别管理措施、企业投资者及其实际控制人等重要信息报送错误；</w:t>
            </w:r>
          </w:p>
          <w:p>
            <w:pPr>
              <w:keepNext w:val="0"/>
              <w:keepLines w:val="0"/>
              <w:pageBreakBefore w:val="0"/>
              <w:widowControl w:val="0"/>
              <w:tabs>
                <w:tab w:val="left" w:pos="7937"/>
              </w:tabs>
              <w:kinsoku/>
              <w:wordWrap/>
              <w:overflowPunct/>
              <w:topLinePunct w:val="0"/>
              <w:autoSpaceDE/>
              <w:autoSpaceDN/>
              <w:bidi w:val="0"/>
              <w:adjustRightInd/>
              <w:snapToGrid/>
              <w:spacing w:line="200" w:lineRule="exact"/>
              <w:ind w:firstLine="344" w:firstLineChars="200"/>
              <w:jc w:val="left"/>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（三）外国投资者或者外商投资企业未按照本办法要求报送投资信息，并因此受到行政处罚的，两年内再次违反本办法有关要求；</w:t>
            </w:r>
          </w:p>
          <w:p>
            <w:pPr>
              <w:keepNext w:val="0"/>
              <w:keepLines w:val="0"/>
              <w:pageBreakBefore w:val="0"/>
              <w:widowControl w:val="0"/>
              <w:tabs>
                <w:tab w:val="left" w:pos="7937"/>
              </w:tabs>
              <w:kinsoku/>
              <w:wordWrap/>
              <w:overflowPunct/>
              <w:topLinePunct w:val="0"/>
              <w:autoSpaceDE/>
              <w:autoSpaceDN/>
              <w:bidi w:val="0"/>
              <w:adjustRightInd/>
              <w:snapToGrid/>
              <w:spacing w:line="200" w:lineRule="exact"/>
              <w:ind w:firstLine="344" w:firstLineChars="200"/>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（四）商务主管部门认定的其他严重情形。</w:t>
            </w:r>
          </w:p>
        </w:tc>
        <w:tc>
          <w:tcPr>
            <w:tcW w:w="2925" w:type="dxa"/>
            <w:vAlign w:val="center"/>
          </w:tcPr>
          <w:p>
            <w:pPr>
              <w:keepNext w:val="0"/>
              <w:keepLines w:val="0"/>
              <w:pageBreakBefore w:val="0"/>
              <w:widowControl w:val="0"/>
              <w:tabs>
                <w:tab w:val="left" w:pos="7937"/>
              </w:tabs>
              <w:kinsoku/>
              <w:wordWrap/>
              <w:overflowPunct/>
              <w:topLinePunct w:val="0"/>
              <w:autoSpaceDE/>
              <w:autoSpaceDN/>
              <w:bidi w:val="0"/>
              <w:adjustRightInd/>
              <w:snapToGrid/>
              <w:spacing w:line="200" w:lineRule="exact"/>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1、立案责任：发现</w:t>
            </w:r>
            <w:r>
              <w:rPr>
                <w:rFonts w:hint="eastAsia" w:ascii="仿宋" w:hAnsi="仿宋" w:eastAsia="仿宋" w:cs="仿宋"/>
                <w:b w:val="0"/>
                <w:bCs w:val="0"/>
                <w:color w:val="auto"/>
                <w:sz w:val="18"/>
                <w:szCs w:val="18"/>
                <w:lang w:val="en-US" w:eastAsia="zh-CN"/>
              </w:rPr>
              <w:t>外国投资者或者外商投资企业</w:t>
            </w:r>
            <w:r>
              <w:rPr>
                <w:rFonts w:hint="eastAsia" w:ascii="仿宋" w:hAnsi="仿宋" w:eastAsia="仿宋" w:cs="仿宋"/>
                <w:b w:val="0"/>
                <w:bCs w:val="0"/>
                <w:color w:val="auto"/>
                <w:sz w:val="18"/>
                <w:szCs w:val="18"/>
              </w:rPr>
              <w:t>违反本</w:t>
            </w:r>
            <w:r>
              <w:rPr>
                <w:rFonts w:hint="eastAsia" w:ascii="仿宋" w:hAnsi="仿宋" w:eastAsia="仿宋" w:cs="仿宋"/>
                <w:b w:val="0"/>
                <w:bCs w:val="0"/>
                <w:color w:val="auto"/>
                <w:sz w:val="18"/>
                <w:szCs w:val="18"/>
                <w:lang w:val="en-US" w:eastAsia="zh-CN"/>
              </w:rPr>
              <w:t>办法</w:t>
            </w:r>
            <w:r>
              <w:rPr>
                <w:rFonts w:hint="eastAsia" w:ascii="仿宋" w:hAnsi="仿宋" w:eastAsia="仿宋" w:cs="仿宋"/>
                <w:b w:val="0"/>
                <w:bCs w:val="0"/>
                <w:color w:val="auto"/>
                <w:sz w:val="18"/>
                <w:szCs w:val="18"/>
              </w:rPr>
              <w:t>第二十</w:t>
            </w:r>
            <w:r>
              <w:rPr>
                <w:rFonts w:hint="eastAsia" w:ascii="仿宋" w:hAnsi="仿宋" w:eastAsia="仿宋" w:cs="仿宋"/>
                <w:b w:val="0"/>
                <w:bCs w:val="0"/>
                <w:color w:val="auto"/>
                <w:sz w:val="18"/>
                <w:szCs w:val="18"/>
                <w:lang w:val="en-US" w:eastAsia="zh-CN"/>
              </w:rPr>
              <w:t>五</w:t>
            </w:r>
            <w:r>
              <w:rPr>
                <w:rFonts w:hint="eastAsia" w:ascii="仿宋" w:hAnsi="仿宋" w:eastAsia="仿宋" w:cs="仿宋"/>
                <w:b w:val="0"/>
                <w:bCs w:val="0"/>
                <w:color w:val="auto"/>
                <w:sz w:val="18"/>
                <w:szCs w:val="18"/>
              </w:rPr>
              <w:t>条规定的，予以审查，决定是否立案。</w:t>
            </w:r>
          </w:p>
          <w:p>
            <w:pPr>
              <w:keepNext w:val="0"/>
              <w:keepLines w:val="0"/>
              <w:pageBreakBefore w:val="0"/>
              <w:widowControl w:val="0"/>
              <w:tabs>
                <w:tab w:val="left" w:pos="7937"/>
              </w:tabs>
              <w:kinsoku/>
              <w:wordWrap/>
              <w:overflowPunct/>
              <w:topLinePunct w:val="0"/>
              <w:autoSpaceDE/>
              <w:autoSpaceDN/>
              <w:bidi w:val="0"/>
              <w:adjustRightInd/>
              <w:snapToGrid/>
              <w:spacing w:line="200" w:lineRule="exact"/>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val="0"/>
              <w:tabs>
                <w:tab w:val="left" w:pos="7937"/>
              </w:tabs>
              <w:kinsoku/>
              <w:wordWrap/>
              <w:overflowPunct/>
              <w:topLinePunct w:val="0"/>
              <w:autoSpaceDE/>
              <w:autoSpaceDN/>
              <w:bidi w:val="0"/>
              <w:adjustRightInd/>
              <w:snapToGrid/>
              <w:spacing w:line="200" w:lineRule="exact"/>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val="0"/>
              <w:tabs>
                <w:tab w:val="left" w:pos="7937"/>
              </w:tabs>
              <w:kinsoku/>
              <w:wordWrap/>
              <w:overflowPunct/>
              <w:topLinePunct w:val="0"/>
              <w:autoSpaceDE/>
              <w:autoSpaceDN/>
              <w:bidi w:val="0"/>
              <w:adjustRightInd/>
              <w:snapToGrid/>
              <w:spacing w:line="200" w:lineRule="exact"/>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val="0"/>
              <w:tabs>
                <w:tab w:val="left" w:pos="7937"/>
              </w:tabs>
              <w:kinsoku/>
              <w:wordWrap/>
              <w:overflowPunct/>
              <w:topLinePunct w:val="0"/>
              <w:autoSpaceDE/>
              <w:autoSpaceDN/>
              <w:bidi w:val="0"/>
              <w:adjustRightInd/>
              <w:snapToGrid/>
              <w:spacing w:line="200" w:lineRule="exact"/>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p>
          <w:p>
            <w:pPr>
              <w:keepNext w:val="0"/>
              <w:keepLines w:val="0"/>
              <w:pageBreakBefore w:val="0"/>
              <w:widowControl w:val="0"/>
              <w:tabs>
                <w:tab w:val="left" w:pos="7937"/>
              </w:tabs>
              <w:kinsoku/>
              <w:wordWrap/>
              <w:overflowPunct/>
              <w:topLinePunct w:val="0"/>
              <w:autoSpaceDE/>
              <w:autoSpaceDN/>
              <w:bidi w:val="0"/>
              <w:adjustRightInd/>
              <w:snapToGrid/>
              <w:spacing w:line="200" w:lineRule="exact"/>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p>
          <w:p>
            <w:pPr>
              <w:keepNext w:val="0"/>
              <w:keepLines w:val="0"/>
              <w:pageBreakBefore w:val="0"/>
              <w:widowControl w:val="0"/>
              <w:tabs>
                <w:tab w:val="left" w:pos="7937"/>
              </w:tabs>
              <w:kinsoku/>
              <w:wordWrap/>
              <w:overflowPunct/>
              <w:topLinePunct w:val="0"/>
              <w:autoSpaceDE/>
              <w:autoSpaceDN/>
              <w:bidi w:val="0"/>
              <w:adjustRightInd/>
              <w:snapToGrid/>
              <w:spacing w:line="200" w:lineRule="exact"/>
              <w:jc w:val="left"/>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rPr>
              <w:t>7、执行责任：责令改正，</w:t>
            </w:r>
            <w:r>
              <w:rPr>
                <w:rFonts w:hint="eastAsia" w:ascii="仿宋" w:hAnsi="仿宋" w:eastAsia="仿宋" w:cs="仿宋"/>
                <w:b w:val="0"/>
                <w:bCs w:val="0"/>
                <w:color w:val="auto"/>
                <w:sz w:val="18"/>
                <w:szCs w:val="18"/>
                <w:lang w:val="en-US" w:eastAsia="zh-CN"/>
              </w:rPr>
              <w:t>《外商投资信息报告办法》</w:t>
            </w:r>
            <w:r>
              <w:rPr>
                <w:rFonts w:hint="eastAsia" w:ascii="仿宋" w:hAnsi="仿宋" w:eastAsia="仿宋" w:cs="仿宋"/>
                <w:b w:val="0"/>
                <w:bCs w:val="0"/>
                <w:color w:val="auto"/>
                <w:sz w:val="18"/>
                <w:szCs w:val="18"/>
              </w:rPr>
              <w:t>第二十</w:t>
            </w:r>
            <w:r>
              <w:rPr>
                <w:rFonts w:hint="eastAsia" w:ascii="仿宋" w:hAnsi="仿宋" w:eastAsia="仿宋" w:cs="仿宋"/>
                <w:b w:val="0"/>
                <w:bCs w:val="0"/>
                <w:color w:val="auto"/>
                <w:sz w:val="18"/>
                <w:szCs w:val="18"/>
                <w:lang w:val="en-US" w:eastAsia="zh-CN"/>
              </w:rPr>
              <w:t>五</w:t>
            </w:r>
            <w:r>
              <w:rPr>
                <w:rFonts w:hint="eastAsia" w:ascii="仿宋" w:hAnsi="仿宋" w:eastAsia="仿宋" w:cs="仿宋"/>
                <w:b w:val="0"/>
                <w:bCs w:val="0"/>
                <w:color w:val="auto"/>
                <w:sz w:val="18"/>
                <w:szCs w:val="18"/>
              </w:rPr>
              <w:t>条 ，</w:t>
            </w:r>
            <w:r>
              <w:rPr>
                <w:rFonts w:hint="eastAsia" w:ascii="仿宋" w:hAnsi="仿宋" w:eastAsia="仿宋" w:cs="仿宋"/>
                <w:b w:val="0"/>
                <w:bCs w:val="0"/>
                <w:color w:val="auto"/>
                <w:sz w:val="18"/>
                <w:szCs w:val="18"/>
                <w:lang w:val="en-US" w:eastAsia="zh-CN"/>
              </w:rPr>
              <w:t>外国投资者或者外商投资企业未按照本办法要求报送投资信息，且在商务主管部门通知后未按照本办法第十九条予以补报或更正的，由商务主管部门责令其于20个工作日内改正；逾期不改正的，处十万元以上三十万元以下罚款；逾期不改正且存在以下情形的，处三十万元以上五十万元以下罚款：（一）外国投资者或者外商投资企业故意逃避履行信息报告义务，或在进行信息报告时隐瞒真实情况、提供误导性或虚假信息；（二）外国投资者或者外商投资企业就所属行业、是否涉及外商投资准入特别管理措施、企业投资者及其实际控制人等重要信息报送错误；（三）外国投资者或者外商投资企业未按照本办法要求报送投资信息，并因此受到行政处罚的，两年内再次违反本办法有关要求；</w:t>
            </w:r>
          </w:p>
          <w:p>
            <w:pPr>
              <w:keepNext w:val="0"/>
              <w:keepLines w:val="0"/>
              <w:pageBreakBefore w:val="0"/>
              <w:widowControl w:val="0"/>
              <w:tabs>
                <w:tab w:val="left" w:pos="7937"/>
              </w:tabs>
              <w:kinsoku/>
              <w:wordWrap/>
              <w:overflowPunct/>
              <w:topLinePunct w:val="0"/>
              <w:autoSpaceDE/>
              <w:autoSpaceDN/>
              <w:bidi w:val="0"/>
              <w:adjustRightInd/>
              <w:snapToGrid/>
              <w:spacing w:line="200" w:lineRule="exact"/>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（四）商务主管部门认定的其他严重情形。</w:t>
            </w:r>
          </w:p>
          <w:p>
            <w:pPr>
              <w:keepNext w:val="0"/>
              <w:keepLines w:val="0"/>
              <w:pageBreakBefore w:val="0"/>
              <w:widowControl w:val="0"/>
              <w:tabs>
                <w:tab w:val="left" w:pos="7937"/>
              </w:tabs>
              <w:kinsoku/>
              <w:wordWrap/>
              <w:overflowPunct/>
              <w:topLinePunct w:val="0"/>
              <w:autoSpaceDE/>
              <w:autoSpaceDN/>
              <w:bidi w:val="0"/>
              <w:adjustRightInd/>
              <w:snapToGrid/>
              <w:spacing w:line="200" w:lineRule="exact"/>
              <w:jc w:val="left"/>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rPr>
              <w:t>8、其他法律法规规章文件规定应履行的责任。</w:t>
            </w:r>
          </w:p>
        </w:tc>
        <w:tc>
          <w:tcPr>
            <w:tcW w:w="2515" w:type="dxa"/>
            <w:vAlign w:val="center"/>
          </w:tcPr>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1、没有法律和事实依据实施行政处罚的；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2、行政处罚显失公正的；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3、违反相关规定的，任何单位和个人有权对相关部门及其工作人员的违法违规行为进行举报；</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4、不具备行政执法资格实施行政处罚的；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5、应当依法移送追究刑事责任，而未依法移送有权机关的；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6、擅自改变行政处罚种类、幅度的；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7、违反法定的行政处罚程序的；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8、符合听证条件、行政管理相对人要求听证，应予组织听证而不组织听证的；</w:t>
            </w:r>
          </w:p>
          <w:p>
            <w:pPr>
              <w:tabs>
                <w:tab w:val="left" w:pos="7937"/>
              </w:tabs>
              <w:spacing w:line="20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9、在行政处罚过程中发生腐败行为的；</w:t>
            </w:r>
          </w:p>
          <w:p>
            <w:pPr>
              <w:tabs>
                <w:tab w:val="left" w:pos="7937"/>
              </w:tabs>
              <w:spacing w:line="200" w:lineRule="exact"/>
              <w:jc w:val="left"/>
              <w:rPr>
                <w:rFonts w:hint="eastAsia" w:ascii="仿宋" w:hAnsi="仿宋" w:eastAsia="仿宋" w:cs="仿宋"/>
                <w:b w:val="0"/>
                <w:bCs w:val="0"/>
                <w:color w:val="auto"/>
                <w:kern w:val="2"/>
                <w:sz w:val="18"/>
                <w:szCs w:val="18"/>
                <w:lang w:val="en-US" w:eastAsia="zh-CN" w:bidi="ar-SA"/>
              </w:rPr>
            </w:pPr>
            <w:r>
              <w:rPr>
                <w:rFonts w:hint="eastAsia" w:ascii="仿宋" w:hAnsi="仿宋" w:eastAsia="仿宋" w:cs="仿宋"/>
                <w:b w:val="0"/>
                <w:bCs w:val="0"/>
                <w:color w:val="auto"/>
                <w:sz w:val="18"/>
                <w:szCs w:val="18"/>
              </w:rPr>
              <w:t>10、其他违反法律法规规章文件规定的行为。</w:t>
            </w:r>
          </w:p>
        </w:tc>
        <w:tc>
          <w:tcPr>
            <w:tcW w:w="700" w:type="dxa"/>
            <w:vAlign w:val="center"/>
          </w:tcPr>
          <w:p>
            <w:pPr>
              <w:tabs>
                <w:tab w:val="left" w:pos="7937"/>
              </w:tabs>
              <w:spacing w:line="200" w:lineRule="exact"/>
              <w:jc w:val="left"/>
              <w:rPr>
                <w:rFonts w:hint="eastAsia" w:ascii="仿宋" w:hAnsi="仿宋" w:eastAsia="仿宋" w:cs="仿宋"/>
                <w:b w:val="0"/>
                <w:bCs w:val="0"/>
                <w:color w:val="auto"/>
                <w:sz w:val="18"/>
                <w:szCs w:val="18"/>
              </w:rPr>
            </w:pPr>
          </w:p>
        </w:tc>
      </w:tr>
    </w:tbl>
    <w:p>
      <w:pPr>
        <w:spacing w:line="600" w:lineRule="exact"/>
        <w:jc w:val="center"/>
        <w:rPr>
          <w:rFonts w:hint="eastAsia" w:ascii="仿宋" w:hAnsi="仿宋" w:eastAsia="仿宋" w:cs="仿宋"/>
          <w:b w:val="0"/>
          <w:bCs w:val="0"/>
          <w:color w:val="auto"/>
          <w:sz w:val="36"/>
        </w:rPr>
      </w:pPr>
    </w:p>
    <w:tbl>
      <w:tblPr>
        <w:tblStyle w:val="6"/>
        <w:tblW w:w="14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512"/>
        <w:gridCol w:w="1190"/>
        <w:gridCol w:w="3455"/>
        <w:gridCol w:w="2866"/>
        <w:gridCol w:w="2607"/>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4" w:hRule="atLeast"/>
        </w:trPr>
        <w:tc>
          <w:tcPr>
            <w:tcW w:w="690" w:type="dxa"/>
            <w:vAlign w:val="center"/>
          </w:tcPr>
          <w:p>
            <w:pPr>
              <w:tabs>
                <w:tab w:val="left" w:pos="7937"/>
              </w:tabs>
              <w:spacing w:line="240" w:lineRule="exact"/>
              <w:jc w:val="center"/>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23</w:t>
            </w:r>
          </w:p>
        </w:tc>
        <w:tc>
          <w:tcPr>
            <w:tcW w:w="1247"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行政检查</w:t>
            </w:r>
          </w:p>
        </w:tc>
        <w:tc>
          <w:tcPr>
            <w:tcW w:w="1512" w:type="dxa"/>
            <w:vAlign w:val="center"/>
          </w:tcPr>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对成品油市场的行政检查</w:t>
            </w:r>
          </w:p>
        </w:tc>
        <w:tc>
          <w:tcPr>
            <w:tcW w:w="1190" w:type="dxa"/>
            <w:vAlign w:val="center"/>
          </w:tcPr>
          <w:p>
            <w:pPr>
              <w:spacing w:line="20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55" w:type="dxa"/>
            <w:vAlign w:val="center"/>
          </w:tcPr>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《河北省成品油市场零售管理办法》冀商规字【2020】1号</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一、成品油零售经营资格预核准</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二、加油站（点）原址改、扩建（农村加油网点原址扩建增加经营品种除外）的申请与办理</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三、申领或发还《成品油零售经营批准证书》程序</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四、在建或原址改扩建加油站（点）延期的申请与办理</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五、《成品油零售经营批准证书》的变更</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六、《成品油零售经营批准证书》遗失补办</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七、成品油零售经营单位投资主体发生变化的申请与办理</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八、成品油零售经营企业年度检查</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九、《成品油零售经营批准证书》到期换证</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十、《成品油零售经营批准证书》的管理</w:t>
            </w:r>
            <w:r>
              <w:rPr>
                <w:rFonts w:hint="eastAsia" w:ascii="仿宋" w:hAnsi="仿宋" w:eastAsia="仿宋" w:cs="仿宋"/>
                <w:b w:val="0"/>
                <w:bCs w:val="0"/>
                <w:color w:val="auto"/>
                <w:sz w:val="18"/>
                <w:szCs w:val="18"/>
                <w:lang w:eastAsia="zh-CN"/>
              </w:rPr>
              <w:t>。</w:t>
            </w:r>
          </w:p>
        </w:tc>
        <w:tc>
          <w:tcPr>
            <w:tcW w:w="2866" w:type="dxa"/>
            <w:vAlign w:val="center"/>
          </w:tcPr>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检查责任：</w:t>
            </w:r>
          </w:p>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w:t>
            </w:r>
            <w:r>
              <w:rPr>
                <w:rFonts w:hint="eastAsia" w:ascii="仿宋" w:hAnsi="仿宋" w:eastAsia="仿宋" w:cs="仿宋"/>
                <w:b w:val="0"/>
                <w:bCs w:val="0"/>
                <w:color w:val="auto"/>
                <w:sz w:val="18"/>
                <w:szCs w:val="18"/>
                <w:lang w:val="en-US" w:eastAsia="zh-CN"/>
              </w:rPr>
              <w:t>.</w:t>
            </w:r>
            <w:r>
              <w:rPr>
                <w:rFonts w:hint="eastAsia" w:ascii="仿宋" w:hAnsi="仿宋" w:eastAsia="仿宋" w:cs="仿宋"/>
                <w:b w:val="0"/>
                <w:bCs w:val="0"/>
                <w:color w:val="auto"/>
                <w:sz w:val="18"/>
                <w:szCs w:val="18"/>
              </w:rPr>
              <w:t>对辖区内成品油零售经营企业进行检查；</w:t>
            </w:r>
          </w:p>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2.处置责任：对监督检查发现的问题，责令限期改正、依法实施处罚；</w:t>
            </w:r>
          </w:p>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3.事后管理责任：对监督检查发现的问题，企业整改完成后，对整改情况进行核查；</w:t>
            </w:r>
          </w:p>
          <w:p>
            <w:pPr>
              <w:spacing w:line="240" w:lineRule="exact"/>
              <w:rPr>
                <w:rFonts w:hint="eastAsia" w:ascii="仿宋" w:hAnsi="仿宋" w:eastAsia="仿宋" w:cs="仿宋"/>
                <w:b w:val="0"/>
                <w:bCs w:val="0"/>
                <w:color w:val="auto"/>
                <w:sz w:val="18"/>
                <w:szCs w:val="18"/>
              </w:rPr>
            </w:pPr>
          </w:p>
        </w:tc>
        <w:tc>
          <w:tcPr>
            <w:tcW w:w="2607" w:type="dxa"/>
            <w:vAlign w:val="center"/>
          </w:tcPr>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1</w:t>
            </w:r>
            <w:r>
              <w:rPr>
                <w:rFonts w:hint="eastAsia" w:ascii="仿宋" w:hAnsi="仿宋" w:eastAsia="仿宋" w:cs="仿宋"/>
                <w:b w:val="0"/>
                <w:bCs w:val="0"/>
                <w:color w:val="auto"/>
                <w:sz w:val="18"/>
                <w:szCs w:val="18"/>
              </w:rPr>
              <w:t>.对在检查中发现的问题，不责令限期改</w:t>
            </w:r>
            <w:r>
              <w:rPr>
                <w:rFonts w:hint="eastAsia" w:ascii="仿宋" w:hAnsi="仿宋" w:eastAsia="仿宋" w:cs="仿宋"/>
                <w:b w:val="0"/>
                <w:bCs w:val="0"/>
                <w:color w:val="auto"/>
                <w:sz w:val="18"/>
                <w:szCs w:val="18"/>
                <w:lang w:eastAsia="zh-CN"/>
              </w:rPr>
              <w:t>正</w:t>
            </w:r>
            <w:r>
              <w:rPr>
                <w:rFonts w:hint="eastAsia" w:ascii="仿宋" w:hAnsi="仿宋" w:eastAsia="仿宋" w:cs="仿宋"/>
                <w:b w:val="0"/>
                <w:bCs w:val="0"/>
                <w:color w:val="auto"/>
                <w:sz w:val="18"/>
                <w:szCs w:val="18"/>
              </w:rPr>
              <w:t>、不依法实施处罚；</w:t>
            </w:r>
          </w:p>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2</w:t>
            </w:r>
            <w:r>
              <w:rPr>
                <w:rFonts w:hint="eastAsia" w:ascii="仿宋" w:hAnsi="仿宋" w:eastAsia="仿宋" w:cs="仿宋"/>
                <w:b w:val="0"/>
                <w:bCs w:val="0"/>
                <w:color w:val="auto"/>
                <w:sz w:val="18"/>
                <w:szCs w:val="18"/>
              </w:rPr>
              <w:t>.对监督检查发现的问题，企业整改完成后，不对整改情况进行核查；</w:t>
            </w:r>
          </w:p>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3</w:t>
            </w:r>
            <w:r>
              <w:rPr>
                <w:rFonts w:hint="eastAsia" w:ascii="仿宋" w:hAnsi="仿宋" w:eastAsia="仿宋" w:cs="仿宋"/>
                <w:b w:val="0"/>
                <w:bCs w:val="0"/>
                <w:color w:val="auto"/>
                <w:sz w:val="18"/>
                <w:szCs w:val="18"/>
              </w:rPr>
              <w:t>.其他违反法律法规规章文件规定的行为。</w:t>
            </w:r>
          </w:p>
          <w:p>
            <w:pPr>
              <w:spacing w:line="240" w:lineRule="exact"/>
              <w:rPr>
                <w:rFonts w:hint="eastAsia" w:ascii="仿宋" w:hAnsi="仿宋" w:eastAsia="仿宋" w:cs="仿宋"/>
                <w:b w:val="0"/>
                <w:bCs w:val="0"/>
                <w:color w:val="auto"/>
                <w:sz w:val="18"/>
                <w:szCs w:val="18"/>
              </w:rPr>
            </w:pPr>
          </w:p>
        </w:tc>
        <w:tc>
          <w:tcPr>
            <w:tcW w:w="666" w:type="dxa"/>
            <w:vAlign w:val="center"/>
          </w:tcPr>
          <w:p>
            <w:pPr>
              <w:tabs>
                <w:tab w:val="left" w:pos="7937"/>
              </w:tabs>
              <w:spacing w:line="260" w:lineRule="exact"/>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1" w:hRule="atLeast"/>
        </w:trPr>
        <w:tc>
          <w:tcPr>
            <w:tcW w:w="690" w:type="dxa"/>
            <w:vAlign w:val="center"/>
          </w:tcPr>
          <w:p>
            <w:pPr>
              <w:tabs>
                <w:tab w:val="left" w:pos="7937"/>
              </w:tabs>
              <w:spacing w:line="240" w:lineRule="exact"/>
              <w:jc w:val="center"/>
              <w:rPr>
                <w:rFonts w:hint="eastAsia" w:ascii="仿宋" w:hAnsi="仿宋" w:eastAsia="仿宋" w:cs="仿宋"/>
                <w:b w:val="0"/>
                <w:bCs w:val="0"/>
                <w:color w:val="auto"/>
                <w:sz w:val="18"/>
                <w:szCs w:val="18"/>
                <w:lang w:val="en-US"/>
              </w:rPr>
            </w:pPr>
            <w:r>
              <w:rPr>
                <w:rFonts w:hint="eastAsia" w:ascii="仿宋" w:hAnsi="仿宋" w:eastAsia="仿宋" w:cs="仿宋"/>
                <w:b w:val="0"/>
                <w:bCs w:val="0"/>
                <w:color w:val="auto"/>
                <w:sz w:val="18"/>
                <w:szCs w:val="18"/>
                <w:lang w:val="en-US" w:eastAsia="zh-CN"/>
              </w:rPr>
              <w:t>24</w:t>
            </w:r>
          </w:p>
        </w:tc>
        <w:tc>
          <w:tcPr>
            <w:tcW w:w="1247"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行政检查</w:t>
            </w:r>
          </w:p>
        </w:tc>
        <w:tc>
          <w:tcPr>
            <w:tcW w:w="1512" w:type="dxa"/>
            <w:vAlign w:val="center"/>
          </w:tcPr>
          <w:p>
            <w:pPr>
              <w:spacing w:line="260" w:lineRule="exact"/>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对对外劳务合作经营活动进行监督的行政检查</w:t>
            </w:r>
          </w:p>
        </w:tc>
        <w:tc>
          <w:tcPr>
            <w:tcW w:w="1190" w:type="dxa"/>
            <w:vAlign w:val="center"/>
          </w:tcPr>
          <w:p>
            <w:pPr>
              <w:spacing w:line="24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55" w:type="dxa"/>
            <w:vAlign w:val="center"/>
          </w:tcPr>
          <w:p>
            <w:pPr>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《对外劳务合作管理条例》第四条第二款</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县级以上地方人民政府统一领导、组织、协调本行政区域的外劳务合作监督管理工作。县级以上地方人民政府商务主管部门负责本行政区域的对外劳务合作监督管理工作，其他有关部门在各自职责范围内负责对外劳务合作监督管理的相关工作。</w:t>
            </w:r>
          </w:p>
        </w:tc>
        <w:tc>
          <w:tcPr>
            <w:tcW w:w="2866" w:type="dxa"/>
            <w:vAlign w:val="center"/>
          </w:tcPr>
          <w:p>
            <w:pPr>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检查责任：</w:t>
            </w:r>
          </w:p>
          <w:p>
            <w:pPr>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w:t>
            </w:r>
            <w:r>
              <w:rPr>
                <w:rFonts w:hint="eastAsia" w:ascii="仿宋" w:hAnsi="仿宋" w:eastAsia="仿宋" w:cs="仿宋"/>
                <w:b w:val="0"/>
                <w:bCs w:val="0"/>
                <w:color w:val="auto"/>
                <w:sz w:val="18"/>
                <w:szCs w:val="18"/>
                <w:lang w:val="en-US" w:eastAsia="zh-CN"/>
              </w:rPr>
              <w:t>.</w:t>
            </w:r>
            <w:r>
              <w:rPr>
                <w:rFonts w:hint="eastAsia" w:ascii="仿宋" w:hAnsi="仿宋" w:eastAsia="仿宋" w:cs="仿宋"/>
                <w:b w:val="0"/>
                <w:bCs w:val="0"/>
                <w:color w:val="auto"/>
                <w:sz w:val="18"/>
                <w:szCs w:val="18"/>
              </w:rPr>
              <w:t>对辖区内</w:t>
            </w:r>
            <w:r>
              <w:rPr>
                <w:rFonts w:hint="eastAsia" w:ascii="仿宋" w:hAnsi="仿宋" w:eastAsia="仿宋" w:cs="仿宋"/>
                <w:b w:val="0"/>
                <w:bCs w:val="0"/>
                <w:color w:val="auto"/>
                <w:sz w:val="18"/>
                <w:szCs w:val="18"/>
                <w:lang w:val="en-US" w:eastAsia="zh-CN"/>
              </w:rPr>
              <w:t>对外劳务合作经营活动进行监督检查</w:t>
            </w:r>
            <w:r>
              <w:rPr>
                <w:rFonts w:hint="eastAsia" w:ascii="仿宋" w:hAnsi="仿宋" w:eastAsia="仿宋" w:cs="仿宋"/>
                <w:b w:val="0"/>
                <w:bCs w:val="0"/>
                <w:color w:val="auto"/>
                <w:sz w:val="18"/>
                <w:szCs w:val="18"/>
              </w:rPr>
              <w:t>；</w:t>
            </w:r>
          </w:p>
          <w:p>
            <w:pPr>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2.处置责任：对监督检查发现的问题，责令限期改正、依法实施处罚；</w:t>
            </w:r>
          </w:p>
          <w:p>
            <w:pPr>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3.事后管理责任：对监督检查发现的问题，企业整改完成后，对整改情况进行核查；</w:t>
            </w:r>
          </w:p>
          <w:p>
            <w:pPr>
              <w:spacing w:line="260" w:lineRule="exact"/>
              <w:rPr>
                <w:rFonts w:hint="eastAsia" w:ascii="仿宋" w:hAnsi="仿宋" w:eastAsia="仿宋" w:cs="仿宋"/>
                <w:b w:val="0"/>
                <w:bCs w:val="0"/>
                <w:color w:val="auto"/>
                <w:sz w:val="18"/>
                <w:szCs w:val="18"/>
              </w:rPr>
            </w:pPr>
          </w:p>
        </w:tc>
        <w:tc>
          <w:tcPr>
            <w:tcW w:w="2607" w:type="dxa"/>
            <w:vAlign w:val="center"/>
          </w:tcPr>
          <w:p>
            <w:pPr>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1</w:t>
            </w:r>
            <w:r>
              <w:rPr>
                <w:rFonts w:hint="eastAsia" w:ascii="仿宋" w:hAnsi="仿宋" w:eastAsia="仿宋" w:cs="仿宋"/>
                <w:b w:val="0"/>
                <w:bCs w:val="0"/>
                <w:color w:val="auto"/>
                <w:sz w:val="18"/>
                <w:szCs w:val="18"/>
              </w:rPr>
              <w:t>.对在检查中发现的问题，不责令限期改</w:t>
            </w:r>
            <w:r>
              <w:rPr>
                <w:rFonts w:hint="eastAsia" w:ascii="仿宋" w:hAnsi="仿宋" w:eastAsia="仿宋" w:cs="仿宋"/>
                <w:b w:val="0"/>
                <w:bCs w:val="0"/>
                <w:color w:val="auto"/>
                <w:sz w:val="18"/>
                <w:szCs w:val="18"/>
                <w:lang w:eastAsia="zh-CN"/>
              </w:rPr>
              <w:t>正</w:t>
            </w:r>
            <w:r>
              <w:rPr>
                <w:rFonts w:hint="eastAsia" w:ascii="仿宋" w:hAnsi="仿宋" w:eastAsia="仿宋" w:cs="仿宋"/>
                <w:b w:val="0"/>
                <w:bCs w:val="0"/>
                <w:color w:val="auto"/>
                <w:sz w:val="18"/>
                <w:szCs w:val="18"/>
              </w:rPr>
              <w:t>、不依法实施处罚；</w:t>
            </w:r>
          </w:p>
          <w:p>
            <w:pPr>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2</w:t>
            </w:r>
            <w:r>
              <w:rPr>
                <w:rFonts w:hint="eastAsia" w:ascii="仿宋" w:hAnsi="仿宋" w:eastAsia="仿宋" w:cs="仿宋"/>
                <w:b w:val="0"/>
                <w:bCs w:val="0"/>
                <w:color w:val="auto"/>
                <w:sz w:val="18"/>
                <w:szCs w:val="18"/>
              </w:rPr>
              <w:t>.对监督检查发现的问题，企业整改完成后，不对整改情况进行核查；</w:t>
            </w:r>
          </w:p>
          <w:p>
            <w:pPr>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3</w:t>
            </w:r>
            <w:r>
              <w:rPr>
                <w:rFonts w:hint="eastAsia" w:ascii="仿宋" w:hAnsi="仿宋" w:eastAsia="仿宋" w:cs="仿宋"/>
                <w:b w:val="0"/>
                <w:bCs w:val="0"/>
                <w:color w:val="auto"/>
                <w:sz w:val="18"/>
                <w:szCs w:val="18"/>
              </w:rPr>
              <w:t>.其他违反法律法规规章文件规定的行为。</w:t>
            </w:r>
          </w:p>
          <w:p>
            <w:pPr>
              <w:spacing w:line="260" w:lineRule="exact"/>
              <w:rPr>
                <w:rFonts w:hint="eastAsia" w:ascii="仿宋" w:hAnsi="仿宋" w:eastAsia="仿宋" w:cs="仿宋"/>
                <w:b w:val="0"/>
                <w:bCs w:val="0"/>
                <w:color w:val="auto"/>
                <w:sz w:val="18"/>
                <w:szCs w:val="18"/>
              </w:rPr>
            </w:pPr>
          </w:p>
        </w:tc>
        <w:tc>
          <w:tcPr>
            <w:tcW w:w="666" w:type="dxa"/>
            <w:vAlign w:val="center"/>
          </w:tcPr>
          <w:p>
            <w:pPr>
              <w:tabs>
                <w:tab w:val="left" w:pos="7937"/>
              </w:tabs>
              <w:spacing w:line="260" w:lineRule="exact"/>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6" w:hRule="atLeast"/>
        </w:trPr>
        <w:tc>
          <w:tcPr>
            <w:tcW w:w="690" w:type="dxa"/>
            <w:vAlign w:val="center"/>
          </w:tcPr>
          <w:p>
            <w:pPr>
              <w:tabs>
                <w:tab w:val="left" w:pos="7937"/>
              </w:tabs>
              <w:spacing w:line="240" w:lineRule="exact"/>
              <w:jc w:val="center"/>
              <w:rPr>
                <w:rFonts w:hint="eastAsia" w:ascii="仿宋" w:hAnsi="仿宋" w:eastAsia="仿宋" w:cs="仿宋"/>
                <w:b w:val="0"/>
                <w:bCs w:val="0"/>
                <w:color w:val="auto"/>
                <w:sz w:val="18"/>
                <w:szCs w:val="18"/>
                <w:lang w:val="en-US"/>
              </w:rPr>
            </w:pPr>
            <w:r>
              <w:rPr>
                <w:rFonts w:hint="eastAsia" w:ascii="仿宋" w:hAnsi="仿宋" w:eastAsia="仿宋" w:cs="仿宋"/>
                <w:b w:val="0"/>
                <w:bCs w:val="0"/>
                <w:color w:val="auto"/>
                <w:sz w:val="18"/>
                <w:szCs w:val="18"/>
                <w:lang w:val="en-US" w:eastAsia="zh-CN"/>
              </w:rPr>
              <w:t>25</w:t>
            </w:r>
          </w:p>
        </w:tc>
        <w:tc>
          <w:tcPr>
            <w:tcW w:w="1247"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行政检查</w:t>
            </w:r>
          </w:p>
        </w:tc>
        <w:tc>
          <w:tcPr>
            <w:tcW w:w="1512" w:type="dxa"/>
            <w:vAlign w:val="center"/>
          </w:tcPr>
          <w:p>
            <w:pPr>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对零售商经营行为监督的行政检查</w:t>
            </w:r>
          </w:p>
        </w:tc>
        <w:tc>
          <w:tcPr>
            <w:tcW w:w="1190" w:type="dxa"/>
            <w:vAlign w:val="center"/>
          </w:tcPr>
          <w:p>
            <w:pPr>
              <w:spacing w:line="24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55" w:type="dxa"/>
            <w:vAlign w:val="center"/>
          </w:tcPr>
          <w:p>
            <w:pPr>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《零售商供应商公平交易管理办法》第二十一条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各地商务、价格、税务、工商等部门依照法律法规及本办法，在各自的职责范围内对本办法规定的行为进行监督管理。对涉嫌犯罪的，由公安机关依法予以查处。</w:t>
            </w:r>
          </w:p>
          <w:p>
            <w:pPr>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县级以上商务主管部门应会同同级有关部门对零售商供应商公平交易行为实行动态监测，进行风险预警，及时采取防范措施。</w:t>
            </w:r>
          </w:p>
          <w:p>
            <w:pPr>
              <w:spacing w:line="260" w:lineRule="exact"/>
              <w:rPr>
                <w:rFonts w:hint="eastAsia" w:ascii="仿宋" w:hAnsi="仿宋" w:eastAsia="仿宋" w:cs="仿宋"/>
                <w:b w:val="0"/>
                <w:bCs w:val="0"/>
                <w:color w:val="auto"/>
                <w:sz w:val="18"/>
                <w:szCs w:val="18"/>
              </w:rPr>
            </w:pPr>
          </w:p>
        </w:tc>
        <w:tc>
          <w:tcPr>
            <w:tcW w:w="2866" w:type="dxa"/>
            <w:vAlign w:val="center"/>
          </w:tcPr>
          <w:p>
            <w:pPr>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检查责任：</w:t>
            </w:r>
          </w:p>
          <w:p>
            <w:pPr>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w:t>
            </w:r>
            <w:r>
              <w:rPr>
                <w:rFonts w:hint="eastAsia" w:ascii="仿宋" w:hAnsi="仿宋" w:eastAsia="仿宋" w:cs="仿宋"/>
                <w:b w:val="0"/>
                <w:bCs w:val="0"/>
                <w:color w:val="auto"/>
                <w:sz w:val="18"/>
                <w:szCs w:val="18"/>
                <w:lang w:val="en-US" w:eastAsia="zh-CN"/>
              </w:rPr>
              <w:t>.</w:t>
            </w:r>
            <w:r>
              <w:rPr>
                <w:rFonts w:hint="eastAsia" w:ascii="仿宋" w:hAnsi="仿宋" w:eastAsia="仿宋" w:cs="仿宋"/>
                <w:b w:val="0"/>
                <w:bCs w:val="0"/>
                <w:color w:val="auto"/>
                <w:sz w:val="18"/>
                <w:szCs w:val="18"/>
              </w:rPr>
              <w:t>对辖区内</w:t>
            </w:r>
            <w:r>
              <w:rPr>
                <w:rFonts w:hint="eastAsia" w:ascii="仿宋" w:hAnsi="仿宋" w:eastAsia="仿宋" w:cs="仿宋"/>
                <w:b w:val="0"/>
                <w:bCs w:val="0"/>
                <w:color w:val="auto"/>
                <w:sz w:val="18"/>
                <w:szCs w:val="18"/>
                <w:lang w:val="en-US" w:eastAsia="zh-CN"/>
              </w:rPr>
              <w:t>零售商经营行为进行监督检查</w:t>
            </w:r>
            <w:r>
              <w:rPr>
                <w:rFonts w:hint="eastAsia" w:ascii="仿宋" w:hAnsi="仿宋" w:eastAsia="仿宋" w:cs="仿宋"/>
                <w:b w:val="0"/>
                <w:bCs w:val="0"/>
                <w:color w:val="auto"/>
                <w:sz w:val="18"/>
                <w:szCs w:val="18"/>
              </w:rPr>
              <w:t>；</w:t>
            </w:r>
          </w:p>
          <w:p>
            <w:pPr>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2.处置责任：对监督检查发现的问题，责令限期改正、依法实施处罚；</w:t>
            </w:r>
          </w:p>
          <w:p>
            <w:pPr>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3.事后管理责任：对监督检查发现的问题，企业整改完成后，对整改情况进行核查；</w:t>
            </w:r>
          </w:p>
          <w:p>
            <w:pPr>
              <w:spacing w:line="260" w:lineRule="exact"/>
              <w:rPr>
                <w:rFonts w:hint="eastAsia" w:ascii="仿宋" w:hAnsi="仿宋" w:eastAsia="仿宋" w:cs="仿宋"/>
                <w:b w:val="0"/>
                <w:bCs w:val="0"/>
                <w:color w:val="auto"/>
                <w:sz w:val="18"/>
                <w:szCs w:val="18"/>
              </w:rPr>
            </w:pPr>
          </w:p>
        </w:tc>
        <w:tc>
          <w:tcPr>
            <w:tcW w:w="2607" w:type="dxa"/>
            <w:vAlign w:val="center"/>
          </w:tcPr>
          <w:p>
            <w:pPr>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1</w:t>
            </w:r>
            <w:r>
              <w:rPr>
                <w:rFonts w:hint="eastAsia" w:ascii="仿宋" w:hAnsi="仿宋" w:eastAsia="仿宋" w:cs="仿宋"/>
                <w:b w:val="0"/>
                <w:bCs w:val="0"/>
                <w:color w:val="auto"/>
                <w:sz w:val="18"/>
                <w:szCs w:val="18"/>
              </w:rPr>
              <w:t>.对在检查中发现的问题，不责令限期改</w:t>
            </w:r>
            <w:r>
              <w:rPr>
                <w:rFonts w:hint="eastAsia" w:ascii="仿宋" w:hAnsi="仿宋" w:eastAsia="仿宋" w:cs="仿宋"/>
                <w:b w:val="0"/>
                <w:bCs w:val="0"/>
                <w:color w:val="auto"/>
                <w:sz w:val="18"/>
                <w:szCs w:val="18"/>
                <w:lang w:eastAsia="zh-CN"/>
              </w:rPr>
              <w:t>正</w:t>
            </w:r>
            <w:r>
              <w:rPr>
                <w:rFonts w:hint="eastAsia" w:ascii="仿宋" w:hAnsi="仿宋" w:eastAsia="仿宋" w:cs="仿宋"/>
                <w:b w:val="0"/>
                <w:bCs w:val="0"/>
                <w:color w:val="auto"/>
                <w:sz w:val="18"/>
                <w:szCs w:val="18"/>
              </w:rPr>
              <w:t>、不依法实施处罚；</w:t>
            </w:r>
          </w:p>
          <w:p>
            <w:pPr>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2</w:t>
            </w:r>
            <w:r>
              <w:rPr>
                <w:rFonts w:hint="eastAsia" w:ascii="仿宋" w:hAnsi="仿宋" w:eastAsia="仿宋" w:cs="仿宋"/>
                <w:b w:val="0"/>
                <w:bCs w:val="0"/>
                <w:color w:val="auto"/>
                <w:sz w:val="18"/>
                <w:szCs w:val="18"/>
              </w:rPr>
              <w:t>.对监督检查发现的问题，企业整改完成后，不对整改情况进行核查；</w:t>
            </w:r>
          </w:p>
          <w:p>
            <w:pPr>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3</w:t>
            </w:r>
            <w:r>
              <w:rPr>
                <w:rFonts w:hint="eastAsia" w:ascii="仿宋" w:hAnsi="仿宋" w:eastAsia="仿宋" w:cs="仿宋"/>
                <w:b w:val="0"/>
                <w:bCs w:val="0"/>
                <w:color w:val="auto"/>
                <w:sz w:val="18"/>
                <w:szCs w:val="18"/>
              </w:rPr>
              <w:t>.其他违反法律法规规章文件规定的行为。</w:t>
            </w:r>
          </w:p>
          <w:p>
            <w:pPr>
              <w:spacing w:line="260" w:lineRule="exact"/>
              <w:rPr>
                <w:rFonts w:hint="eastAsia" w:ascii="仿宋" w:hAnsi="仿宋" w:eastAsia="仿宋" w:cs="仿宋"/>
                <w:b w:val="0"/>
                <w:bCs w:val="0"/>
                <w:color w:val="auto"/>
                <w:sz w:val="18"/>
                <w:szCs w:val="18"/>
              </w:rPr>
            </w:pPr>
          </w:p>
        </w:tc>
        <w:tc>
          <w:tcPr>
            <w:tcW w:w="666" w:type="dxa"/>
            <w:vAlign w:val="center"/>
          </w:tcPr>
          <w:p>
            <w:pPr>
              <w:tabs>
                <w:tab w:val="left" w:pos="7937"/>
              </w:tabs>
              <w:spacing w:line="260" w:lineRule="exact"/>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690" w:type="dxa"/>
            <w:vAlign w:val="center"/>
          </w:tcPr>
          <w:p>
            <w:pPr>
              <w:tabs>
                <w:tab w:val="left" w:pos="7937"/>
              </w:tabs>
              <w:spacing w:line="240" w:lineRule="exact"/>
              <w:jc w:val="center"/>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26</w:t>
            </w:r>
          </w:p>
        </w:tc>
        <w:tc>
          <w:tcPr>
            <w:tcW w:w="1247" w:type="dxa"/>
            <w:vAlign w:val="center"/>
          </w:tcPr>
          <w:p>
            <w:pPr>
              <w:tabs>
                <w:tab w:val="left" w:pos="7937"/>
              </w:tabs>
              <w:spacing w:line="200" w:lineRule="exact"/>
              <w:jc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行政检查</w:t>
            </w:r>
          </w:p>
        </w:tc>
        <w:tc>
          <w:tcPr>
            <w:tcW w:w="1512" w:type="dxa"/>
            <w:vAlign w:val="center"/>
          </w:tcPr>
          <w:p>
            <w:pPr>
              <w:tabs>
                <w:tab w:val="left" w:pos="7937"/>
              </w:tabs>
              <w:spacing w:line="240" w:lineRule="exac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对发卡企业进行的行政检查</w:t>
            </w:r>
          </w:p>
        </w:tc>
        <w:tc>
          <w:tcPr>
            <w:tcW w:w="1190" w:type="dxa"/>
            <w:vAlign w:val="center"/>
          </w:tcPr>
          <w:p>
            <w:pPr>
              <w:spacing w:line="240" w:lineRule="exact"/>
              <w:jc w:val="center"/>
              <w:rPr>
                <w:rFonts w:hint="eastAsia" w:ascii="仿宋" w:hAnsi="仿宋" w:eastAsia="仿宋" w:cs="仿宋"/>
                <w:b w:val="0"/>
                <w:bCs w:val="0"/>
                <w:color w:val="auto"/>
                <w:sz w:val="18"/>
                <w:szCs w:val="18"/>
                <w:highlight w:val="none"/>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55" w:type="dxa"/>
            <w:vAlign w:val="center"/>
          </w:tcPr>
          <w:p>
            <w:pPr>
              <w:tabs>
                <w:tab w:val="left" w:pos="7937"/>
              </w:tabs>
              <w:spacing w:line="240" w:lineRule="exact"/>
              <w:jc w:val="left"/>
              <w:rPr>
                <w:rFonts w:hint="eastAsia" w:ascii="仿宋" w:hAnsi="仿宋" w:eastAsia="仿宋" w:cs="仿宋"/>
                <w:b w:val="0"/>
                <w:bCs w:val="0"/>
                <w:color w:val="auto"/>
                <w:sz w:val="18"/>
                <w:szCs w:val="18"/>
                <w:highlight w:val="none"/>
              </w:rPr>
            </w:pPr>
          </w:p>
          <w:p>
            <w:pPr>
              <w:tabs>
                <w:tab w:val="left" w:pos="7937"/>
              </w:tabs>
              <w:spacing w:line="240" w:lineRule="exact"/>
              <w:jc w:val="left"/>
              <w:rPr>
                <w:rFonts w:hint="eastAsia" w:ascii="仿宋" w:hAnsi="仿宋" w:eastAsia="仿宋" w:cs="仿宋"/>
                <w:b w:val="0"/>
                <w:bCs w:val="0"/>
                <w:color w:val="auto"/>
                <w:sz w:val="18"/>
                <w:szCs w:val="18"/>
                <w:highlight w:val="none"/>
              </w:rPr>
            </w:pPr>
          </w:p>
          <w:p>
            <w:pPr>
              <w:tabs>
                <w:tab w:val="left" w:pos="7937"/>
              </w:tabs>
              <w:spacing w:line="240" w:lineRule="exact"/>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《单用途商业预付卡管理办法（试行）》第</w:t>
            </w:r>
            <w:r>
              <w:rPr>
                <w:rFonts w:hint="eastAsia" w:ascii="仿宋" w:hAnsi="仿宋" w:eastAsia="仿宋" w:cs="仿宋"/>
                <w:b w:val="0"/>
                <w:bCs w:val="0"/>
                <w:color w:val="auto"/>
                <w:sz w:val="18"/>
                <w:szCs w:val="18"/>
                <w:highlight w:val="none"/>
                <w:lang w:val="en-US" w:eastAsia="zh-CN"/>
              </w:rPr>
              <w:t>五</w:t>
            </w:r>
            <w:r>
              <w:rPr>
                <w:rFonts w:hint="eastAsia" w:ascii="仿宋" w:hAnsi="仿宋" w:eastAsia="仿宋" w:cs="仿宋"/>
                <w:b w:val="0"/>
                <w:bCs w:val="0"/>
                <w:color w:val="auto"/>
                <w:sz w:val="18"/>
                <w:szCs w:val="18"/>
                <w:highlight w:val="none"/>
              </w:rPr>
              <w:t>条：商务部负责全国单用途卡行业管理工作。县级以上地方人民政府商务主管部门负责本行政区域内单用途卡监督管理工作。</w:t>
            </w:r>
          </w:p>
          <w:p>
            <w:pPr>
              <w:tabs>
                <w:tab w:val="left" w:pos="7937"/>
              </w:tabs>
              <w:spacing w:line="240" w:lineRule="exact"/>
              <w:jc w:val="left"/>
              <w:rPr>
                <w:rFonts w:hint="eastAsia" w:ascii="仿宋" w:hAnsi="仿宋" w:eastAsia="仿宋" w:cs="仿宋"/>
                <w:b w:val="0"/>
                <w:bCs w:val="0"/>
                <w:color w:val="auto"/>
                <w:sz w:val="18"/>
                <w:szCs w:val="18"/>
                <w:highlight w:val="none"/>
              </w:rPr>
            </w:pPr>
          </w:p>
        </w:tc>
        <w:tc>
          <w:tcPr>
            <w:tcW w:w="2866" w:type="dxa"/>
            <w:vAlign w:val="center"/>
          </w:tcPr>
          <w:p>
            <w:pPr>
              <w:spacing w:line="240" w:lineRule="exac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检查责任：</w:t>
            </w:r>
          </w:p>
          <w:p>
            <w:pPr>
              <w:spacing w:line="240" w:lineRule="exac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1.对辖区内发卡企业和售卡企业的单用途卡业务活动、内部控制和风险状况等进行现场及非现场检查；</w:t>
            </w:r>
          </w:p>
          <w:p>
            <w:pPr>
              <w:spacing w:line="240" w:lineRule="exac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2.处置责任：对监督检查发现的问题，责令限期改正、依法实施处罚；</w:t>
            </w:r>
          </w:p>
          <w:p>
            <w:pPr>
              <w:spacing w:line="240" w:lineRule="exac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3.事后管理责任：对监督检查发现的问题，企业整改完成后，对整改情况进行核查；</w:t>
            </w:r>
          </w:p>
          <w:p>
            <w:pPr>
              <w:spacing w:line="240" w:lineRule="exact"/>
              <w:rPr>
                <w:rFonts w:hint="eastAsia" w:ascii="仿宋" w:hAnsi="仿宋" w:eastAsia="仿宋" w:cs="仿宋"/>
                <w:b w:val="0"/>
                <w:bCs w:val="0"/>
                <w:color w:val="auto"/>
                <w:sz w:val="18"/>
                <w:szCs w:val="18"/>
                <w:highlight w:val="none"/>
              </w:rPr>
            </w:pPr>
          </w:p>
        </w:tc>
        <w:tc>
          <w:tcPr>
            <w:tcW w:w="2607" w:type="dxa"/>
            <w:vAlign w:val="center"/>
          </w:tcPr>
          <w:p>
            <w:pPr>
              <w:tabs>
                <w:tab w:val="left" w:pos="7937"/>
              </w:tabs>
              <w:spacing w:line="260" w:lineRule="exac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br w:type="textWrapping"/>
            </w:r>
            <w:r>
              <w:rPr>
                <w:rFonts w:hint="eastAsia" w:ascii="仿宋" w:hAnsi="仿宋" w:eastAsia="仿宋" w:cs="仿宋"/>
                <w:b w:val="0"/>
                <w:bCs w:val="0"/>
                <w:color w:val="auto"/>
                <w:sz w:val="18"/>
                <w:szCs w:val="18"/>
                <w:highlight w:val="none"/>
              </w:rPr>
              <w:t>因不履行或不正确履行行政职责，有下列情形的，行政机关及相关工作人员应承担相应责任：</w:t>
            </w:r>
          </w:p>
          <w:p>
            <w:pPr>
              <w:spacing w:line="240" w:lineRule="exact"/>
              <w:rPr>
                <w:rFonts w:hint="eastAsia" w:ascii="仿宋" w:hAnsi="仿宋" w:eastAsia="仿宋" w:cs="仿宋"/>
                <w:b w:val="0"/>
                <w:bCs w:val="0"/>
                <w:color w:val="auto"/>
                <w:spacing w:val="-4"/>
                <w:sz w:val="18"/>
                <w:szCs w:val="18"/>
                <w:highlight w:val="none"/>
              </w:rPr>
            </w:pPr>
            <w:r>
              <w:rPr>
                <w:rFonts w:hint="eastAsia" w:ascii="仿宋" w:hAnsi="仿宋" w:eastAsia="仿宋" w:cs="仿宋"/>
                <w:b w:val="0"/>
                <w:bCs w:val="0"/>
                <w:color w:val="auto"/>
                <w:spacing w:val="-4"/>
                <w:sz w:val="18"/>
                <w:szCs w:val="18"/>
                <w:highlight w:val="none"/>
              </w:rPr>
              <w:t>1.对在检查中发现的问题，不责令限期改正、不依法实施处罚；</w:t>
            </w:r>
          </w:p>
          <w:p>
            <w:pPr>
              <w:spacing w:line="240" w:lineRule="exact"/>
              <w:rPr>
                <w:rFonts w:hint="eastAsia" w:ascii="仿宋" w:hAnsi="仿宋" w:eastAsia="仿宋" w:cs="仿宋"/>
                <w:b w:val="0"/>
                <w:bCs w:val="0"/>
                <w:color w:val="auto"/>
                <w:spacing w:val="-4"/>
                <w:sz w:val="18"/>
                <w:szCs w:val="18"/>
                <w:highlight w:val="none"/>
              </w:rPr>
            </w:pPr>
            <w:r>
              <w:rPr>
                <w:rFonts w:hint="eastAsia" w:ascii="仿宋" w:hAnsi="仿宋" w:eastAsia="仿宋" w:cs="仿宋"/>
                <w:b w:val="0"/>
                <w:bCs w:val="0"/>
                <w:color w:val="auto"/>
                <w:spacing w:val="-4"/>
                <w:sz w:val="18"/>
                <w:szCs w:val="18"/>
                <w:highlight w:val="none"/>
              </w:rPr>
              <w:t>2.对监督检查发现的问题，企业整改完成后，不对整改情况进行核查；</w:t>
            </w:r>
          </w:p>
          <w:p>
            <w:pPr>
              <w:spacing w:line="240" w:lineRule="exac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pacing w:val="-4"/>
                <w:sz w:val="18"/>
                <w:szCs w:val="18"/>
                <w:highlight w:val="none"/>
              </w:rPr>
              <w:t>3.其他违反法律法规规章文件规定的行为。</w:t>
            </w:r>
          </w:p>
          <w:p>
            <w:pPr>
              <w:tabs>
                <w:tab w:val="left" w:pos="7937"/>
              </w:tabs>
              <w:spacing w:line="260" w:lineRule="exact"/>
              <w:rPr>
                <w:rFonts w:hint="eastAsia" w:ascii="仿宋" w:hAnsi="仿宋" w:eastAsia="仿宋" w:cs="仿宋"/>
                <w:b w:val="0"/>
                <w:bCs w:val="0"/>
                <w:color w:val="auto"/>
                <w:sz w:val="18"/>
                <w:szCs w:val="18"/>
                <w:highlight w:val="none"/>
              </w:rPr>
            </w:pPr>
          </w:p>
        </w:tc>
        <w:tc>
          <w:tcPr>
            <w:tcW w:w="666" w:type="dxa"/>
            <w:vAlign w:val="center"/>
          </w:tcPr>
          <w:p>
            <w:pPr>
              <w:spacing w:line="400" w:lineRule="exact"/>
              <w:jc w:val="center"/>
              <w:rPr>
                <w:rFonts w:hint="eastAsia" w:ascii="仿宋" w:hAnsi="仿宋" w:eastAsia="仿宋" w:cs="仿宋"/>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1" w:hRule="atLeast"/>
        </w:trPr>
        <w:tc>
          <w:tcPr>
            <w:tcW w:w="690" w:type="dxa"/>
            <w:vAlign w:val="center"/>
          </w:tcPr>
          <w:p>
            <w:pPr>
              <w:tabs>
                <w:tab w:val="left" w:pos="7937"/>
              </w:tabs>
              <w:spacing w:line="240" w:lineRule="exact"/>
              <w:jc w:val="center"/>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27</w:t>
            </w:r>
          </w:p>
        </w:tc>
        <w:tc>
          <w:tcPr>
            <w:tcW w:w="1247"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行政检查</w:t>
            </w:r>
          </w:p>
        </w:tc>
        <w:tc>
          <w:tcPr>
            <w:tcW w:w="1512" w:type="dxa"/>
            <w:vAlign w:val="center"/>
          </w:tcPr>
          <w:p>
            <w:pPr>
              <w:tabs>
                <w:tab w:val="left" w:pos="7937"/>
              </w:tabs>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对家庭服务企业进行的行政检查</w:t>
            </w:r>
          </w:p>
        </w:tc>
        <w:tc>
          <w:tcPr>
            <w:tcW w:w="1190" w:type="dxa"/>
            <w:vAlign w:val="center"/>
          </w:tcPr>
          <w:p>
            <w:pPr>
              <w:spacing w:line="24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55" w:type="dxa"/>
            <w:vAlign w:val="center"/>
          </w:tcPr>
          <w:p>
            <w:pPr>
              <w:tabs>
                <w:tab w:val="left" w:pos="7937"/>
              </w:tabs>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《家庭服务业管理暂行办法》（商务部令2012年第11号）第四条：县级以上商务主管部门负责本行政区域内家庭服务业的监督管理。</w:t>
            </w:r>
          </w:p>
        </w:tc>
        <w:tc>
          <w:tcPr>
            <w:tcW w:w="2866" w:type="dxa"/>
            <w:vAlign w:val="center"/>
          </w:tcPr>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检查责任：</w:t>
            </w:r>
          </w:p>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w:t>
            </w:r>
            <w:r>
              <w:rPr>
                <w:rFonts w:hint="eastAsia" w:ascii="仿宋" w:hAnsi="仿宋" w:eastAsia="仿宋" w:cs="仿宋"/>
                <w:b w:val="0"/>
                <w:bCs w:val="0"/>
                <w:color w:val="auto"/>
                <w:sz w:val="18"/>
                <w:szCs w:val="18"/>
                <w:lang w:val="en-US" w:eastAsia="zh-CN"/>
              </w:rPr>
              <w:t>.</w:t>
            </w:r>
            <w:r>
              <w:rPr>
                <w:rFonts w:hint="eastAsia" w:ascii="仿宋" w:hAnsi="仿宋" w:eastAsia="仿宋" w:cs="仿宋"/>
                <w:b w:val="0"/>
                <w:bCs w:val="0"/>
                <w:color w:val="auto"/>
                <w:sz w:val="18"/>
                <w:szCs w:val="18"/>
              </w:rPr>
              <w:t>对辖区内</w:t>
            </w:r>
            <w:r>
              <w:rPr>
                <w:rFonts w:hint="eastAsia" w:ascii="仿宋" w:hAnsi="仿宋" w:eastAsia="仿宋" w:cs="仿宋"/>
                <w:b w:val="0"/>
                <w:bCs w:val="0"/>
                <w:color w:val="auto"/>
                <w:sz w:val="18"/>
                <w:szCs w:val="18"/>
                <w:shd w:val="clear" w:color="auto" w:fill="FFFFFF"/>
              </w:rPr>
              <w:t>家庭服务企业活动进行检查</w:t>
            </w:r>
            <w:r>
              <w:rPr>
                <w:rFonts w:hint="eastAsia" w:ascii="仿宋" w:hAnsi="仿宋" w:eastAsia="仿宋" w:cs="仿宋"/>
                <w:b w:val="0"/>
                <w:bCs w:val="0"/>
                <w:color w:val="auto"/>
                <w:sz w:val="18"/>
                <w:szCs w:val="18"/>
              </w:rPr>
              <w:t>；</w:t>
            </w:r>
          </w:p>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2.处置责任：对监督检查发现的问题，责令限期改正、依法实施处罚；</w:t>
            </w:r>
          </w:p>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3.事后管理责任：对监督检查发现的问题，企业整改完成后，对整改情况进行核查；</w:t>
            </w:r>
          </w:p>
          <w:p>
            <w:pPr>
              <w:tabs>
                <w:tab w:val="left" w:pos="7937"/>
              </w:tabs>
              <w:spacing w:line="260" w:lineRule="exact"/>
              <w:rPr>
                <w:rFonts w:hint="eastAsia" w:ascii="仿宋" w:hAnsi="仿宋" w:eastAsia="仿宋" w:cs="仿宋"/>
                <w:b w:val="0"/>
                <w:bCs w:val="0"/>
                <w:color w:val="auto"/>
                <w:sz w:val="18"/>
                <w:szCs w:val="18"/>
              </w:rPr>
            </w:pPr>
          </w:p>
        </w:tc>
        <w:tc>
          <w:tcPr>
            <w:tcW w:w="2607" w:type="dxa"/>
            <w:vAlign w:val="center"/>
          </w:tcPr>
          <w:p>
            <w:pPr>
              <w:tabs>
                <w:tab w:val="left" w:pos="7937"/>
              </w:tabs>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kern w:val="0"/>
                <w:sz w:val="18"/>
                <w:szCs w:val="18"/>
              </w:rPr>
              <w:t xml:space="preserve"> </w:t>
            </w:r>
            <w:r>
              <w:rPr>
                <w:rFonts w:hint="eastAsia" w:ascii="仿宋" w:hAnsi="仿宋" w:eastAsia="仿宋" w:cs="仿宋"/>
                <w:b w:val="0"/>
                <w:bCs w:val="0"/>
                <w:color w:val="auto"/>
                <w:sz w:val="18"/>
                <w:szCs w:val="18"/>
              </w:rPr>
              <w:t>商务主管部门在家庭服务业监督管理工作中，玩忽职守、滥用职权、徇私舞弊的，依法给予行政处分；构成犯罪的，依法追究刑事责任。</w:t>
            </w:r>
          </w:p>
        </w:tc>
        <w:tc>
          <w:tcPr>
            <w:tcW w:w="666" w:type="dxa"/>
            <w:vAlign w:val="center"/>
          </w:tcPr>
          <w:p>
            <w:pPr>
              <w:tabs>
                <w:tab w:val="left" w:pos="7937"/>
              </w:tabs>
              <w:spacing w:line="260" w:lineRule="exact"/>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5" w:hRule="atLeast"/>
        </w:trPr>
        <w:tc>
          <w:tcPr>
            <w:tcW w:w="690" w:type="dxa"/>
            <w:vAlign w:val="center"/>
          </w:tcPr>
          <w:p>
            <w:pPr>
              <w:tabs>
                <w:tab w:val="left" w:pos="7937"/>
              </w:tabs>
              <w:spacing w:line="260" w:lineRule="exact"/>
              <w:jc w:val="center"/>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28</w:t>
            </w:r>
          </w:p>
        </w:tc>
        <w:tc>
          <w:tcPr>
            <w:tcW w:w="1247"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行政检查</w:t>
            </w:r>
          </w:p>
        </w:tc>
        <w:tc>
          <w:tcPr>
            <w:tcW w:w="1512" w:type="dxa"/>
            <w:vAlign w:val="center"/>
          </w:tcPr>
          <w:p>
            <w:pPr>
              <w:tabs>
                <w:tab w:val="left" w:pos="7937"/>
              </w:tabs>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对洗染经营企业进行的行政检查</w:t>
            </w:r>
          </w:p>
        </w:tc>
        <w:tc>
          <w:tcPr>
            <w:tcW w:w="1190" w:type="dxa"/>
            <w:vAlign w:val="center"/>
          </w:tcPr>
          <w:p>
            <w:pPr>
              <w:spacing w:line="24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55" w:type="dxa"/>
            <w:vAlign w:val="center"/>
          </w:tcPr>
          <w:p>
            <w:pPr>
              <w:tabs>
                <w:tab w:val="left" w:pos="7937"/>
              </w:tabs>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《洗染业管理办法》（商务部、工商总局、环保总局令2007年第5号）第三条：地方各级商务主管部门负责本行政区域内洗染行业指导、协调、监督和管理工作。</w:t>
            </w:r>
          </w:p>
        </w:tc>
        <w:tc>
          <w:tcPr>
            <w:tcW w:w="2866" w:type="dxa"/>
            <w:vAlign w:val="center"/>
          </w:tcPr>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检查责任：</w:t>
            </w:r>
          </w:p>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w:t>
            </w:r>
            <w:r>
              <w:rPr>
                <w:rFonts w:hint="eastAsia" w:ascii="仿宋" w:hAnsi="仿宋" w:eastAsia="仿宋" w:cs="仿宋"/>
                <w:b w:val="0"/>
                <w:bCs w:val="0"/>
                <w:color w:val="auto"/>
                <w:sz w:val="18"/>
                <w:szCs w:val="18"/>
                <w:lang w:val="en-US" w:eastAsia="zh-CN"/>
              </w:rPr>
              <w:t>.</w:t>
            </w:r>
            <w:r>
              <w:rPr>
                <w:rFonts w:hint="eastAsia" w:ascii="仿宋" w:hAnsi="仿宋" w:eastAsia="仿宋" w:cs="仿宋"/>
                <w:b w:val="0"/>
                <w:bCs w:val="0"/>
                <w:color w:val="auto"/>
                <w:sz w:val="18"/>
                <w:szCs w:val="18"/>
              </w:rPr>
              <w:t>对辖区洗染经营企业</w:t>
            </w:r>
            <w:r>
              <w:rPr>
                <w:rFonts w:hint="eastAsia" w:ascii="仿宋" w:hAnsi="仿宋" w:eastAsia="仿宋" w:cs="仿宋"/>
                <w:b w:val="0"/>
                <w:bCs w:val="0"/>
                <w:color w:val="auto"/>
                <w:sz w:val="18"/>
                <w:szCs w:val="18"/>
                <w:shd w:val="clear" w:color="auto" w:fill="FFFFFF"/>
              </w:rPr>
              <w:t>进行检查</w:t>
            </w:r>
            <w:r>
              <w:rPr>
                <w:rFonts w:hint="eastAsia" w:ascii="仿宋" w:hAnsi="仿宋" w:eastAsia="仿宋" w:cs="仿宋"/>
                <w:b w:val="0"/>
                <w:bCs w:val="0"/>
                <w:color w:val="auto"/>
                <w:sz w:val="18"/>
                <w:szCs w:val="18"/>
              </w:rPr>
              <w:t>；</w:t>
            </w:r>
          </w:p>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2.处置责任：对监督检查发现的问题，责令限期改正、依法实施处罚；</w:t>
            </w:r>
          </w:p>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3.事后管理责任：对监督检查发现的问题，企业整改完成后，对整改情况进行核查；</w:t>
            </w:r>
          </w:p>
          <w:p>
            <w:pPr>
              <w:tabs>
                <w:tab w:val="left" w:pos="7937"/>
              </w:tabs>
              <w:spacing w:line="260" w:lineRule="exact"/>
              <w:rPr>
                <w:rFonts w:hint="eastAsia" w:ascii="仿宋" w:hAnsi="仿宋" w:eastAsia="仿宋" w:cs="仿宋"/>
                <w:b w:val="0"/>
                <w:bCs w:val="0"/>
                <w:color w:val="auto"/>
                <w:sz w:val="18"/>
                <w:szCs w:val="18"/>
              </w:rPr>
            </w:pPr>
          </w:p>
        </w:tc>
        <w:tc>
          <w:tcPr>
            <w:tcW w:w="2607" w:type="dxa"/>
            <w:vAlign w:val="center"/>
          </w:tcPr>
          <w:p>
            <w:pPr>
              <w:tabs>
                <w:tab w:val="left" w:pos="7937"/>
              </w:tabs>
              <w:spacing w:line="260" w:lineRule="exact"/>
              <w:rPr>
                <w:rFonts w:hint="eastAsia" w:ascii="仿宋" w:hAnsi="仿宋" w:eastAsia="仿宋" w:cs="仿宋"/>
                <w:b w:val="0"/>
                <w:bCs w:val="0"/>
                <w:color w:val="auto"/>
                <w:spacing w:val="-4"/>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spacing w:line="240" w:lineRule="exact"/>
              <w:rPr>
                <w:rFonts w:hint="eastAsia" w:ascii="仿宋" w:hAnsi="仿宋" w:eastAsia="仿宋" w:cs="仿宋"/>
                <w:b w:val="0"/>
                <w:bCs w:val="0"/>
                <w:color w:val="auto"/>
                <w:spacing w:val="-4"/>
                <w:sz w:val="18"/>
                <w:szCs w:val="18"/>
              </w:rPr>
            </w:pPr>
            <w:r>
              <w:rPr>
                <w:rFonts w:hint="eastAsia" w:ascii="仿宋" w:hAnsi="仿宋" w:eastAsia="仿宋" w:cs="仿宋"/>
                <w:b w:val="0"/>
                <w:bCs w:val="0"/>
                <w:color w:val="auto"/>
                <w:spacing w:val="-4"/>
                <w:sz w:val="18"/>
                <w:szCs w:val="18"/>
              </w:rPr>
              <w:t>1.对在检查中发现的问题，不责令限期改正、不依法实施处罚；</w:t>
            </w:r>
          </w:p>
          <w:p>
            <w:pPr>
              <w:spacing w:line="240" w:lineRule="exact"/>
              <w:rPr>
                <w:rFonts w:hint="eastAsia" w:ascii="仿宋" w:hAnsi="仿宋" w:eastAsia="仿宋" w:cs="仿宋"/>
                <w:b w:val="0"/>
                <w:bCs w:val="0"/>
                <w:color w:val="auto"/>
                <w:spacing w:val="-4"/>
                <w:sz w:val="18"/>
                <w:szCs w:val="18"/>
              </w:rPr>
            </w:pPr>
            <w:r>
              <w:rPr>
                <w:rFonts w:hint="eastAsia" w:ascii="仿宋" w:hAnsi="仿宋" w:eastAsia="仿宋" w:cs="仿宋"/>
                <w:b w:val="0"/>
                <w:bCs w:val="0"/>
                <w:color w:val="auto"/>
                <w:spacing w:val="-4"/>
                <w:sz w:val="18"/>
                <w:szCs w:val="18"/>
              </w:rPr>
              <w:t>2.对监督检查发现的问题，企业整改完成后，不对整改情况进行核查；</w:t>
            </w:r>
          </w:p>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pacing w:val="-4"/>
                <w:sz w:val="18"/>
                <w:szCs w:val="18"/>
              </w:rPr>
              <w:t>3.其他违反法律法规规章文件规定的行为。</w:t>
            </w:r>
          </w:p>
          <w:p>
            <w:pPr>
              <w:tabs>
                <w:tab w:val="left" w:pos="7937"/>
              </w:tabs>
              <w:spacing w:line="260" w:lineRule="exact"/>
              <w:rPr>
                <w:rFonts w:hint="eastAsia" w:ascii="仿宋" w:hAnsi="仿宋" w:eastAsia="仿宋" w:cs="仿宋"/>
                <w:b w:val="0"/>
                <w:bCs w:val="0"/>
                <w:color w:val="auto"/>
                <w:sz w:val="18"/>
                <w:szCs w:val="18"/>
              </w:rPr>
            </w:pPr>
          </w:p>
        </w:tc>
        <w:tc>
          <w:tcPr>
            <w:tcW w:w="666" w:type="dxa"/>
            <w:vAlign w:val="center"/>
          </w:tcPr>
          <w:p>
            <w:pPr>
              <w:tabs>
                <w:tab w:val="left" w:pos="7937"/>
              </w:tabs>
              <w:spacing w:line="260" w:lineRule="exact"/>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690" w:type="dxa"/>
            <w:vAlign w:val="center"/>
          </w:tcPr>
          <w:p>
            <w:pPr>
              <w:tabs>
                <w:tab w:val="left" w:pos="7937"/>
              </w:tabs>
              <w:spacing w:line="260" w:lineRule="exact"/>
              <w:jc w:val="center"/>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29</w:t>
            </w:r>
          </w:p>
        </w:tc>
        <w:tc>
          <w:tcPr>
            <w:tcW w:w="1247"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行政检查</w:t>
            </w:r>
          </w:p>
        </w:tc>
        <w:tc>
          <w:tcPr>
            <w:tcW w:w="1512" w:type="dxa"/>
            <w:vAlign w:val="center"/>
          </w:tcPr>
          <w:p>
            <w:pPr>
              <w:tabs>
                <w:tab w:val="left" w:pos="7937"/>
              </w:tabs>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对家电维修企业进行的行政检查</w:t>
            </w:r>
          </w:p>
        </w:tc>
        <w:tc>
          <w:tcPr>
            <w:tcW w:w="1190" w:type="dxa"/>
            <w:vAlign w:val="center"/>
          </w:tcPr>
          <w:p>
            <w:pPr>
              <w:spacing w:line="24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55" w:type="dxa"/>
            <w:vAlign w:val="center"/>
          </w:tcPr>
          <w:p>
            <w:pPr>
              <w:tabs>
                <w:tab w:val="left" w:pos="7937"/>
              </w:tabs>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《家电维修服务业管理办法》（商务部令2012年第7号 2012年8月1日起施行）第三条： 商务部负责家电维修服务业的行业管理工作，各级商务主管部门负责本行政区域内的家电维修服务业的指导、协调和监督管理工作。</w:t>
            </w:r>
          </w:p>
        </w:tc>
        <w:tc>
          <w:tcPr>
            <w:tcW w:w="2866" w:type="dxa"/>
            <w:vAlign w:val="center"/>
          </w:tcPr>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检查责任：</w:t>
            </w:r>
          </w:p>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w:t>
            </w:r>
            <w:r>
              <w:rPr>
                <w:rFonts w:hint="eastAsia" w:ascii="仿宋" w:hAnsi="仿宋" w:eastAsia="仿宋" w:cs="仿宋"/>
                <w:b w:val="0"/>
                <w:bCs w:val="0"/>
                <w:color w:val="auto"/>
                <w:sz w:val="18"/>
                <w:szCs w:val="18"/>
                <w:lang w:val="en-US" w:eastAsia="zh-CN"/>
              </w:rPr>
              <w:t>.</w:t>
            </w:r>
            <w:r>
              <w:rPr>
                <w:rFonts w:hint="eastAsia" w:ascii="仿宋" w:hAnsi="仿宋" w:eastAsia="仿宋" w:cs="仿宋"/>
                <w:b w:val="0"/>
                <w:bCs w:val="0"/>
                <w:color w:val="auto"/>
                <w:sz w:val="18"/>
                <w:szCs w:val="18"/>
              </w:rPr>
              <w:t>对辖区内家电维修服务</w:t>
            </w:r>
            <w:r>
              <w:rPr>
                <w:rFonts w:hint="eastAsia" w:ascii="仿宋" w:hAnsi="仿宋" w:eastAsia="仿宋" w:cs="仿宋"/>
                <w:b w:val="0"/>
                <w:bCs w:val="0"/>
                <w:color w:val="auto"/>
                <w:sz w:val="18"/>
                <w:szCs w:val="18"/>
                <w:shd w:val="clear" w:color="auto" w:fill="FFFFFF"/>
              </w:rPr>
              <w:t>企业活动进行检查</w:t>
            </w:r>
            <w:r>
              <w:rPr>
                <w:rFonts w:hint="eastAsia" w:ascii="仿宋" w:hAnsi="仿宋" w:eastAsia="仿宋" w:cs="仿宋"/>
                <w:b w:val="0"/>
                <w:bCs w:val="0"/>
                <w:color w:val="auto"/>
                <w:sz w:val="18"/>
                <w:szCs w:val="18"/>
              </w:rPr>
              <w:t>；</w:t>
            </w:r>
          </w:p>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2.处置责任：对监督检查发现的问题，责令限期改正、依法实施处罚；</w:t>
            </w:r>
          </w:p>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3.事后管理责任：对监督检查发现的问题，企业整改完成后，对整改情况进行核查；</w:t>
            </w:r>
          </w:p>
          <w:p>
            <w:pPr>
              <w:tabs>
                <w:tab w:val="left" w:pos="7937"/>
              </w:tabs>
              <w:spacing w:line="260" w:lineRule="exact"/>
              <w:rPr>
                <w:rFonts w:hint="eastAsia" w:ascii="仿宋" w:hAnsi="仿宋" w:eastAsia="仿宋" w:cs="仿宋"/>
                <w:b w:val="0"/>
                <w:bCs w:val="0"/>
                <w:color w:val="auto"/>
                <w:sz w:val="18"/>
                <w:szCs w:val="18"/>
              </w:rPr>
            </w:pPr>
          </w:p>
        </w:tc>
        <w:tc>
          <w:tcPr>
            <w:tcW w:w="2607" w:type="dxa"/>
            <w:vAlign w:val="center"/>
          </w:tcPr>
          <w:p>
            <w:pPr>
              <w:tabs>
                <w:tab w:val="left" w:pos="7937"/>
              </w:tabs>
              <w:spacing w:line="260" w:lineRule="exact"/>
              <w:rPr>
                <w:rFonts w:hint="eastAsia" w:ascii="仿宋" w:hAnsi="仿宋" w:eastAsia="仿宋" w:cs="仿宋"/>
                <w:b w:val="0"/>
                <w:bCs w:val="0"/>
                <w:color w:val="auto"/>
                <w:spacing w:val="-4"/>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spacing w:line="240" w:lineRule="exact"/>
              <w:rPr>
                <w:rFonts w:hint="eastAsia" w:ascii="仿宋" w:hAnsi="仿宋" w:eastAsia="仿宋" w:cs="仿宋"/>
                <w:b w:val="0"/>
                <w:bCs w:val="0"/>
                <w:color w:val="auto"/>
                <w:spacing w:val="-4"/>
                <w:sz w:val="18"/>
                <w:szCs w:val="18"/>
              </w:rPr>
            </w:pPr>
            <w:r>
              <w:rPr>
                <w:rFonts w:hint="eastAsia" w:ascii="仿宋" w:hAnsi="仿宋" w:eastAsia="仿宋" w:cs="仿宋"/>
                <w:b w:val="0"/>
                <w:bCs w:val="0"/>
                <w:color w:val="auto"/>
                <w:spacing w:val="-4"/>
                <w:sz w:val="18"/>
                <w:szCs w:val="18"/>
              </w:rPr>
              <w:t>1.对在检查中发现的问题，不责令限期改正、不依法实施处罚；</w:t>
            </w:r>
          </w:p>
          <w:p>
            <w:pPr>
              <w:spacing w:line="240" w:lineRule="exact"/>
              <w:rPr>
                <w:rFonts w:hint="eastAsia" w:ascii="仿宋" w:hAnsi="仿宋" w:eastAsia="仿宋" w:cs="仿宋"/>
                <w:b w:val="0"/>
                <w:bCs w:val="0"/>
                <w:color w:val="auto"/>
                <w:spacing w:val="-4"/>
                <w:sz w:val="18"/>
                <w:szCs w:val="18"/>
              </w:rPr>
            </w:pPr>
            <w:r>
              <w:rPr>
                <w:rFonts w:hint="eastAsia" w:ascii="仿宋" w:hAnsi="仿宋" w:eastAsia="仿宋" w:cs="仿宋"/>
                <w:b w:val="0"/>
                <w:bCs w:val="0"/>
                <w:color w:val="auto"/>
                <w:spacing w:val="-4"/>
                <w:sz w:val="18"/>
                <w:szCs w:val="18"/>
              </w:rPr>
              <w:t>2.对监督检查发现的问题，企业整改完成后，不对整改情况进行核查；</w:t>
            </w:r>
          </w:p>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pacing w:val="-4"/>
                <w:sz w:val="18"/>
                <w:szCs w:val="18"/>
              </w:rPr>
              <w:t>3.其他违反法律法规规章文件规定的行为。</w:t>
            </w:r>
          </w:p>
          <w:p>
            <w:pPr>
              <w:tabs>
                <w:tab w:val="left" w:pos="7937"/>
              </w:tabs>
              <w:spacing w:line="260" w:lineRule="exact"/>
              <w:rPr>
                <w:rFonts w:hint="eastAsia" w:ascii="仿宋" w:hAnsi="仿宋" w:eastAsia="仿宋" w:cs="仿宋"/>
                <w:b w:val="0"/>
                <w:bCs w:val="0"/>
                <w:color w:val="auto"/>
                <w:sz w:val="18"/>
                <w:szCs w:val="18"/>
              </w:rPr>
            </w:pPr>
          </w:p>
        </w:tc>
        <w:tc>
          <w:tcPr>
            <w:tcW w:w="666" w:type="dxa"/>
            <w:vAlign w:val="center"/>
          </w:tcPr>
          <w:p>
            <w:pPr>
              <w:tabs>
                <w:tab w:val="left" w:pos="7937"/>
              </w:tabs>
              <w:spacing w:line="260" w:lineRule="exact"/>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4" w:hRule="atLeast"/>
        </w:trPr>
        <w:tc>
          <w:tcPr>
            <w:tcW w:w="690" w:type="dxa"/>
            <w:vAlign w:val="center"/>
          </w:tcPr>
          <w:p>
            <w:pPr>
              <w:tabs>
                <w:tab w:val="left" w:pos="7937"/>
              </w:tabs>
              <w:spacing w:line="260" w:lineRule="exact"/>
              <w:jc w:val="center"/>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30</w:t>
            </w:r>
          </w:p>
        </w:tc>
        <w:tc>
          <w:tcPr>
            <w:tcW w:w="1247"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行政检查</w:t>
            </w:r>
          </w:p>
        </w:tc>
        <w:tc>
          <w:tcPr>
            <w:tcW w:w="1512" w:type="dxa"/>
            <w:vAlign w:val="center"/>
          </w:tcPr>
          <w:p>
            <w:pPr>
              <w:tabs>
                <w:tab w:val="left" w:pos="7937"/>
              </w:tabs>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对市场经营者进行的行政检查</w:t>
            </w:r>
          </w:p>
        </w:tc>
        <w:tc>
          <w:tcPr>
            <w:tcW w:w="1190" w:type="dxa"/>
            <w:vAlign w:val="center"/>
          </w:tcPr>
          <w:p>
            <w:pPr>
              <w:spacing w:line="24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55" w:type="dxa"/>
            <w:vAlign w:val="center"/>
          </w:tcPr>
          <w:p>
            <w:pPr>
              <w:tabs>
                <w:tab w:val="left" w:pos="7937"/>
              </w:tabs>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《商品现货市场交易特别规定》</w:t>
            </w:r>
            <w:r>
              <w:rPr>
                <w:rFonts w:hint="eastAsia" w:ascii="仿宋" w:hAnsi="仿宋" w:eastAsia="仿宋" w:cs="仿宋"/>
                <w:b w:val="0"/>
                <w:bCs w:val="0"/>
                <w:color w:val="auto"/>
                <w:sz w:val="18"/>
                <w:szCs w:val="18"/>
              </w:rPr>
              <w:t>第二十条</w:t>
            </w:r>
            <w:r>
              <w:rPr>
                <w:rFonts w:hint="eastAsia" w:ascii="仿宋" w:hAnsi="仿宋" w:eastAsia="仿宋" w:cs="仿宋"/>
                <w:b w:val="0"/>
                <w:bCs w:val="0"/>
                <w:color w:val="auto"/>
                <w:sz w:val="18"/>
                <w:szCs w:val="18"/>
                <w:lang w:val="en-US" w:eastAsia="zh-CN"/>
              </w:rPr>
              <w:t>:</w:t>
            </w:r>
            <w:r>
              <w:rPr>
                <w:rFonts w:hint="eastAsia" w:ascii="仿宋" w:hAnsi="仿宋" w:eastAsia="仿宋" w:cs="仿宋"/>
                <w:b w:val="0"/>
                <w:bCs w:val="0"/>
                <w:color w:val="auto"/>
                <w:sz w:val="18"/>
                <w:szCs w:val="18"/>
              </w:rPr>
              <w:t>县级以上人民政府商务主管部门负责本行政区域内的商品现货市场的行业管理，并按照要求及时报送行业发展规划和其他具体措施。</w:t>
            </w:r>
          </w:p>
        </w:tc>
        <w:tc>
          <w:tcPr>
            <w:tcW w:w="2866" w:type="dxa"/>
            <w:vAlign w:val="center"/>
          </w:tcPr>
          <w:p>
            <w:pPr>
              <w:tabs>
                <w:tab w:val="left" w:pos="7937"/>
              </w:tabs>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检查责任：</w:t>
            </w:r>
          </w:p>
          <w:p>
            <w:pPr>
              <w:tabs>
                <w:tab w:val="left" w:pos="7937"/>
              </w:tabs>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w:t>
            </w:r>
            <w:r>
              <w:rPr>
                <w:rFonts w:hint="eastAsia" w:ascii="仿宋" w:hAnsi="仿宋" w:eastAsia="仿宋" w:cs="仿宋"/>
                <w:b w:val="0"/>
                <w:bCs w:val="0"/>
                <w:color w:val="auto"/>
                <w:sz w:val="18"/>
                <w:szCs w:val="18"/>
                <w:lang w:val="en-US" w:eastAsia="zh-CN"/>
              </w:rPr>
              <w:t>.</w:t>
            </w:r>
            <w:r>
              <w:rPr>
                <w:rFonts w:hint="eastAsia" w:ascii="仿宋" w:hAnsi="仿宋" w:eastAsia="仿宋" w:cs="仿宋"/>
                <w:b w:val="0"/>
                <w:bCs w:val="0"/>
                <w:color w:val="auto"/>
                <w:sz w:val="18"/>
                <w:szCs w:val="18"/>
              </w:rPr>
              <w:t>对辖区内</w:t>
            </w:r>
            <w:r>
              <w:rPr>
                <w:rFonts w:hint="eastAsia" w:ascii="仿宋" w:hAnsi="仿宋" w:eastAsia="仿宋" w:cs="仿宋"/>
                <w:b w:val="0"/>
                <w:bCs w:val="0"/>
                <w:color w:val="auto"/>
                <w:sz w:val="18"/>
                <w:szCs w:val="18"/>
                <w:lang w:val="en-US" w:eastAsia="zh-CN"/>
              </w:rPr>
              <w:t>市场经营者</w:t>
            </w:r>
            <w:r>
              <w:rPr>
                <w:rFonts w:hint="eastAsia" w:ascii="仿宋" w:hAnsi="仿宋" w:eastAsia="仿宋" w:cs="仿宋"/>
                <w:b w:val="0"/>
                <w:bCs w:val="0"/>
                <w:color w:val="auto"/>
                <w:sz w:val="18"/>
                <w:szCs w:val="18"/>
              </w:rPr>
              <w:t>进行检查；</w:t>
            </w:r>
          </w:p>
          <w:p>
            <w:pPr>
              <w:tabs>
                <w:tab w:val="left" w:pos="7937"/>
              </w:tabs>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2.处置责任：对监督检查发现的问题，责令限期改正、依法实施处罚；</w:t>
            </w:r>
          </w:p>
          <w:p>
            <w:pPr>
              <w:tabs>
                <w:tab w:val="left" w:pos="7937"/>
              </w:tabs>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3.事后管理责任：对监督检查发现的问题，企业整改完成后，对整改情况进行核查；</w:t>
            </w:r>
          </w:p>
        </w:tc>
        <w:tc>
          <w:tcPr>
            <w:tcW w:w="2607" w:type="dxa"/>
            <w:vAlign w:val="center"/>
          </w:tcPr>
          <w:p>
            <w:pPr>
              <w:tabs>
                <w:tab w:val="left" w:pos="7937"/>
              </w:tabs>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tabs>
                <w:tab w:val="left" w:pos="7937"/>
              </w:tabs>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1</w:t>
            </w:r>
            <w:r>
              <w:rPr>
                <w:rFonts w:hint="eastAsia" w:ascii="仿宋" w:hAnsi="仿宋" w:eastAsia="仿宋" w:cs="仿宋"/>
                <w:b w:val="0"/>
                <w:bCs w:val="0"/>
                <w:color w:val="auto"/>
                <w:sz w:val="18"/>
                <w:szCs w:val="18"/>
              </w:rPr>
              <w:t>.对在检查中发现的问题，不责令限期改</w:t>
            </w:r>
            <w:r>
              <w:rPr>
                <w:rFonts w:hint="eastAsia" w:ascii="仿宋" w:hAnsi="仿宋" w:eastAsia="仿宋" w:cs="仿宋"/>
                <w:b w:val="0"/>
                <w:bCs w:val="0"/>
                <w:color w:val="auto"/>
                <w:sz w:val="18"/>
                <w:szCs w:val="18"/>
                <w:lang w:eastAsia="zh-CN"/>
              </w:rPr>
              <w:t>正</w:t>
            </w:r>
            <w:r>
              <w:rPr>
                <w:rFonts w:hint="eastAsia" w:ascii="仿宋" w:hAnsi="仿宋" w:eastAsia="仿宋" w:cs="仿宋"/>
                <w:b w:val="0"/>
                <w:bCs w:val="0"/>
                <w:color w:val="auto"/>
                <w:sz w:val="18"/>
                <w:szCs w:val="18"/>
              </w:rPr>
              <w:t>、不依法实施处罚；</w:t>
            </w:r>
          </w:p>
          <w:p>
            <w:pPr>
              <w:tabs>
                <w:tab w:val="left" w:pos="7937"/>
              </w:tabs>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2</w:t>
            </w:r>
            <w:r>
              <w:rPr>
                <w:rFonts w:hint="eastAsia" w:ascii="仿宋" w:hAnsi="仿宋" w:eastAsia="仿宋" w:cs="仿宋"/>
                <w:b w:val="0"/>
                <w:bCs w:val="0"/>
                <w:color w:val="auto"/>
                <w:sz w:val="18"/>
                <w:szCs w:val="18"/>
              </w:rPr>
              <w:t>.对监督检查发现的问题，企业整改完成后，不对整改情况进行核查；</w:t>
            </w:r>
          </w:p>
          <w:p>
            <w:pPr>
              <w:tabs>
                <w:tab w:val="left" w:pos="7937"/>
              </w:tabs>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3</w:t>
            </w:r>
            <w:r>
              <w:rPr>
                <w:rFonts w:hint="eastAsia" w:ascii="仿宋" w:hAnsi="仿宋" w:eastAsia="仿宋" w:cs="仿宋"/>
                <w:b w:val="0"/>
                <w:bCs w:val="0"/>
                <w:color w:val="auto"/>
                <w:sz w:val="18"/>
                <w:szCs w:val="18"/>
              </w:rPr>
              <w:t>.其他违反法律法规规章文件规定的行为。</w:t>
            </w:r>
          </w:p>
          <w:p>
            <w:pPr>
              <w:tabs>
                <w:tab w:val="left" w:pos="7937"/>
              </w:tabs>
              <w:spacing w:line="260" w:lineRule="exact"/>
              <w:rPr>
                <w:rFonts w:hint="eastAsia" w:ascii="仿宋" w:hAnsi="仿宋" w:eastAsia="仿宋" w:cs="仿宋"/>
                <w:b w:val="0"/>
                <w:bCs w:val="0"/>
                <w:color w:val="auto"/>
                <w:sz w:val="18"/>
                <w:szCs w:val="18"/>
              </w:rPr>
            </w:pPr>
          </w:p>
        </w:tc>
        <w:tc>
          <w:tcPr>
            <w:tcW w:w="666" w:type="dxa"/>
            <w:vAlign w:val="center"/>
          </w:tcPr>
          <w:p>
            <w:pPr>
              <w:tabs>
                <w:tab w:val="left" w:pos="7937"/>
              </w:tabs>
              <w:spacing w:line="260" w:lineRule="exact"/>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9" w:hRule="atLeast"/>
        </w:trPr>
        <w:tc>
          <w:tcPr>
            <w:tcW w:w="690" w:type="dxa"/>
            <w:vAlign w:val="center"/>
          </w:tcPr>
          <w:p>
            <w:pPr>
              <w:tabs>
                <w:tab w:val="left" w:pos="7937"/>
              </w:tabs>
              <w:spacing w:line="260" w:lineRule="exact"/>
              <w:jc w:val="center"/>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31</w:t>
            </w:r>
          </w:p>
        </w:tc>
        <w:tc>
          <w:tcPr>
            <w:tcW w:w="1247"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行政检查</w:t>
            </w:r>
          </w:p>
        </w:tc>
        <w:tc>
          <w:tcPr>
            <w:tcW w:w="1512" w:type="dxa"/>
            <w:vAlign w:val="center"/>
          </w:tcPr>
          <w:p>
            <w:pPr>
              <w:tabs>
                <w:tab w:val="left" w:pos="7937"/>
              </w:tabs>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对餐饮企业进行的行政检查</w:t>
            </w:r>
          </w:p>
        </w:tc>
        <w:tc>
          <w:tcPr>
            <w:tcW w:w="1190" w:type="dxa"/>
            <w:vAlign w:val="center"/>
          </w:tcPr>
          <w:p>
            <w:pPr>
              <w:spacing w:line="24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55" w:type="dxa"/>
            <w:vAlign w:val="center"/>
          </w:tcPr>
          <w:p>
            <w:pPr>
              <w:tabs>
                <w:tab w:val="left" w:pos="7937"/>
              </w:tabs>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《餐饮业经营管理办法（试行）》（商务部令2014年第4号 2014年11月1日起施行）第二十一条第一款：商务、价格等主管部门依照法律法规、规章及有关规定，在各自职责范围内对餐饮业经营行为进行监督管理。</w:t>
            </w:r>
          </w:p>
          <w:p>
            <w:pPr>
              <w:tabs>
                <w:tab w:val="left" w:pos="7937"/>
              </w:tabs>
              <w:spacing w:line="260" w:lineRule="exact"/>
              <w:rPr>
                <w:rFonts w:hint="eastAsia" w:ascii="仿宋" w:hAnsi="仿宋" w:eastAsia="仿宋" w:cs="仿宋"/>
                <w:b w:val="0"/>
                <w:bCs w:val="0"/>
                <w:color w:val="auto"/>
                <w:sz w:val="18"/>
                <w:szCs w:val="18"/>
              </w:rPr>
            </w:pPr>
          </w:p>
        </w:tc>
        <w:tc>
          <w:tcPr>
            <w:tcW w:w="2866" w:type="dxa"/>
            <w:vAlign w:val="center"/>
          </w:tcPr>
          <w:p>
            <w:pPr>
              <w:tabs>
                <w:tab w:val="left" w:pos="7937"/>
              </w:tabs>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检查责任：</w:t>
            </w:r>
          </w:p>
          <w:p>
            <w:pPr>
              <w:tabs>
                <w:tab w:val="left" w:pos="7937"/>
              </w:tabs>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w:t>
            </w:r>
            <w:r>
              <w:rPr>
                <w:rFonts w:hint="eastAsia" w:ascii="仿宋" w:hAnsi="仿宋" w:eastAsia="仿宋" w:cs="仿宋"/>
                <w:b w:val="0"/>
                <w:bCs w:val="0"/>
                <w:color w:val="auto"/>
                <w:sz w:val="18"/>
                <w:szCs w:val="18"/>
                <w:lang w:val="en-US" w:eastAsia="zh-CN"/>
              </w:rPr>
              <w:t>.</w:t>
            </w:r>
            <w:r>
              <w:rPr>
                <w:rFonts w:hint="eastAsia" w:ascii="仿宋" w:hAnsi="仿宋" w:eastAsia="仿宋" w:cs="仿宋"/>
                <w:b w:val="0"/>
                <w:bCs w:val="0"/>
                <w:color w:val="auto"/>
                <w:sz w:val="18"/>
                <w:szCs w:val="18"/>
              </w:rPr>
              <w:t>对辖区内餐饮企业活动进行检查；</w:t>
            </w:r>
          </w:p>
          <w:p>
            <w:pPr>
              <w:tabs>
                <w:tab w:val="left" w:pos="7937"/>
              </w:tabs>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2.处置责任：对监督检查发现的问题，责令限期改正、依法实施处罚；</w:t>
            </w:r>
          </w:p>
          <w:p>
            <w:pPr>
              <w:tabs>
                <w:tab w:val="left" w:pos="7937"/>
              </w:tabs>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3.事后管理责任：对监督检查发现的问题，企业整改完成后，对整改情况进行核查；</w:t>
            </w:r>
          </w:p>
          <w:p>
            <w:pPr>
              <w:tabs>
                <w:tab w:val="left" w:pos="7937"/>
              </w:tabs>
              <w:spacing w:line="260" w:lineRule="exact"/>
              <w:rPr>
                <w:rFonts w:hint="eastAsia" w:ascii="仿宋" w:hAnsi="仿宋" w:eastAsia="仿宋" w:cs="仿宋"/>
                <w:b w:val="0"/>
                <w:bCs w:val="0"/>
                <w:color w:val="auto"/>
                <w:sz w:val="18"/>
                <w:szCs w:val="18"/>
              </w:rPr>
            </w:pPr>
          </w:p>
        </w:tc>
        <w:tc>
          <w:tcPr>
            <w:tcW w:w="2607" w:type="dxa"/>
            <w:vAlign w:val="center"/>
          </w:tcPr>
          <w:p>
            <w:pPr>
              <w:tabs>
                <w:tab w:val="left" w:pos="7937"/>
              </w:tabs>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 商务、价格等主管部门工作人员在监督管理工作中滥用职权、徇私舞弊的，对直接负责的主管人员和其他直接责任人员依法给予行政处分；构成犯罪的，依法追究刑事责任。</w:t>
            </w:r>
          </w:p>
          <w:p>
            <w:pPr>
              <w:tabs>
                <w:tab w:val="left" w:pos="7937"/>
              </w:tabs>
              <w:spacing w:line="260" w:lineRule="exact"/>
              <w:rPr>
                <w:rFonts w:hint="eastAsia" w:ascii="仿宋" w:hAnsi="仿宋" w:eastAsia="仿宋" w:cs="仿宋"/>
                <w:b w:val="0"/>
                <w:bCs w:val="0"/>
                <w:color w:val="auto"/>
                <w:sz w:val="18"/>
                <w:szCs w:val="18"/>
              </w:rPr>
            </w:pPr>
          </w:p>
        </w:tc>
        <w:tc>
          <w:tcPr>
            <w:tcW w:w="666" w:type="dxa"/>
            <w:vAlign w:val="center"/>
          </w:tcPr>
          <w:p>
            <w:pPr>
              <w:tabs>
                <w:tab w:val="left" w:pos="7937"/>
              </w:tabs>
              <w:spacing w:line="260" w:lineRule="exact"/>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2" w:hRule="atLeast"/>
        </w:trPr>
        <w:tc>
          <w:tcPr>
            <w:tcW w:w="690" w:type="dxa"/>
            <w:vAlign w:val="center"/>
          </w:tcPr>
          <w:p>
            <w:pPr>
              <w:tabs>
                <w:tab w:val="left" w:pos="7937"/>
              </w:tabs>
              <w:spacing w:line="240" w:lineRule="exact"/>
              <w:jc w:val="center"/>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32</w:t>
            </w:r>
          </w:p>
        </w:tc>
        <w:tc>
          <w:tcPr>
            <w:tcW w:w="1247"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行政检查</w:t>
            </w:r>
          </w:p>
        </w:tc>
        <w:tc>
          <w:tcPr>
            <w:tcW w:w="1512" w:type="dxa"/>
            <w:vAlign w:val="center"/>
          </w:tcPr>
          <w:p>
            <w:pPr>
              <w:tabs>
                <w:tab w:val="left" w:pos="7937"/>
              </w:tabs>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对汽车销售及其相关服务活动实施日常监督</w:t>
            </w:r>
            <w:r>
              <w:rPr>
                <w:rFonts w:hint="eastAsia" w:ascii="仿宋" w:hAnsi="仿宋" w:eastAsia="仿宋" w:cs="仿宋"/>
                <w:b w:val="0"/>
                <w:bCs w:val="0"/>
                <w:color w:val="auto"/>
                <w:sz w:val="18"/>
                <w:szCs w:val="18"/>
                <w:lang w:val="en-US" w:eastAsia="zh-CN"/>
              </w:rPr>
              <w:t>的行政检查</w:t>
            </w:r>
          </w:p>
        </w:tc>
        <w:tc>
          <w:tcPr>
            <w:tcW w:w="1190" w:type="dxa"/>
            <w:vAlign w:val="center"/>
          </w:tcPr>
          <w:p>
            <w:pPr>
              <w:spacing w:line="24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55" w:type="dxa"/>
            <w:vAlign w:val="center"/>
          </w:tcPr>
          <w:p>
            <w:pPr>
              <w:spacing w:line="240" w:lineRule="exact"/>
              <w:rPr>
                <w:rFonts w:hint="eastAsia" w:ascii="仿宋" w:hAnsi="仿宋" w:eastAsia="仿宋" w:cs="仿宋"/>
                <w:b w:val="0"/>
                <w:bCs w:val="0"/>
                <w:color w:val="auto"/>
                <w:sz w:val="18"/>
                <w:szCs w:val="18"/>
                <w:shd w:val="clear" w:color="auto" w:fill="FFFFFF"/>
              </w:rPr>
            </w:pPr>
            <w:r>
              <w:rPr>
                <w:rFonts w:hint="eastAsia" w:ascii="仿宋" w:hAnsi="仿宋" w:eastAsia="仿宋" w:cs="仿宋"/>
                <w:b w:val="0"/>
                <w:bCs w:val="0"/>
                <w:color w:val="auto"/>
                <w:sz w:val="18"/>
                <w:szCs w:val="18"/>
              </w:rPr>
              <w:t>中华人民共和国商务部令2017年第1号《汽车销售管理办法》</w:t>
            </w:r>
            <w:r>
              <w:rPr>
                <w:rFonts w:hint="eastAsia" w:ascii="仿宋" w:hAnsi="仿宋" w:eastAsia="仿宋" w:cs="仿宋"/>
                <w:b w:val="0"/>
                <w:bCs w:val="0"/>
                <w:color w:val="auto"/>
                <w:sz w:val="18"/>
                <w:szCs w:val="18"/>
                <w:shd w:val="clear" w:color="auto" w:fill="FFFFFF"/>
              </w:rPr>
              <w:t>第二十九条：县级以上地方商务主管部门应当依据职责，采取“双随机”办法对汽车销售及其相关服务活动实施日常监督检查。</w:t>
            </w:r>
          </w:p>
          <w:p>
            <w:pPr>
              <w:tabs>
                <w:tab w:val="left" w:pos="7937"/>
              </w:tabs>
              <w:spacing w:line="240" w:lineRule="exact"/>
              <w:jc w:val="left"/>
              <w:rPr>
                <w:rFonts w:hint="eastAsia" w:ascii="仿宋" w:hAnsi="仿宋" w:eastAsia="仿宋" w:cs="仿宋"/>
                <w:b w:val="0"/>
                <w:bCs w:val="0"/>
                <w:color w:val="auto"/>
                <w:sz w:val="18"/>
                <w:szCs w:val="18"/>
              </w:rPr>
            </w:pPr>
          </w:p>
        </w:tc>
        <w:tc>
          <w:tcPr>
            <w:tcW w:w="2866" w:type="dxa"/>
            <w:vAlign w:val="center"/>
          </w:tcPr>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检查责任：</w:t>
            </w:r>
          </w:p>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1.</w:t>
            </w:r>
            <w:r>
              <w:rPr>
                <w:rFonts w:hint="eastAsia" w:ascii="仿宋" w:hAnsi="仿宋" w:eastAsia="仿宋" w:cs="仿宋"/>
                <w:b w:val="0"/>
                <w:bCs w:val="0"/>
                <w:color w:val="auto"/>
                <w:sz w:val="18"/>
                <w:szCs w:val="18"/>
              </w:rPr>
              <w:t>对辖区内</w:t>
            </w:r>
            <w:r>
              <w:rPr>
                <w:rFonts w:hint="eastAsia" w:ascii="仿宋" w:hAnsi="仿宋" w:eastAsia="仿宋" w:cs="仿宋"/>
                <w:b w:val="0"/>
                <w:bCs w:val="0"/>
                <w:color w:val="auto"/>
                <w:sz w:val="18"/>
                <w:szCs w:val="18"/>
                <w:shd w:val="clear" w:color="auto" w:fill="FFFFFF"/>
              </w:rPr>
              <w:t>汽车销售及其相关服务活动进行检查</w:t>
            </w:r>
            <w:r>
              <w:rPr>
                <w:rFonts w:hint="eastAsia" w:ascii="仿宋" w:hAnsi="仿宋" w:eastAsia="仿宋" w:cs="仿宋"/>
                <w:b w:val="0"/>
                <w:bCs w:val="0"/>
                <w:color w:val="auto"/>
                <w:sz w:val="18"/>
                <w:szCs w:val="18"/>
              </w:rPr>
              <w:t>；</w:t>
            </w:r>
          </w:p>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2.处置责任：对监督检查发现的问题，责令限期改正、依法实施处罚；</w:t>
            </w:r>
          </w:p>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3.事后管理责任：对监督检查发现的问题，企业整改完成后，对整改情况进行核查；</w:t>
            </w:r>
          </w:p>
          <w:p>
            <w:pPr>
              <w:spacing w:line="240" w:lineRule="exact"/>
              <w:rPr>
                <w:rFonts w:hint="eastAsia" w:ascii="仿宋" w:hAnsi="仿宋" w:eastAsia="仿宋" w:cs="仿宋"/>
                <w:b w:val="0"/>
                <w:bCs w:val="0"/>
                <w:color w:val="auto"/>
                <w:sz w:val="18"/>
                <w:szCs w:val="18"/>
              </w:rPr>
            </w:pPr>
          </w:p>
        </w:tc>
        <w:tc>
          <w:tcPr>
            <w:tcW w:w="2607" w:type="dxa"/>
            <w:vAlign w:val="center"/>
          </w:tcPr>
          <w:p>
            <w:pPr>
              <w:tabs>
                <w:tab w:val="left" w:pos="7937"/>
              </w:tabs>
              <w:spacing w:line="260" w:lineRule="exact"/>
              <w:rPr>
                <w:rFonts w:hint="eastAsia" w:ascii="仿宋" w:hAnsi="仿宋" w:eastAsia="仿宋" w:cs="仿宋"/>
                <w:b w:val="0"/>
                <w:bCs w:val="0"/>
                <w:color w:val="auto"/>
                <w:spacing w:val="-4"/>
                <w:sz w:val="18"/>
                <w:szCs w:val="18"/>
              </w:rPr>
            </w:pPr>
            <w:r>
              <w:rPr>
                <w:rFonts w:hint="eastAsia" w:ascii="仿宋" w:hAnsi="仿宋" w:eastAsia="仿宋" w:cs="仿宋"/>
                <w:b w:val="0"/>
                <w:bCs w:val="0"/>
                <w:color w:val="auto"/>
                <w:sz w:val="18"/>
                <w:szCs w:val="18"/>
              </w:rPr>
              <w:br w:type="textWrapping"/>
            </w: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spacing w:line="240" w:lineRule="exact"/>
              <w:rPr>
                <w:rFonts w:hint="eastAsia" w:ascii="仿宋" w:hAnsi="仿宋" w:eastAsia="仿宋" w:cs="仿宋"/>
                <w:b w:val="0"/>
                <w:bCs w:val="0"/>
                <w:color w:val="auto"/>
                <w:spacing w:val="-4"/>
                <w:sz w:val="18"/>
                <w:szCs w:val="18"/>
              </w:rPr>
            </w:pPr>
            <w:r>
              <w:rPr>
                <w:rFonts w:hint="eastAsia" w:ascii="仿宋" w:hAnsi="仿宋" w:eastAsia="仿宋" w:cs="仿宋"/>
                <w:b w:val="0"/>
                <w:bCs w:val="0"/>
                <w:color w:val="auto"/>
                <w:spacing w:val="-4"/>
                <w:sz w:val="18"/>
                <w:szCs w:val="18"/>
              </w:rPr>
              <w:t>1.对在检查中发现的问题，不责令限期改正、不依法实施处罚；</w:t>
            </w:r>
          </w:p>
          <w:p>
            <w:pPr>
              <w:spacing w:line="240" w:lineRule="exact"/>
              <w:rPr>
                <w:rFonts w:hint="eastAsia" w:ascii="仿宋" w:hAnsi="仿宋" w:eastAsia="仿宋" w:cs="仿宋"/>
                <w:b w:val="0"/>
                <w:bCs w:val="0"/>
                <w:color w:val="auto"/>
                <w:spacing w:val="-4"/>
                <w:sz w:val="18"/>
                <w:szCs w:val="18"/>
              </w:rPr>
            </w:pPr>
            <w:r>
              <w:rPr>
                <w:rFonts w:hint="eastAsia" w:ascii="仿宋" w:hAnsi="仿宋" w:eastAsia="仿宋" w:cs="仿宋"/>
                <w:b w:val="0"/>
                <w:bCs w:val="0"/>
                <w:color w:val="auto"/>
                <w:spacing w:val="-4"/>
                <w:sz w:val="18"/>
                <w:szCs w:val="18"/>
              </w:rPr>
              <w:t>2.对监督检查发现的问题，企业整改完成后，不对整改情况进行核查；</w:t>
            </w:r>
          </w:p>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pacing w:val="-4"/>
                <w:sz w:val="18"/>
                <w:szCs w:val="18"/>
              </w:rPr>
              <w:t>3.其他违反法律法规规章文件规定的行为。</w:t>
            </w:r>
          </w:p>
          <w:p>
            <w:pPr>
              <w:tabs>
                <w:tab w:val="left" w:pos="7937"/>
              </w:tabs>
              <w:spacing w:line="260" w:lineRule="exact"/>
              <w:rPr>
                <w:rFonts w:hint="eastAsia" w:ascii="仿宋" w:hAnsi="仿宋" w:eastAsia="仿宋" w:cs="仿宋"/>
                <w:b w:val="0"/>
                <w:bCs w:val="0"/>
                <w:color w:val="auto"/>
                <w:sz w:val="18"/>
                <w:szCs w:val="18"/>
              </w:rPr>
            </w:pPr>
          </w:p>
        </w:tc>
        <w:tc>
          <w:tcPr>
            <w:tcW w:w="666" w:type="dxa"/>
            <w:vAlign w:val="center"/>
          </w:tcPr>
          <w:p>
            <w:pPr>
              <w:spacing w:line="400" w:lineRule="exact"/>
              <w:jc w:val="center"/>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9" w:hRule="atLeast"/>
        </w:trPr>
        <w:tc>
          <w:tcPr>
            <w:tcW w:w="690" w:type="dxa"/>
            <w:vAlign w:val="center"/>
          </w:tcPr>
          <w:p>
            <w:pPr>
              <w:tabs>
                <w:tab w:val="left" w:pos="7937"/>
              </w:tabs>
              <w:spacing w:line="240" w:lineRule="exact"/>
              <w:jc w:val="center"/>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33</w:t>
            </w:r>
          </w:p>
        </w:tc>
        <w:tc>
          <w:tcPr>
            <w:tcW w:w="1247"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行政检查</w:t>
            </w:r>
          </w:p>
        </w:tc>
        <w:tc>
          <w:tcPr>
            <w:tcW w:w="1512" w:type="dxa"/>
            <w:vAlign w:val="center"/>
          </w:tcPr>
          <w:p>
            <w:pPr>
              <w:tabs>
                <w:tab w:val="left" w:pos="7937"/>
              </w:tabs>
              <w:spacing w:line="24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对商务领域经营者执行国家禁限使用不可降解塑料袋等一次性塑料制品规定和使用、回收报告活动行为监督</w:t>
            </w:r>
            <w:r>
              <w:rPr>
                <w:rFonts w:hint="eastAsia" w:ascii="仿宋" w:hAnsi="仿宋" w:eastAsia="仿宋" w:cs="仿宋"/>
                <w:b w:val="0"/>
                <w:bCs w:val="0"/>
                <w:color w:val="auto"/>
                <w:sz w:val="18"/>
                <w:szCs w:val="18"/>
                <w:lang w:val="en-US" w:eastAsia="zh-CN"/>
              </w:rPr>
              <w:t>的行政检查</w:t>
            </w:r>
          </w:p>
        </w:tc>
        <w:tc>
          <w:tcPr>
            <w:tcW w:w="1190" w:type="dxa"/>
            <w:vAlign w:val="center"/>
          </w:tcPr>
          <w:p>
            <w:pPr>
              <w:spacing w:line="24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55" w:type="dxa"/>
            <w:vAlign w:val="center"/>
          </w:tcPr>
          <w:p>
            <w:pPr>
              <w:tabs>
                <w:tab w:val="left" w:pos="7937"/>
              </w:tabs>
              <w:spacing w:line="24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eastAsia="zh-CN"/>
              </w:rPr>
              <w:t>《商务领域经营者使用、报告一次性塑料制品管理办法》</w:t>
            </w:r>
            <w:r>
              <w:rPr>
                <w:rFonts w:hint="eastAsia" w:ascii="仿宋" w:hAnsi="仿宋" w:eastAsia="仿宋" w:cs="仿宋"/>
                <w:b w:val="0"/>
                <w:bCs w:val="0"/>
                <w:color w:val="auto"/>
                <w:sz w:val="18"/>
                <w:szCs w:val="18"/>
              </w:rPr>
              <w:t>第二十一条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县级以上地方商务主管部门采取“双随机、一公开”方式，对本行政区域内商务领域经营者执行国家禁限使用规定和使用、回收报告活动实施日常监督检查，重点检查以下方面：</w:t>
            </w:r>
          </w:p>
          <w:p>
            <w:pPr>
              <w:tabs>
                <w:tab w:val="left" w:pos="7937"/>
              </w:tabs>
              <w:spacing w:line="240" w:lineRule="exact"/>
              <w:ind w:firstLine="344" w:firstLineChars="200"/>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（一）一次性塑料制品使用的情况；</w:t>
            </w:r>
          </w:p>
          <w:p>
            <w:pPr>
              <w:tabs>
                <w:tab w:val="left" w:pos="7937"/>
              </w:tabs>
              <w:spacing w:line="240" w:lineRule="exact"/>
              <w:ind w:firstLine="344" w:firstLineChars="200"/>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（二）商务领域经营者张贴、摆放或设置国家禁限使用规定标语或链接标识的情况；</w:t>
            </w:r>
          </w:p>
          <w:p>
            <w:pPr>
              <w:tabs>
                <w:tab w:val="left" w:pos="7937"/>
              </w:tabs>
              <w:spacing w:line="240" w:lineRule="exact"/>
              <w:ind w:firstLine="344" w:firstLineChars="200"/>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（三）商品零售场所开办单位对其入驻经营者作出自律承诺督促管理的情况；</w:t>
            </w:r>
          </w:p>
          <w:p>
            <w:pPr>
              <w:tabs>
                <w:tab w:val="left" w:pos="7937"/>
              </w:tabs>
              <w:spacing w:line="240" w:lineRule="exact"/>
              <w:ind w:firstLine="344" w:firstLineChars="200"/>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（五）展馆经营者告知义务履行的情况；</w:t>
            </w:r>
          </w:p>
          <w:p>
            <w:pPr>
              <w:tabs>
                <w:tab w:val="left" w:pos="7937"/>
              </w:tabs>
              <w:spacing w:line="240" w:lineRule="exact"/>
              <w:ind w:firstLine="344" w:firstLineChars="200"/>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（六）一次性塑料制品使用、回收报告的情况。</w:t>
            </w:r>
          </w:p>
          <w:p>
            <w:pPr>
              <w:tabs>
                <w:tab w:val="left" w:pos="7937"/>
              </w:tabs>
              <w:spacing w:line="240" w:lineRule="exact"/>
              <w:ind w:firstLine="344" w:firstLineChars="200"/>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第二十二条 </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县级以上地方商务主管部门可以依法采取以下措施实施监督检查：</w:t>
            </w:r>
          </w:p>
          <w:p>
            <w:pPr>
              <w:tabs>
                <w:tab w:val="left" w:pos="7937"/>
              </w:tabs>
              <w:spacing w:line="240" w:lineRule="exact"/>
              <w:ind w:firstLine="344" w:firstLineChars="200"/>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（一）进入一次性塑料制品使用等场所进行检查；</w:t>
            </w:r>
          </w:p>
          <w:p>
            <w:pPr>
              <w:tabs>
                <w:tab w:val="left" w:pos="7937"/>
              </w:tabs>
              <w:spacing w:line="240" w:lineRule="exact"/>
              <w:ind w:firstLine="344" w:firstLineChars="200"/>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（二）询问与监督检查事项有关的单位或个人，要求其说明情况；</w:t>
            </w:r>
          </w:p>
          <w:p>
            <w:pPr>
              <w:tabs>
                <w:tab w:val="left" w:pos="7937"/>
              </w:tabs>
              <w:spacing w:line="240" w:lineRule="exact"/>
              <w:ind w:firstLine="344" w:firstLineChars="200"/>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（三）查阅、复制有关文件、资料；</w:t>
            </w:r>
          </w:p>
          <w:p>
            <w:pPr>
              <w:tabs>
                <w:tab w:val="left" w:pos="7937"/>
              </w:tabs>
              <w:spacing w:line="240" w:lineRule="exact"/>
              <w:ind w:firstLine="344" w:firstLineChars="200"/>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（四）依据有关法律法规采取的其他措施。</w:t>
            </w:r>
          </w:p>
          <w:p>
            <w:pPr>
              <w:tabs>
                <w:tab w:val="left" w:pos="7937"/>
              </w:tabs>
              <w:spacing w:line="240" w:lineRule="exact"/>
              <w:jc w:val="left"/>
              <w:rPr>
                <w:rFonts w:hint="eastAsia" w:ascii="仿宋" w:hAnsi="仿宋" w:eastAsia="仿宋" w:cs="仿宋"/>
                <w:b w:val="0"/>
                <w:bCs w:val="0"/>
                <w:color w:val="auto"/>
                <w:sz w:val="18"/>
                <w:szCs w:val="18"/>
              </w:rPr>
            </w:pPr>
          </w:p>
        </w:tc>
        <w:tc>
          <w:tcPr>
            <w:tcW w:w="2866" w:type="dxa"/>
            <w:vAlign w:val="center"/>
          </w:tcPr>
          <w:p>
            <w:pPr>
              <w:tabs>
                <w:tab w:val="left" w:pos="7937"/>
              </w:tabs>
              <w:spacing w:line="24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检查责任：</w:t>
            </w:r>
          </w:p>
          <w:p>
            <w:pPr>
              <w:tabs>
                <w:tab w:val="left" w:pos="7937"/>
              </w:tabs>
              <w:spacing w:line="24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w:t>
            </w:r>
            <w:r>
              <w:rPr>
                <w:rFonts w:hint="eastAsia" w:ascii="仿宋" w:hAnsi="仿宋" w:eastAsia="仿宋" w:cs="仿宋"/>
                <w:b w:val="0"/>
                <w:bCs w:val="0"/>
                <w:color w:val="auto"/>
                <w:sz w:val="18"/>
                <w:szCs w:val="18"/>
                <w:lang w:val="en-US" w:eastAsia="zh-CN"/>
              </w:rPr>
              <w:t>.</w:t>
            </w:r>
            <w:r>
              <w:rPr>
                <w:rFonts w:hint="eastAsia" w:ascii="仿宋" w:hAnsi="仿宋" w:eastAsia="仿宋" w:cs="仿宋"/>
                <w:b w:val="0"/>
                <w:bCs w:val="0"/>
                <w:color w:val="auto"/>
                <w:sz w:val="18"/>
                <w:szCs w:val="18"/>
              </w:rPr>
              <w:t>对辖区内商务领域经营者执行国家禁限使用不可降解塑料袋等一次性塑料制品规定和使用、回收报告活动行为进行</w:t>
            </w:r>
            <w:r>
              <w:rPr>
                <w:rFonts w:hint="eastAsia" w:ascii="仿宋" w:hAnsi="仿宋" w:eastAsia="仿宋" w:cs="仿宋"/>
                <w:b w:val="0"/>
                <w:bCs w:val="0"/>
                <w:color w:val="auto"/>
                <w:sz w:val="18"/>
                <w:szCs w:val="18"/>
                <w:lang w:val="en-US" w:eastAsia="zh-CN"/>
              </w:rPr>
              <w:t>监督</w:t>
            </w:r>
            <w:r>
              <w:rPr>
                <w:rFonts w:hint="eastAsia" w:ascii="仿宋" w:hAnsi="仿宋" w:eastAsia="仿宋" w:cs="仿宋"/>
                <w:b w:val="0"/>
                <w:bCs w:val="0"/>
                <w:color w:val="auto"/>
                <w:sz w:val="18"/>
                <w:szCs w:val="18"/>
              </w:rPr>
              <w:t>检查；</w:t>
            </w:r>
          </w:p>
          <w:p>
            <w:pPr>
              <w:tabs>
                <w:tab w:val="left" w:pos="7937"/>
              </w:tabs>
              <w:spacing w:line="24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2.处置责任：对监督检查发现的问题，责令限期改正、依法实施处罚；</w:t>
            </w:r>
          </w:p>
          <w:p>
            <w:pPr>
              <w:tabs>
                <w:tab w:val="left" w:pos="7937"/>
              </w:tabs>
              <w:spacing w:line="24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3.事后管理责任：对监督检查发现的问题，企业整改完成后，对整改情况进行核查；</w:t>
            </w:r>
          </w:p>
          <w:p>
            <w:pPr>
              <w:tabs>
                <w:tab w:val="left" w:pos="7937"/>
              </w:tabs>
              <w:spacing w:line="240" w:lineRule="exact"/>
              <w:jc w:val="left"/>
              <w:rPr>
                <w:rFonts w:hint="eastAsia" w:ascii="仿宋" w:hAnsi="仿宋" w:eastAsia="仿宋" w:cs="仿宋"/>
                <w:b w:val="0"/>
                <w:bCs w:val="0"/>
                <w:color w:val="auto"/>
                <w:sz w:val="18"/>
                <w:szCs w:val="18"/>
              </w:rPr>
            </w:pPr>
          </w:p>
        </w:tc>
        <w:tc>
          <w:tcPr>
            <w:tcW w:w="2607" w:type="dxa"/>
            <w:vAlign w:val="center"/>
          </w:tcPr>
          <w:p>
            <w:pPr>
              <w:tabs>
                <w:tab w:val="left" w:pos="7937"/>
              </w:tabs>
              <w:spacing w:line="24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tabs>
                <w:tab w:val="left" w:pos="7937"/>
              </w:tabs>
              <w:spacing w:line="24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1</w:t>
            </w:r>
            <w:r>
              <w:rPr>
                <w:rFonts w:hint="eastAsia" w:ascii="仿宋" w:hAnsi="仿宋" w:eastAsia="仿宋" w:cs="仿宋"/>
                <w:b w:val="0"/>
                <w:bCs w:val="0"/>
                <w:color w:val="auto"/>
                <w:sz w:val="18"/>
                <w:szCs w:val="18"/>
              </w:rPr>
              <w:t>.对在检查中发现的问题，不责令限期改</w:t>
            </w:r>
            <w:r>
              <w:rPr>
                <w:rFonts w:hint="eastAsia" w:ascii="仿宋" w:hAnsi="仿宋" w:eastAsia="仿宋" w:cs="仿宋"/>
                <w:b w:val="0"/>
                <w:bCs w:val="0"/>
                <w:color w:val="auto"/>
                <w:sz w:val="18"/>
                <w:szCs w:val="18"/>
                <w:lang w:eastAsia="zh-CN"/>
              </w:rPr>
              <w:t>正</w:t>
            </w:r>
            <w:r>
              <w:rPr>
                <w:rFonts w:hint="eastAsia" w:ascii="仿宋" w:hAnsi="仿宋" w:eastAsia="仿宋" w:cs="仿宋"/>
                <w:b w:val="0"/>
                <w:bCs w:val="0"/>
                <w:color w:val="auto"/>
                <w:sz w:val="18"/>
                <w:szCs w:val="18"/>
              </w:rPr>
              <w:t>、不依法实施处罚；</w:t>
            </w:r>
          </w:p>
          <w:p>
            <w:pPr>
              <w:tabs>
                <w:tab w:val="left" w:pos="7937"/>
              </w:tabs>
              <w:spacing w:line="24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2</w:t>
            </w:r>
            <w:r>
              <w:rPr>
                <w:rFonts w:hint="eastAsia" w:ascii="仿宋" w:hAnsi="仿宋" w:eastAsia="仿宋" w:cs="仿宋"/>
                <w:b w:val="0"/>
                <w:bCs w:val="0"/>
                <w:color w:val="auto"/>
                <w:sz w:val="18"/>
                <w:szCs w:val="18"/>
              </w:rPr>
              <w:t>.对监督检查发现的问题，企业整改完成后，不对整改情况进行核查；</w:t>
            </w:r>
          </w:p>
          <w:p>
            <w:pPr>
              <w:tabs>
                <w:tab w:val="left" w:pos="7937"/>
              </w:tabs>
              <w:spacing w:line="24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3</w:t>
            </w:r>
            <w:r>
              <w:rPr>
                <w:rFonts w:hint="eastAsia" w:ascii="仿宋" w:hAnsi="仿宋" w:eastAsia="仿宋" w:cs="仿宋"/>
                <w:b w:val="0"/>
                <w:bCs w:val="0"/>
                <w:color w:val="auto"/>
                <w:sz w:val="18"/>
                <w:szCs w:val="18"/>
              </w:rPr>
              <w:t>.其他违反法律法规规章文件规定的行为。</w:t>
            </w:r>
          </w:p>
          <w:p>
            <w:pPr>
              <w:tabs>
                <w:tab w:val="left" w:pos="7937"/>
              </w:tabs>
              <w:spacing w:line="240" w:lineRule="exact"/>
              <w:jc w:val="left"/>
              <w:rPr>
                <w:rFonts w:hint="eastAsia" w:ascii="仿宋" w:hAnsi="仿宋" w:eastAsia="仿宋" w:cs="仿宋"/>
                <w:b w:val="0"/>
                <w:bCs w:val="0"/>
                <w:color w:val="auto"/>
                <w:sz w:val="18"/>
                <w:szCs w:val="18"/>
              </w:rPr>
            </w:pPr>
          </w:p>
        </w:tc>
        <w:tc>
          <w:tcPr>
            <w:tcW w:w="666" w:type="dxa"/>
            <w:vAlign w:val="center"/>
          </w:tcPr>
          <w:p>
            <w:pPr>
              <w:spacing w:line="400" w:lineRule="exact"/>
              <w:jc w:val="center"/>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3" w:hRule="atLeast"/>
        </w:trPr>
        <w:tc>
          <w:tcPr>
            <w:tcW w:w="690" w:type="dxa"/>
            <w:vAlign w:val="center"/>
          </w:tcPr>
          <w:p>
            <w:pPr>
              <w:tabs>
                <w:tab w:val="left" w:pos="7937"/>
              </w:tabs>
              <w:spacing w:line="240" w:lineRule="exact"/>
              <w:jc w:val="center"/>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34</w:t>
            </w:r>
          </w:p>
        </w:tc>
        <w:tc>
          <w:tcPr>
            <w:tcW w:w="1247"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行政检查</w:t>
            </w:r>
          </w:p>
        </w:tc>
        <w:tc>
          <w:tcPr>
            <w:tcW w:w="1512" w:type="dxa"/>
            <w:vAlign w:val="center"/>
          </w:tcPr>
          <w:p>
            <w:pPr>
              <w:tabs>
                <w:tab w:val="left" w:pos="7937"/>
              </w:tabs>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对报废机动车回收拆解企业</w:t>
            </w:r>
            <w:r>
              <w:rPr>
                <w:rFonts w:hint="eastAsia" w:ascii="仿宋" w:hAnsi="仿宋" w:eastAsia="仿宋" w:cs="仿宋"/>
                <w:b w:val="0"/>
                <w:bCs w:val="0"/>
                <w:color w:val="auto"/>
                <w:sz w:val="18"/>
                <w:szCs w:val="18"/>
                <w:lang w:val="en-US" w:eastAsia="zh-CN"/>
              </w:rPr>
              <w:t>的行政检查</w:t>
            </w:r>
          </w:p>
        </w:tc>
        <w:tc>
          <w:tcPr>
            <w:tcW w:w="1190" w:type="dxa"/>
            <w:vAlign w:val="center"/>
          </w:tcPr>
          <w:p>
            <w:pPr>
              <w:spacing w:line="24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55" w:type="dxa"/>
            <w:vAlign w:val="center"/>
          </w:tcPr>
          <w:p>
            <w:pPr>
              <w:tabs>
                <w:tab w:val="left" w:pos="7937"/>
              </w:tabs>
              <w:spacing w:line="24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国务院《报废机动车回收管理办法》（国务院令第715号）第十六条：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w:t>
            </w:r>
          </w:p>
        </w:tc>
        <w:tc>
          <w:tcPr>
            <w:tcW w:w="2866" w:type="dxa"/>
            <w:vAlign w:val="center"/>
          </w:tcPr>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检查责任：</w:t>
            </w:r>
          </w:p>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1.</w:t>
            </w:r>
            <w:r>
              <w:rPr>
                <w:rFonts w:hint="eastAsia" w:ascii="仿宋" w:hAnsi="仿宋" w:eastAsia="仿宋" w:cs="仿宋"/>
                <w:b w:val="0"/>
                <w:bCs w:val="0"/>
                <w:color w:val="auto"/>
                <w:sz w:val="18"/>
                <w:szCs w:val="18"/>
              </w:rPr>
              <w:t>对辖区内报废机动车回收拆解企业</w:t>
            </w:r>
            <w:r>
              <w:rPr>
                <w:rFonts w:hint="eastAsia" w:ascii="仿宋" w:hAnsi="仿宋" w:eastAsia="仿宋" w:cs="仿宋"/>
                <w:b w:val="0"/>
                <w:bCs w:val="0"/>
                <w:color w:val="auto"/>
                <w:sz w:val="18"/>
                <w:szCs w:val="18"/>
                <w:shd w:val="clear" w:color="auto" w:fill="FFFFFF"/>
              </w:rPr>
              <w:t>进行监督检查</w:t>
            </w:r>
            <w:r>
              <w:rPr>
                <w:rFonts w:hint="eastAsia" w:ascii="仿宋" w:hAnsi="仿宋" w:eastAsia="仿宋" w:cs="仿宋"/>
                <w:b w:val="0"/>
                <w:bCs w:val="0"/>
                <w:color w:val="auto"/>
                <w:sz w:val="18"/>
                <w:szCs w:val="18"/>
              </w:rPr>
              <w:t>；</w:t>
            </w:r>
          </w:p>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2.处置责任：对监督检查发现的问题，责令限期改正、依法实施处罚；</w:t>
            </w:r>
          </w:p>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3.事后管理责任：对监督检查发现的问题，企业整改完成后，对整改情况进行核查；</w:t>
            </w:r>
          </w:p>
          <w:p>
            <w:pPr>
              <w:spacing w:line="240" w:lineRule="exact"/>
              <w:rPr>
                <w:rFonts w:hint="eastAsia" w:ascii="仿宋" w:hAnsi="仿宋" w:eastAsia="仿宋" w:cs="仿宋"/>
                <w:b w:val="0"/>
                <w:bCs w:val="0"/>
                <w:color w:val="auto"/>
                <w:sz w:val="18"/>
                <w:szCs w:val="18"/>
              </w:rPr>
            </w:pPr>
          </w:p>
        </w:tc>
        <w:tc>
          <w:tcPr>
            <w:tcW w:w="2607" w:type="dxa"/>
            <w:vAlign w:val="center"/>
          </w:tcPr>
          <w:p>
            <w:pPr>
              <w:tabs>
                <w:tab w:val="left" w:pos="7937"/>
              </w:tabs>
              <w:spacing w:line="26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spacing w:line="240" w:lineRule="exact"/>
              <w:rPr>
                <w:rFonts w:hint="eastAsia" w:ascii="仿宋" w:hAnsi="仿宋" w:eastAsia="仿宋" w:cs="仿宋"/>
                <w:b w:val="0"/>
                <w:bCs w:val="0"/>
                <w:color w:val="auto"/>
                <w:spacing w:val="-4"/>
                <w:sz w:val="18"/>
                <w:szCs w:val="18"/>
              </w:rPr>
            </w:pPr>
            <w:r>
              <w:rPr>
                <w:rFonts w:hint="eastAsia" w:ascii="仿宋" w:hAnsi="仿宋" w:eastAsia="仿宋" w:cs="仿宋"/>
                <w:b w:val="0"/>
                <w:bCs w:val="0"/>
                <w:color w:val="auto"/>
                <w:spacing w:val="-4"/>
                <w:sz w:val="18"/>
                <w:szCs w:val="18"/>
              </w:rPr>
              <w:t>1.对在检查中发现的问题，不责令限期改正、不依法实施处罚；</w:t>
            </w:r>
          </w:p>
          <w:p>
            <w:pPr>
              <w:spacing w:line="240" w:lineRule="exact"/>
              <w:rPr>
                <w:rFonts w:hint="eastAsia" w:ascii="仿宋" w:hAnsi="仿宋" w:eastAsia="仿宋" w:cs="仿宋"/>
                <w:b w:val="0"/>
                <w:bCs w:val="0"/>
                <w:color w:val="auto"/>
                <w:spacing w:val="-4"/>
                <w:sz w:val="18"/>
                <w:szCs w:val="18"/>
              </w:rPr>
            </w:pPr>
            <w:r>
              <w:rPr>
                <w:rFonts w:hint="eastAsia" w:ascii="仿宋" w:hAnsi="仿宋" w:eastAsia="仿宋" w:cs="仿宋"/>
                <w:b w:val="0"/>
                <w:bCs w:val="0"/>
                <w:color w:val="auto"/>
                <w:spacing w:val="-4"/>
                <w:sz w:val="18"/>
                <w:szCs w:val="18"/>
              </w:rPr>
              <w:t>2.对监督检查发现的问题，企业整改完成后，不对整改情况进行核查；</w:t>
            </w:r>
          </w:p>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pacing w:val="-4"/>
                <w:sz w:val="18"/>
                <w:szCs w:val="18"/>
              </w:rPr>
              <w:t>3.其他违反法律法规规章文件规定的行为。</w:t>
            </w:r>
          </w:p>
          <w:p>
            <w:pPr>
              <w:tabs>
                <w:tab w:val="left" w:pos="7937"/>
              </w:tabs>
              <w:spacing w:line="260" w:lineRule="exact"/>
              <w:rPr>
                <w:rFonts w:hint="eastAsia" w:ascii="仿宋" w:hAnsi="仿宋" w:eastAsia="仿宋" w:cs="仿宋"/>
                <w:b w:val="0"/>
                <w:bCs w:val="0"/>
                <w:color w:val="auto"/>
                <w:sz w:val="18"/>
                <w:szCs w:val="18"/>
              </w:rPr>
            </w:pPr>
          </w:p>
        </w:tc>
        <w:tc>
          <w:tcPr>
            <w:tcW w:w="666" w:type="dxa"/>
            <w:vAlign w:val="center"/>
          </w:tcPr>
          <w:p>
            <w:pPr>
              <w:spacing w:line="400" w:lineRule="exact"/>
              <w:jc w:val="center"/>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trPr>
        <w:tc>
          <w:tcPr>
            <w:tcW w:w="690" w:type="dxa"/>
            <w:vAlign w:val="center"/>
          </w:tcPr>
          <w:p>
            <w:pPr>
              <w:tabs>
                <w:tab w:val="left" w:pos="7937"/>
              </w:tabs>
              <w:spacing w:line="240" w:lineRule="exact"/>
              <w:jc w:val="center"/>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35</w:t>
            </w:r>
          </w:p>
        </w:tc>
        <w:tc>
          <w:tcPr>
            <w:tcW w:w="1247"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行政检查</w:t>
            </w:r>
          </w:p>
        </w:tc>
        <w:tc>
          <w:tcPr>
            <w:tcW w:w="1512" w:type="dxa"/>
            <w:vAlign w:val="center"/>
          </w:tcPr>
          <w:p>
            <w:pPr>
              <w:tabs>
                <w:tab w:val="left" w:pos="7937"/>
              </w:tabs>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对使用、报告一次性塑料制品的商品零售场所企业和电子商务平台企业的</w:t>
            </w:r>
            <w:r>
              <w:rPr>
                <w:rFonts w:hint="eastAsia" w:ascii="仿宋" w:hAnsi="仿宋" w:eastAsia="仿宋" w:cs="仿宋"/>
                <w:b w:val="0"/>
                <w:bCs w:val="0"/>
                <w:color w:val="auto"/>
                <w:sz w:val="18"/>
                <w:szCs w:val="18"/>
                <w:lang w:val="en-US" w:eastAsia="zh-CN"/>
              </w:rPr>
              <w:t>行政检查</w:t>
            </w:r>
          </w:p>
        </w:tc>
        <w:tc>
          <w:tcPr>
            <w:tcW w:w="1190" w:type="dxa"/>
            <w:vAlign w:val="center"/>
          </w:tcPr>
          <w:p>
            <w:pPr>
              <w:spacing w:line="240" w:lineRule="exact"/>
              <w:jc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55" w:type="dxa"/>
            <w:vAlign w:val="center"/>
          </w:tcPr>
          <w:p>
            <w:pPr>
              <w:tabs>
                <w:tab w:val="left" w:pos="7937"/>
              </w:tabs>
              <w:spacing w:line="24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《商务领域经营者使用、报告一次性塑料制品管理办法》第二十一条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县级以上地方商务主管部门采取“双随机、一公开”方式，对本行政区域内商务领域经营者执行国家禁限使用规定和使用、回收报告活动实施日常监督检查；</w:t>
            </w:r>
          </w:p>
          <w:p>
            <w:pPr>
              <w:tabs>
                <w:tab w:val="left" w:pos="7937"/>
              </w:tabs>
              <w:spacing w:line="240" w:lineRule="exact"/>
              <w:ind w:firstLine="344" w:firstLineChars="200"/>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第二十二条，县级以上地方商务主管部门可以依法采取措施实施监督检查。</w:t>
            </w:r>
          </w:p>
        </w:tc>
        <w:tc>
          <w:tcPr>
            <w:tcW w:w="2866" w:type="dxa"/>
            <w:vAlign w:val="center"/>
          </w:tcPr>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检查责任：</w:t>
            </w:r>
          </w:p>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w:t>
            </w:r>
            <w:r>
              <w:rPr>
                <w:rFonts w:hint="eastAsia" w:ascii="仿宋" w:hAnsi="仿宋" w:eastAsia="仿宋" w:cs="仿宋"/>
                <w:b w:val="0"/>
                <w:bCs w:val="0"/>
                <w:color w:val="auto"/>
                <w:sz w:val="18"/>
                <w:szCs w:val="18"/>
                <w:lang w:val="en-US" w:eastAsia="zh-CN"/>
              </w:rPr>
              <w:t>.</w:t>
            </w:r>
            <w:r>
              <w:rPr>
                <w:rFonts w:hint="eastAsia" w:ascii="仿宋" w:hAnsi="仿宋" w:eastAsia="仿宋" w:cs="仿宋"/>
                <w:b w:val="0"/>
                <w:bCs w:val="0"/>
                <w:color w:val="auto"/>
                <w:sz w:val="18"/>
                <w:szCs w:val="18"/>
              </w:rPr>
              <w:t>对辖区内使用、报告一次性塑料制品的商品零售场所企业和电子商务平台企业的检查</w:t>
            </w:r>
            <w:r>
              <w:rPr>
                <w:rFonts w:hint="eastAsia" w:ascii="仿宋" w:hAnsi="仿宋" w:eastAsia="仿宋" w:cs="仿宋"/>
                <w:b w:val="0"/>
                <w:bCs w:val="0"/>
                <w:color w:val="auto"/>
                <w:sz w:val="18"/>
                <w:szCs w:val="18"/>
                <w:shd w:val="clear" w:color="auto" w:fill="FFFFFF"/>
              </w:rPr>
              <w:t>进行检查</w:t>
            </w:r>
            <w:r>
              <w:rPr>
                <w:rFonts w:hint="eastAsia" w:ascii="仿宋" w:hAnsi="仿宋" w:eastAsia="仿宋" w:cs="仿宋"/>
                <w:b w:val="0"/>
                <w:bCs w:val="0"/>
                <w:color w:val="auto"/>
                <w:sz w:val="18"/>
                <w:szCs w:val="18"/>
              </w:rPr>
              <w:t>；</w:t>
            </w:r>
          </w:p>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2.处置责任：对监督检查发现的问题，责令限期改正、依法实施处罚；</w:t>
            </w:r>
          </w:p>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3.事后管理责任：对监督检查发现的问题，企业整改完成后，对整改情况进行核查；</w:t>
            </w:r>
          </w:p>
          <w:p>
            <w:pPr>
              <w:spacing w:line="240" w:lineRule="exact"/>
              <w:rPr>
                <w:rFonts w:hint="eastAsia" w:ascii="仿宋" w:hAnsi="仿宋" w:eastAsia="仿宋" w:cs="仿宋"/>
                <w:b w:val="0"/>
                <w:bCs w:val="0"/>
                <w:color w:val="auto"/>
                <w:sz w:val="18"/>
                <w:szCs w:val="18"/>
              </w:rPr>
            </w:pPr>
          </w:p>
        </w:tc>
        <w:tc>
          <w:tcPr>
            <w:tcW w:w="2607" w:type="dxa"/>
            <w:vAlign w:val="center"/>
          </w:tcPr>
          <w:p>
            <w:pPr>
              <w:tabs>
                <w:tab w:val="left" w:pos="7937"/>
              </w:tabs>
              <w:spacing w:line="260" w:lineRule="exact"/>
              <w:rPr>
                <w:rFonts w:hint="eastAsia" w:ascii="仿宋" w:hAnsi="仿宋" w:eastAsia="仿宋" w:cs="仿宋"/>
                <w:b w:val="0"/>
                <w:bCs w:val="0"/>
                <w:color w:val="auto"/>
                <w:spacing w:val="-4"/>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spacing w:line="240" w:lineRule="exact"/>
              <w:rPr>
                <w:rFonts w:hint="eastAsia" w:ascii="仿宋" w:hAnsi="仿宋" w:eastAsia="仿宋" w:cs="仿宋"/>
                <w:b w:val="0"/>
                <w:bCs w:val="0"/>
                <w:color w:val="auto"/>
                <w:spacing w:val="-4"/>
                <w:sz w:val="18"/>
                <w:szCs w:val="18"/>
              </w:rPr>
            </w:pPr>
            <w:r>
              <w:rPr>
                <w:rFonts w:hint="eastAsia" w:ascii="仿宋" w:hAnsi="仿宋" w:eastAsia="仿宋" w:cs="仿宋"/>
                <w:b w:val="0"/>
                <w:bCs w:val="0"/>
                <w:color w:val="auto"/>
                <w:spacing w:val="-4"/>
                <w:sz w:val="18"/>
                <w:szCs w:val="18"/>
              </w:rPr>
              <w:t>1.对在检查中发现的问题，不责令限期改正、不依法实施处罚；</w:t>
            </w:r>
          </w:p>
          <w:p>
            <w:pPr>
              <w:spacing w:line="240" w:lineRule="exact"/>
              <w:rPr>
                <w:rFonts w:hint="eastAsia" w:ascii="仿宋" w:hAnsi="仿宋" w:eastAsia="仿宋" w:cs="仿宋"/>
                <w:b w:val="0"/>
                <w:bCs w:val="0"/>
                <w:color w:val="auto"/>
                <w:spacing w:val="-4"/>
                <w:sz w:val="18"/>
                <w:szCs w:val="18"/>
              </w:rPr>
            </w:pPr>
            <w:r>
              <w:rPr>
                <w:rFonts w:hint="eastAsia" w:ascii="仿宋" w:hAnsi="仿宋" w:eastAsia="仿宋" w:cs="仿宋"/>
                <w:b w:val="0"/>
                <w:bCs w:val="0"/>
                <w:color w:val="auto"/>
                <w:spacing w:val="-4"/>
                <w:sz w:val="18"/>
                <w:szCs w:val="18"/>
              </w:rPr>
              <w:t>2.对监督检查发现的问题，企业整改完成后，不对整改情况进行核查；</w:t>
            </w:r>
          </w:p>
          <w:p>
            <w:pPr>
              <w:spacing w:line="240" w:lineRule="exact"/>
              <w:rPr>
                <w:rFonts w:hint="eastAsia" w:ascii="仿宋" w:hAnsi="仿宋" w:eastAsia="仿宋" w:cs="仿宋"/>
                <w:b w:val="0"/>
                <w:bCs w:val="0"/>
                <w:color w:val="auto"/>
                <w:sz w:val="18"/>
                <w:szCs w:val="18"/>
              </w:rPr>
            </w:pPr>
            <w:r>
              <w:rPr>
                <w:rFonts w:hint="eastAsia" w:ascii="仿宋" w:hAnsi="仿宋" w:eastAsia="仿宋" w:cs="仿宋"/>
                <w:b w:val="0"/>
                <w:bCs w:val="0"/>
                <w:color w:val="auto"/>
                <w:spacing w:val="-4"/>
                <w:sz w:val="18"/>
                <w:szCs w:val="18"/>
              </w:rPr>
              <w:t>3.其他违反法律法规规章文件规定的行为。</w:t>
            </w:r>
          </w:p>
          <w:p>
            <w:pPr>
              <w:tabs>
                <w:tab w:val="left" w:pos="7937"/>
              </w:tabs>
              <w:spacing w:line="260" w:lineRule="exact"/>
              <w:rPr>
                <w:rFonts w:hint="eastAsia" w:ascii="仿宋" w:hAnsi="仿宋" w:eastAsia="仿宋" w:cs="仿宋"/>
                <w:b w:val="0"/>
                <w:bCs w:val="0"/>
                <w:color w:val="auto"/>
                <w:sz w:val="18"/>
                <w:szCs w:val="18"/>
              </w:rPr>
            </w:pPr>
          </w:p>
        </w:tc>
        <w:tc>
          <w:tcPr>
            <w:tcW w:w="666" w:type="dxa"/>
            <w:vAlign w:val="center"/>
          </w:tcPr>
          <w:p>
            <w:pPr>
              <w:spacing w:line="400" w:lineRule="exact"/>
              <w:jc w:val="center"/>
              <w:rPr>
                <w:rFonts w:hint="eastAsia" w:ascii="仿宋" w:hAnsi="仿宋" w:eastAsia="仿宋" w:cs="仿宋"/>
                <w:b w:val="0"/>
                <w:bCs w:val="0"/>
                <w:color w:val="auto"/>
                <w:sz w:val="18"/>
                <w:szCs w:val="18"/>
              </w:rPr>
            </w:pPr>
          </w:p>
        </w:tc>
      </w:tr>
    </w:tbl>
    <w:p>
      <w:pPr>
        <w:spacing w:line="600" w:lineRule="exact"/>
        <w:jc w:val="center"/>
        <w:rPr>
          <w:rFonts w:hint="eastAsia" w:ascii="仿宋" w:hAnsi="仿宋" w:eastAsia="仿宋" w:cs="仿宋"/>
          <w:b w:val="0"/>
          <w:bCs w:val="0"/>
          <w:color w:val="auto"/>
          <w:sz w:val="36"/>
        </w:rPr>
      </w:pPr>
    </w:p>
    <w:p>
      <w:pPr>
        <w:spacing w:line="600" w:lineRule="exact"/>
        <w:jc w:val="center"/>
        <w:rPr>
          <w:rFonts w:hint="eastAsia" w:ascii="仿宋" w:hAnsi="仿宋" w:eastAsia="仿宋" w:cs="仿宋"/>
          <w:b w:val="0"/>
          <w:bCs w:val="0"/>
          <w:color w:val="auto"/>
          <w:sz w:val="36"/>
        </w:rPr>
      </w:pPr>
    </w:p>
    <w:p>
      <w:pPr>
        <w:spacing w:line="600" w:lineRule="exact"/>
        <w:jc w:val="center"/>
        <w:rPr>
          <w:rFonts w:hint="eastAsia" w:ascii="仿宋" w:hAnsi="仿宋" w:eastAsia="仿宋" w:cs="仿宋"/>
          <w:b w:val="0"/>
          <w:bCs w:val="0"/>
          <w:color w:val="auto"/>
          <w:sz w:val="36"/>
        </w:rPr>
      </w:pPr>
    </w:p>
    <w:p>
      <w:pPr>
        <w:spacing w:line="600" w:lineRule="exact"/>
        <w:ind w:firstLine="3520" w:firstLineChars="1000"/>
        <w:rPr>
          <w:rFonts w:hint="eastAsia" w:ascii="仿宋" w:hAnsi="仿宋" w:eastAsia="仿宋" w:cs="仿宋"/>
          <w:b w:val="0"/>
          <w:bCs w:val="0"/>
          <w:color w:val="auto"/>
          <w:sz w:val="36"/>
        </w:rPr>
      </w:pPr>
    </w:p>
    <w:tbl>
      <w:tblPr>
        <w:tblStyle w:val="6"/>
        <w:tblW w:w="14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523"/>
        <w:gridCol w:w="1189"/>
        <w:gridCol w:w="3435"/>
        <w:gridCol w:w="2876"/>
        <w:gridCol w:w="2627"/>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4" w:hRule="atLeast"/>
        </w:trPr>
        <w:tc>
          <w:tcPr>
            <w:tcW w:w="690" w:type="dxa"/>
            <w:vAlign w:val="center"/>
          </w:tcPr>
          <w:p>
            <w:pPr>
              <w:spacing w:line="400" w:lineRule="exact"/>
              <w:jc w:val="center"/>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36</w:t>
            </w:r>
          </w:p>
        </w:tc>
        <w:tc>
          <w:tcPr>
            <w:tcW w:w="1247"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行政备案</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单用途商业预付卡备案</w:t>
            </w: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35" w:type="dxa"/>
            <w:vAlign w:val="center"/>
          </w:tcPr>
          <w:p>
            <w:pPr>
              <w:spacing w:line="260" w:lineRule="exact"/>
              <w:jc w:val="left"/>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rPr>
              <w:t>《单用途商业预付卡管理办法（试行）》</w:t>
            </w:r>
            <w:r>
              <w:rPr>
                <w:rFonts w:hint="eastAsia" w:ascii="仿宋" w:hAnsi="仿宋" w:eastAsia="仿宋" w:cs="仿宋"/>
                <w:b w:val="0"/>
                <w:bCs w:val="0"/>
                <w:color w:val="auto"/>
                <w:kern w:val="0"/>
                <w:sz w:val="18"/>
                <w:szCs w:val="18"/>
              </w:rPr>
              <w:t xml:space="preserve">第七条 </w:t>
            </w:r>
            <w:r>
              <w:rPr>
                <w:rFonts w:hint="eastAsia" w:ascii="仿宋" w:hAnsi="仿宋" w:eastAsia="仿宋" w:cs="仿宋"/>
                <w:b w:val="0"/>
                <w:bCs w:val="0"/>
                <w:color w:val="auto"/>
                <w:kern w:val="0"/>
                <w:sz w:val="18"/>
                <w:szCs w:val="18"/>
                <w:lang w:eastAsia="zh-CN"/>
              </w:rPr>
              <w:t>：</w:t>
            </w:r>
            <w:r>
              <w:rPr>
                <w:rFonts w:hint="eastAsia" w:ascii="仿宋" w:hAnsi="仿宋" w:eastAsia="仿宋" w:cs="仿宋"/>
                <w:b w:val="0"/>
                <w:bCs w:val="0"/>
                <w:color w:val="auto"/>
                <w:kern w:val="0"/>
                <w:sz w:val="18"/>
                <w:szCs w:val="18"/>
              </w:rPr>
              <w:t>发卡企业应在开展单用途卡业务之日起30日内按照下列规定办理备案：（二）规模发卡企业向其工商登记注册地设区的市人民政府商务主管部门备案； 其他发卡企业向其工商登记注册地县（市、区）人民政府商务主管部门备案</w:t>
            </w:r>
            <w:r>
              <w:rPr>
                <w:rFonts w:hint="eastAsia" w:ascii="仿宋" w:hAnsi="仿宋" w:eastAsia="仿宋" w:cs="仿宋"/>
                <w:b w:val="0"/>
                <w:bCs w:val="0"/>
                <w:color w:val="auto"/>
                <w:kern w:val="0"/>
                <w:sz w:val="18"/>
                <w:szCs w:val="18"/>
                <w:lang w:eastAsia="zh-CN"/>
              </w:rPr>
              <w:t>。</w:t>
            </w:r>
          </w:p>
        </w:tc>
        <w:tc>
          <w:tcPr>
            <w:tcW w:w="2876" w:type="dxa"/>
            <w:vAlign w:val="center"/>
          </w:tcPr>
          <w:p>
            <w:pPr>
              <w:tabs>
                <w:tab w:val="left" w:pos="7937"/>
              </w:tabs>
              <w:spacing w:line="260" w:lineRule="exact"/>
              <w:jc w:val="left"/>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rPr>
              <w:t>1</w:t>
            </w:r>
            <w:r>
              <w:rPr>
                <w:rFonts w:hint="eastAsia" w:ascii="仿宋" w:hAnsi="仿宋" w:eastAsia="仿宋" w:cs="仿宋"/>
                <w:b w:val="0"/>
                <w:bCs w:val="0"/>
                <w:color w:val="auto"/>
                <w:kern w:val="0"/>
                <w:sz w:val="18"/>
                <w:szCs w:val="18"/>
                <w:lang w:val="en-US" w:eastAsia="zh-CN"/>
              </w:rPr>
              <w:t>.</w:t>
            </w:r>
            <w:r>
              <w:rPr>
                <w:rFonts w:hint="eastAsia" w:ascii="仿宋" w:hAnsi="仿宋" w:eastAsia="仿宋" w:cs="仿宋"/>
                <w:b w:val="0"/>
                <w:bCs w:val="0"/>
                <w:color w:val="auto"/>
                <w:kern w:val="0"/>
                <w:sz w:val="18"/>
                <w:szCs w:val="18"/>
              </w:rPr>
              <w:t>受理责任：受理依法提出的单用途商业预付卡发卡备案申请；           2</w:t>
            </w:r>
            <w:r>
              <w:rPr>
                <w:rFonts w:hint="eastAsia" w:ascii="仿宋" w:hAnsi="仿宋" w:eastAsia="仿宋" w:cs="仿宋"/>
                <w:b w:val="0"/>
                <w:bCs w:val="0"/>
                <w:color w:val="auto"/>
                <w:kern w:val="0"/>
                <w:sz w:val="18"/>
                <w:szCs w:val="18"/>
                <w:lang w:val="en-US" w:eastAsia="zh-CN"/>
              </w:rPr>
              <w:t>.</w:t>
            </w:r>
            <w:r>
              <w:rPr>
                <w:rFonts w:hint="eastAsia" w:ascii="仿宋" w:hAnsi="仿宋" w:eastAsia="仿宋" w:cs="仿宋"/>
                <w:b w:val="0"/>
                <w:bCs w:val="0"/>
                <w:color w:val="auto"/>
                <w:kern w:val="0"/>
                <w:sz w:val="18"/>
                <w:szCs w:val="18"/>
              </w:rPr>
              <w:t>审查责任：对发卡企业备案合法性进行审查；</w:t>
            </w:r>
          </w:p>
          <w:p>
            <w:pPr>
              <w:tabs>
                <w:tab w:val="left" w:pos="7937"/>
              </w:tabs>
              <w:spacing w:line="260" w:lineRule="exact"/>
              <w:jc w:val="left"/>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rPr>
              <w:t>3</w:t>
            </w:r>
            <w:r>
              <w:rPr>
                <w:rFonts w:hint="eastAsia" w:ascii="仿宋" w:hAnsi="仿宋" w:eastAsia="仿宋" w:cs="仿宋"/>
                <w:b w:val="0"/>
                <w:bCs w:val="0"/>
                <w:color w:val="auto"/>
                <w:kern w:val="0"/>
                <w:sz w:val="18"/>
                <w:szCs w:val="18"/>
                <w:lang w:val="en-US" w:eastAsia="zh-CN"/>
              </w:rPr>
              <w:t>.</w:t>
            </w:r>
            <w:r>
              <w:rPr>
                <w:rFonts w:hint="eastAsia" w:ascii="仿宋" w:hAnsi="仿宋" w:eastAsia="仿宋" w:cs="仿宋"/>
                <w:b w:val="0"/>
                <w:bCs w:val="0"/>
                <w:color w:val="auto"/>
                <w:kern w:val="0"/>
                <w:sz w:val="18"/>
                <w:szCs w:val="18"/>
              </w:rPr>
              <w:t>决定责任：在法定期限内作出单用途商业预付卡发卡企业备案决定；</w:t>
            </w:r>
          </w:p>
          <w:p>
            <w:pPr>
              <w:spacing w:line="26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kern w:val="0"/>
                <w:sz w:val="18"/>
                <w:szCs w:val="18"/>
              </w:rPr>
              <w:br w:type="textWrapping"/>
            </w:r>
          </w:p>
        </w:tc>
        <w:tc>
          <w:tcPr>
            <w:tcW w:w="2627" w:type="dxa"/>
            <w:vAlign w:val="center"/>
          </w:tcPr>
          <w:p>
            <w:pPr>
              <w:tabs>
                <w:tab w:val="left" w:pos="7937"/>
              </w:tabs>
              <w:spacing w:line="26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tabs>
                <w:tab w:val="left" w:pos="7937"/>
              </w:tabs>
              <w:spacing w:line="26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1、无正当理由拒绝受理依法提出的单用途商业预付卡发卡企业备案请求的；</w:t>
            </w:r>
          </w:p>
          <w:p>
            <w:pPr>
              <w:tabs>
                <w:tab w:val="left" w:pos="7937"/>
              </w:tabs>
              <w:spacing w:line="26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2、审核中有</w:t>
            </w:r>
            <w:r>
              <w:rPr>
                <w:rFonts w:hint="eastAsia" w:ascii="仿宋" w:hAnsi="仿宋" w:eastAsia="仿宋" w:cs="仿宋"/>
                <w:b w:val="0"/>
                <w:bCs w:val="0"/>
                <w:color w:val="auto"/>
                <w:sz w:val="18"/>
                <w:szCs w:val="18"/>
                <w:lang w:val="en-US" w:eastAsia="zh-CN"/>
              </w:rPr>
              <w:t>徇私舞弊</w:t>
            </w:r>
            <w:r>
              <w:rPr>
                <w:rFonts w:hint="eastAsia" w:ascii="仿宋" w:hAnsi="仿宋" w:eastAsia="仿宋" w:cs="仿宋"/>
                <w:b w:val="0"/>
                <w:bCs w:val="0"/>
                <w:color w:val="auto"/>
                <w:sz w:val="18"/>
                <w:szCs w:val="18"/>
              </w:rPr>
              <w:t>或者有其他渎职、失职行为的；</w:t>
            </w:r>
          </w:p>
          <w:p>
            <w:pPr>
              <w:tabs>
                <w:tab w:val="left" w:pos="7937"/>
              </w:tabs>
              <w:spacing w:line="26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3、不在法定期限内作出单用途预付卡发卡企业备案决定的；</w:t>
            </w:r>
          </w:p>
          <w:p>
            <w:pPr>
              <w:spacing w:line="26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4、其他违反法律法规规章文件规定的行为。</w:t>
            </w:r>
          </w:p>
        </w:tc>
        <w:tc>
          <w:tcPr>
            <w:tcW w:w="651" w:type="dxa"/>
            <w:vAlign w:val="center"/>
          </w:tcPr>
          <w:p>
            <w:pPr>
              <w:spacing w:line="400" w:lineRule="exact"/>
              <w:jc w:val="center"/>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9" w:hRule="atLeast"/>
        </w:trPr>
        <w:tc>
          <w:tcPr>
            <w:tcW w:w="690" w:type="dxa"/>
            <w:vAlign w:val="center"/>
          </w:tcPr>
          <w:p>
            <w:pPr>
              <w:spacing w:line="400" w:lineRule="exact"/>
              <w:jc w:val="center"/>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37</w:t>
            </w:r>
          </w:p>
        </w:tc>
        <w:tc>
          <w:tcPr>
            <w:tcW w:w="1247"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行政备案</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洗染业经营者备案</w:t>
            </w: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35" w:type="dxa"/>
            <w:vAlign w:val="center"/>
          </w:tcPr>
          <w:p>
            <w:pPr>
              <w:spacing w:line="260" w:lineRule="exact"/>
              <w:jc w:val="left"/>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rPr>
              <w:t>《洗染业管理办法》第五条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从事洗染经营活动的经营者，应当依法进行工商登记，领取营业执照。经营者应当在取得营业执照后60日内，向登记注册地工商行政管理部门的同级商务主管部门办理备案。</w:t>
            </w:r>
          </w:p>
        </w:tc>
        <w:tc>
          <w:tcPr>
            <w:tcW w:w="2876" w:type="dxa"/>
            <w:vAlign w:val="center"/>
          </w:tcPr>
          <w:p>
            <w:pPr>
              <w:tabs>
                <w:tab w:val="left" w:pos="7937"/>
              </w:tabs>
              <w:spacing w:line="260" w:lineRule="exact"/>
              <w:jc w:val="left"/>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rPr>
              <w:t>1</w:t>
            </w:r>
            <w:r>
              <w:rPr>
                <w:rFonts w:hint="eastAsia" w:ascii="仿宋" w:hAnsi="仿宋" w:eastAsia="仿宋" w:cs="仿宋"/>
                <w:b w:val="0"/>
                <w:bCs w:val="0"/>
                <w:color w:val="auto"/>
                <w:kern w:val="0"/>
                <w:sz w:val="18"/>
                <w:szCs w:val="18"/>
                <w:lang w:val="en-US" w:eastAsia="zh-CN"/>
              </w:rPr>
              <w:t>.</w:t>
            </w:r>
            <w:r>
              <w:rPr>
                <w:rFonts w:hint="eastAsia" w:ascii="仿宋" w:hAnsi="仿宋" w:eastAsia="仿宋" w:cs="仿宋"/>
                <w:b w:val="0"/>
                <w:bCs w:val="0"/>
                <w:color w:val="auto"/>
                <w:kern w:val="0"/>
                <w:sz w:val="18"/>
                <w:szCs w:val="18"/>
              </w:rPr>
              <w:t>受理责任：受理依法提出的</w:t>
            </w:r>
            <w:r>
              <w:rPr>
                <w:rFonts w:hint="eastAsia" w:ascii="仿宋" w:hAnsi="仿宋" w:eastAsia="仿宋" w:cs="仿宋"/>
                <w:b w:val="0"/>
                <w:bCs w:val="0"/>
                <w:color w:val="auto"/>
                <w:sz w:val="18"/>
                <w:szCs w:val="18"/>
              </w:rPr>
              <w:t>洗染业经营者</w:t>
            </w:r>
            <w:r>
              <w:rPr>
                <w:rFonts w:hint="eastAsia" w:ascii="仿宋" w:hAnsi="仿宋" w:eastAsia="仿宋" w:cs="仿宋"/>
                <w:b w:val="0"/>
                <w:bCs w:val="0"/>
                <w:color w:val="auto"/>
                <w:kern w:val="0"/>
                <w:sz w:val="18"/>
                <w:szCs w:val="18"/>
              </w:rPr>
              <w:t>备案申请；</w:t>
            </w:r>
          </w:p>
          <w:p>
            <w:pPr>
              <w:tabs>
                <w:tab w:val="left" w:pos="7937"/>
              </w:tabs>
              <w:spacing w:line="260" w:lineRule="exact"/>
              <w:jc w:val="left"/>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rPr>
              <w:t>2</w:t>
            </w:r>
            <w:r>
              <w:rPr>
                <w:rFonts w:hint="eastAsia" w:ascii="仿宋" w:hAnsi="仿宋" w:eastAsia="仿宋" w:cs="仿宋"/>
                <w:b w:val="0"/>
                <w:bCs w:val="0"/>
                <w:color w:val="auto"/>
                <w:kern w:val="0"/>
                <w:sz w:val="18"/>
                <w:szCs w:val="18"/>
                <w:lang w:val="en-US" w:eastAsia="zh-CN"/>
              </w:rPr>
              <w:t>.</w:t>
            </w:r>
            <w:r>
              <w:rPr>
                <w:rFonts w:hint="eastAsia" w:ascii="仿宋" w:hAnsi="仿宋" w:eastAsia="仿宋" w:cs="仿宋"/>
                <w:b w:val="0"/>
                <w:bCs w:val="0"/>
                <w:color w:val="auto"/>
                <w:kern w:val="0"/>
                <w:sz w:val="18"/>
                <w:szCs w:val="18"/>
              </w:rPr>
              <w:t>审查责任：对</w:t>
            </w:r>
            <w:r>
              <w:rPr>
                <w:rFonts w:hint="eastAsia" w:ascii="仿宋" w:hAnsi="仿宋" w:eastAsia="仿宋" w:cs="仿宋"/>
                <w:b w:val="0"/>
                <w:bCs w:val="0"/>
                <w:color w:val="auto"/>
                <w:sz w:val="18"/>
                <w:szCs w:val="18"/>
              </w:rPr>
              <w:t>洗染业经营者</w:t>
            </w:r>
            <w:r>
              <w:rPr>
                <w:rFonts w:hint="eastAsia" w:ascii="仿宋" w:hAnsi="仿宋" w:eastAsia="仿宋" w:cs="仿宋"/>
                <w:b w:val="0"/>
                <w:bCs w:val="0"/>
                <w:color w:val="auto"/>
                <w:kern w:val="0"/>
                <w:sz w:val="18"/>
                <w:szCs w:val="18"/>
              </w:rPr>
              <w:t>备案合法性进行审查；</w:t>
            </w:r>
          </w:p>
          <w:p>
            <w:pPr>
              <w:tabs>
                <w:tab w:val="left" w:pos="7937"/>
              </w:tabs>
              <w:spacing w:line="260" w:lineRule="exact"/>
              <w:jc w:val="left"/>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rPr>
              <w:t>3</w:t>
            </w:r>
            <w:r>
              <w:rPr>
                <w:rFonts w:hint="eastAsia" w:ascii="仿宋" w:hAnsi="仿宋" w:eastAsia="仿宋" w:cs="仿宋"/>
                <w:b w:val="0"/>
                <w:bCs w:val="0"/>
                <w:color w:val="auto"/>
                <w:kern w:val="0"/>
                <w:sz w:val="18"/>
                <w:szCs w:val="18"/>
                <w:lang w:val="en-US" w:eastAsia="zh-CN"/>
              </w:rPr>
              <w:t>.</w:t>
            </w:r>
            <w:r>
              <w:rPr>
                <w:rFonts w:hint="eastAsia" w:ascii="仿宋" w:hAnsi="仿宋" w:eastAsia="仿宋" w:cs="仿宋"/>
                <w:b w:val="0"/>
                <w:bCs w:val="0"/>
                <w:color w:val="auto"/>
                <w:kern w:val="0"/>
                <w:sz w:val="18"/>
                <w:szCs w:val="18"/>
              </w:rPr>
              <w:t>决定责任：在法定期限内作出</w:t>
            </w:r>
            <w:r>
              <w:rPr>
                <w:rFonts w:hint="eastAsia" w:ascii="仿宋" w:hAnsi="仿宋" w:eastAsia="仿宋" w:cs="仿宋"/>
                <w:b w:val="0"/>
                <w:bCs w:val="0"/>
                <w:color w:val="auto"/>
                <w:sz w:val="18"/>
                <w:szCs w:val="18"/>
              </w:rPr>
              <w:t>洗染业经营者</w:t>
            </w:r>
            <w:r>
              <w:rPr>
                <w:rFonts w:hint="eastAsia" w:ascii="仿宋" w:hAnsi="仿宋" w:eastAsia="仿宋" w:cs="仿宋"/>
                <w:b w:val="0"/>
                <w:bCs w:val="0"/>
                <w:color w:val="auto"/>
                <w:kern w:val="0"/>
                <w:sz w:val="18"/>
                <w:szCs w:val="18"/>
              </w:rPr>
              <w:t>备案决定；</w:t>
            </w:r>
          </w:p>
          <w:p>
            <w:pPr>
              <w:spacing w:line="26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kern w:val="0"/>
                <w:sz w:val="18"/>
                <w:szCs w:val="18"/>
              </w:rPr>
              <w:br w:type="textWrapping"/>
            </w:r>
          </w:p>
        </w:tc>
        <w:tc>
          <w:tcPr>
            <w:tcW w:w="2627" w:type="dxa"/>
            <w:vAlign w:val="center"/>
          </w:tcPr>
          <w:p>
            <w:pPr>
              <w:tabs>
                <w:tab w:val="left" w:pos="7937"/>
              </w:tabs>
              <w:spacing w:line="26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tabs>
                <w:tab w:val="left" w:pos="7937"/>
              </w:tabs>
              <w:spacing w:line="26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1、无正当理由拒绝受理依法提出的洗染业经营者备案请求的；</w:t>
            </w:r>
          </w:p>
          <w:p>
            <w:pPr>
              <w:tabs>
                <w:tab w:val="left" w:pos="7937"/>
              </w:tabs>
              <w:spacing w:line="26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2、审核中有</w:t>
            </w:r>
            <w:r>
              <w:rPr>
                <w:rFonts w:hint="eastAsia" w:ascii="仿宋" w:hAnsi="仿宋" w:eastAsia="仿宋" w:cs="仿宋"/>
                <w:b w:val="0"/>
                <w:bCs w:val="0"/>
                <w:color w:val="auto"/>
                <w:sz w:val="18"/>
                <w:szCs w:val="18"/>
                <w:lang w:val="en-US" w:eastAsia="zh-CN"/>
              </w:rPr>
              <w:t>徇私舞弊</w:t>
            </w:r>
            <w:r>
              <w:rPr>
                <w:rFonts w:hint="eastAsia" w:ascii="仿宋" w:hAnsi="仿宋" w:eastAsia="仿宋" w:cs="仿宋"/>
                <w:b w:val="0"/>
                <w:bCs w:val="0"/>
                <w:color w:val="auto"/>
                <w:sz w:val="18"/>
                <w:szCs w:val="18"/>
              </w:rPr>
              <w:t>或者有其他渎职、失职行为的；</w:t>
            </w:r>
          </w:p>
          <w:p>
            <w:pPr>
              <w:tabs>
                <w:tab w:val="left" w:pos="7937"/>
              </w:tabs>
              <w:spacing w:line="26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3、不在法定期限内作出洗染业经营者备案决定的；</w:t>
            </w:r>
          </w:p>
          <w:p>
            <w:pPr>
              <w:spacing w:line="26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4、其他违反法律法规规章文件规定的行为。</w:t>
            </w:r>
          </w:p>
        </w:tc>
        <w:tc>
          <w:tcPr>
            <w:tcW w:w="651" w:type="dxa"/>
            <w:vAlign w:val="center"/>
          </w:tcPr>
          <w:p>
            <w:pPr>
              <w:spacing w:line="400" w:lineRule="exact"/>
              <w:jc w:val="center"/>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690" w:type="dxa"/>
            <w:vAlign w:val="center"/>
          </w:tcPr>
          <w:p>
            <w:pPr>
              <w:spacing w:line="400" w:lineRule="exact"/>
              <w:jc w:val="center"/>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38</w:t>
            </w:r>
          </w:p>
        </w:tc>
        <w:tc>
          <w:tcPr>
            <w:tcW w:w="1247"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行政备案</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汽车经销商备案</w:t>
            </w: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35" w:type="dxa"/>
            <w:vAlign w:val="center"/>
          </w:tcPr>
          <w:p>
            <w:pPr>
              <w:spacing w:line="260" w:lineRule="exact"/>
              <w:jc w:val="left"/>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rPr>
              <w:t>《汽车销售管理办法》第二十七条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供应商、经销商应当自取得营业执照之日起90日内通过国务院商务主管部门全国汽车流通信息管理系统备案基本信息。供应商、经销商备案的基本信息发生变更的，应当自信息变更之日起30日内完成信息更新。</w:t>
            </w:r>
          </w:p>
        </w:tc>
        <w:tc>
          <w:tcPr>
            <w:tcW w:w="2876" w:type="dxa"/>
            <w:vAlign w:val="center"/>
          </w:tcPr>
          <w:p>
            <w:pPr>
              <w:tabs>
                <w:tab w:val="left" w:pos="7937"/>
              </w:tabs>
              <w:spacing w:line="260" w:lineRule="exact"/>
              <w:jc w:val="left"/>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rPr>
              <w:t>1</w:t>
            </w:r>
            <w:r>
              <w:rPr>
                <w:rFonts w:hint="eastAsia" w:ascii="仿宋" w:hAnsi="仿宋" w:eastAsia="仿宋" w:cs="仿宋"/>
                <w:b w:val="0"/>
                <w:bCs w:val="0"/>
                <w:color w:val="auto"/>
                <w:kern w:val="0"/>
                <w:sz w:val="18"/>
                <w:szCs w:val="18"/>
                <w:lang w:val="en-US" w:eastAsia="zh-CN"/>
              </w:rPr>
              <w:t>.</w:t>
            </w:r>
            <w:r>
              <w:rPr>
                <w:rFonts w:hint="eastAsia" w:ascii="仿宋" w:hAnsi="仿宋" w:eastAsia="仿宋" w:cs="仿宋"/>
                <w:b w:val="0"/>
                <w:bCs w:val="0"/>
                <w:color w:val="auto"/>
                <w:kern w:val="0"/>
                <w:sz w:val="18"/>
                <w:szCs w:val="18"/>
              </w:rPr>
              <w:t>受理责任：受理依法提出的</w:t>
            </w:r>
            <w:r>
              <w:rPr>
                <w:rFonts w:hint="eastAsia" w:ascii="仿宋" w:hAnsi="仿宋" w:eastAsia="仿宋" w:cs="仿宋"/>
                <w:b w:val="0"/>
                <w:bCs w:val="0"/>
                <w:color w:val="auto"/>
                <w:sz w:val="18"/>
                <w:szCs w:val="18"/>
              </w:rPr>
              <w:t>汽车经销商</w:t>
            </w:r>
            <w:r>
              <w:rPr>
                <w:rFonts w:hint="eastAsia" w:ascii="仿宋" w:hAnsi="仿宋" w:eastAsia="仿宋" w:cs="仿宋"/>
                <w:b w:val="0"/>
                <w:bCs w:val="0"/>
                <w:color w:val="auto"/>
                <w:kern w:val="0"/>
                <w:sz w:val="18"/>
                <w:szCs w:val="18"/>
              </w:rPr>
              <w:t>备案申请；</w:t>
            </w:r>
          </w:p>
          <w:p>
            <w:pPr>
              <w:tabs>
                <w:tab w:val="left" w:pos="7937"/>
              </w:tabs>
              <w:spacing w:line="260" w:lineRule="exact"/>
              <w:jc w:val="left"/>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rPr>
              <w:t>2</w:t>
            </w:r>
            <w:r>
              <w:rPr>
                <w:rFonts w:hint="eastAsia" w:ascii="仿宋" w:hAnsi="仿宋" w:eastAsia="仿宋" w:cs="仿宋"/>
                <w:b w:val="0"/>
                <w:bCs w:val="0"/>
                <w:color w:val="auto"/>
                <w:kern w:val="0"/>
                <w:sz w:val="18"/>
                <w:szCs w:val="18"/>
                <w:lang w:val="en-US" w:eastAsia="zh-CN"/>
              </w:rPr>
              <w:t>.</w:t>
            </w:r>
            <w:r>
              <w:rPr>
                <w:rFonts w:hint="eastAsia" w:ascii="仿宋" w:hAnsi="仿宋" w:eastAsia="仿宋" w:cs="仿宋"/>
                <w:b w:val="0"/>
                <w:bCs w:val="0"/>
                <w:color w:val="auto"/>
                <w:kern w:val="0"/>
                <w:sz w:val="18"/>
                <w:szCs w:val="18"/>
              </w:rPr>
              <w:t>审查责任：对</w:t>
            </w:r>
            <w:r>
              <w:rPr>
                <w:rFonts w:hint="eastAsia" w:ascii="仿宋" w:hAnsi="仿宋" w:eastAsia="仿宋" w:cs="仿宋"/>
                <w:b w:val="0"/>
                <w:bCs w:val="0"/>
                <w:color w:val="auto"/>
                <w:sz w:val="18"/>
                <w:szCs w:val="18"/>
              </w:rPr>
              <w:t>汽车经销商</w:t>
            </w:r>
            <w:r>
              <w:rPr>
                <w:rFonts w:hint="eastAsia" w:ascii="仿宋" w:hAnsi="仿宋" w:eastAsia="仿宋" w:cs="仿宋"/>
                <w:b w:val="0"/>
                <w:bCs w:val="0"/>
                <w:color w:val="auto"/>
                <w:kern w:val="0"/>
                <w:sz w:val="18"/>
                <w:szCs w:val="18"/>
              </w:rPr>
              <w:t>企业备案合法性进行审查；</w:t>
            </w:r>
          </w:p>
          <w:p>
            <w:pPr>
              <w:tabs>
                <w:tab w:val="left" w:pos="7937"/>
              </w:tabs>
              <w:spacing w:line="260" w:lineRule="exact"/>
              <w:jc w:val="left"/>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rPr>
              <w:t>3</w:t>
            </w:r>
            <w:r>
              <w:rPr>
                <w:rFonts w:hint="eastAsia" w:ascii="仿宋" w:hAnsi="仿宋" w:eastAsia="仿宋" w:cs="仿宋"/>
                <w:b w:val="0"/>
                <w:bCs w:val="0"/>
                <w:color w:val="auto"/>
                <w:kern w:val="0"/>
                <w:sz w:val="18"/>
                <w:szCs w:val="18"/>
                <w:lang w:val="en-US" w:eastAsia="zh-CN"/>
              </w:rPr>
              <w:t>.</w:t>
            </w:r>
            <w:r>
              <w:rPr>
                <w:rFonts w:hint="eastAsia" w:ascii="仿宋" w:hAnsi="仿宋" w:eastAsia="仿宋" w:cs="仿宋"/>
                <w:b w:val="0"/>
                <w:bCs w:val="0"/>
                <w:color w:val="auto"/>
                <w:kern w:val="0"/>
                <w:sz w:val="18"/>
                <w:szCs w:val="18"/>
              </w:rPr>
              <w:t>决定责任：在法定期限内作出</w:t>
            </w:r>
            <w:r>
              <w:rPr>
                <w:rFonts w:hint="eastAsia" w:ascii="仿宋" w:hAnsi="仿宋" w:eastAsia="仿宋" w:cs="仿宋"/>
                <w:b w:val="0"/>
                <w:bCs w:val="0"/>
                <w:color w:val="auto"/>
                <w:sz w:val="18"/>
                <w:szCs w:val="18"/>
              </w:rPr>
              <w:t>汽车经销商</w:t>
            </w:r>
            <w:r>
              <w:rPr>
                <w:rFonts w:hint="eastAsia" w:ascii="仿宋" w:hAnsi="仿宋" w:eastAsia="仿宋" w:cs="仿宋"/>
                <w:b w:val="0"/>
                <w:bCs w:val="0"/>
                <w:color w:val="auto"/>
                <w:kern w:val="0"/>
                <w:sz w:val="18"/>
                <w:szCs w:val="18"/>
              </w:rPr>
              <w:t>企业备案决定；</w:t>
            </w:r>
          </w:p>
          <w:p>
            <w:pPr>
              <w:spacing w:line="26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kern w:val="0"/>
                <w:sz w:val="18"/>
                <w:szCs w:val="18"/>
              </w:rPr>
              <w:br w:type="textWrapping"/>
            </w:r>
          </w:p>
        </w:tc>
        <w:tc>
          <w:tcPr>
            <w:tcW w:w="2627" w:type="dxa"/>
            <w:vAlign w:val="center"/>
          </w:tcPr>
          <w:p>
            <w:pPr>
              <w:tabs>
                <w:tab w:val="left" w:pos="7937"/>
              </w:tabs>
              <w:spacing w:line="26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tabs>
                <w:tab w:val="left" w:pos="7937"/>
              </w:tabs>
              <w:spacing w:line="26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1、无正当理由拒绝受理依法提出的汽车供应商、经销商企业备案请求的；</w:t>
            </w:r>
          </w:p>
          <w:p>
            <w:pPr>
              <w:tabs>
                <w:tab w:val="left" w:pos="7937"/>
              </w:tabs>
              <w:spacing w:line="26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2、审核中有</w:t>
            </w:r>
            <w:r>
              <w:rPr>
                <w:rFonts w:hint="eastAsia" w:ascii="仿宋" w:hAnsi="仿宋" w:eastAsia="仿宋" w:cs="仿宋"/>
                <w:b w:val="0"/>
                <w:bCs w:val="0"/>
                <w:color w:val="auto"/>
                <w:sz w:val="18"/>
                <w:szCs w:val="18"/>
                <w:lang w:val="en-US" w:eastAsia="zh-CN"/>
              </w:rPr>
              <w:t>徇私舞弊</w:t>
            </w:r>
            <w:r>
              <w:rPr>
                <w:rFonts w:hint="eastAsia" w:ascii="仿宋" w:hAnsi="仿宋" w:eastAsia="仿宋" w:cs="仿宋"/>
                <w:b w:val="0"/>
                <w:bCs w:val="0"/>
                <w:color w:val="auto"/>
                <w:sz w:val="18"/>
                <w:szCs w:val="18"/>
              </w:rPr>
              <w:t>或者有其他渎职、失职行为的；</w:t>
            </w:r>
          </w:p>
          <w:p>
            <w:pPr>
              <w:tabs>
                <w:tab w:val="left" w:pos="7937"/>
              </w:tabs>
              <w:spacing w:line="26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3、不在法定期限内作出汽车供应商、经销商企业备案决定的；</w:t>
            </w:r>
          </w:p>
          <w:p>
            <w:pPr>
              <w:spacing w:line="26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4、其他违反法律法规规章文件规定的行为。</w:t>
            </w:r>
          </w:p>
        </w:tc>
        <w:tc>
          <w:tcPr>
            <w:tcW w:w="651" w:type="dxa"/>
            <w:vAlign w:val="center"/>
          </w:tcPr>
          <w:p>
            <w:pPr>
              <w:spacing w:line="400" w:lineRule="exact"/>
              <w:jc w:val="center"/>
              <w:rPr>
                <w:rFonts w:hint="eastAsia" w:ascii="仿宋" w:hAnsi="仿宋" w:eastAsia="仿宋" w:cs="仿宋"/>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3" w:hRule="atLeast"/>
        </w:trPr>
        <w:tc>
          <w:tcPr>
            <w:tcW w:w="690" w:type="dxa"/>
            <w:vAlign w:val="center"/>
          </w:tcPr>
          <w:p>
            <w:pPr>
              <w:spacing w:line="400" w:lineRule="exact"/>
              <w:jc w:val="center"/>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39</w:t>
            </w:r>
          </w:p>
        </w:tc>
        <w:tc>
          <w:tcPr>
            <w:tcW w:w="1247" w:type="dxa"/>
            <w:vAlign w:val="center"/>
          </w:tcPr>
          <w:p>
            <w:pPr>
              <w:tabs>
                <w:tab w:val="left" w:pos="7937"/>
              </w:tabs>
              <w:spacing w:line="200" w:lineRule="exact"/>
              <w:jc w:val="center"/>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行政备案</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零售商促销行为备案登记</w:t>
            </w: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val="en-US" w:eastAsia="zh-CN"/>
              </w:rPr>
              <w:t>唐山市开平区商务和投资促进局</w:t>
            </w:r>
          </w:p>
        </w:tc>
        <w:tc>
          <w:tcPr>
            <w:tcW w:w="3435" w:type="dxa"/>
            <w:vAlign w:val="center"/>
          </w:tcPr>
          <w:p>
            <w:pPr>
              <w:spacing w:line="26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《零售商促销行为管理办法》第二十条</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单店营业面积在3000平方米以上的零售商，以新店开业、节庆、店庆等名义开展促销活动，应当在促销活动结束后十五日内，将其明示的促销内容，向经营场所所在地的县级以上（含县级）商务主管部门备案。</w:t>
            </w:r>
          </w:p>
        </w:tc>
        <w:tc>
          <w:tcPr>
            <w:tcW w:w="2876" w:type="dxa"/>
            <w:vAlign w:val="center"/>
          </w:tcPr>
          <w:p>
            <w:pPr>
              <w:tabs>
                <w:tab w:val="left" w:pos="7937"/>
              </w:tabs>
              <w:spacing w:line="260" w:lineRule="exact"/>
              <w:jc w:val="left"/>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rPr>
              <w:t>1</w:t>
            </w:r>
            <w:r>
              <w:rPr>
                <w:rFonts w:hint="eastAsia" w:ascii="仿宋" w:hAnsi="仿宋" w:eastAsia="仿宋" w:cs="仿宋"/>
                <w:b w:val="0"/>
                <w:bCs w:val="0"/>
                <w:color w:val="auto"/>
                <w:kern w:val="0"/>
                <w:sz w:val="18"/>
                <w:szCs w:val="18"/>
                <w:lang w:val="en-US" w:eastAsia="zh-CN"/>
              </w:rPr>
              <w:t>.</w:t>
            </w:r>
            <w:r>
              <w:rPr>
                <w:rFonts w:hint="eastAsia" w:ascii="仿宋" w:hAnsi="仿宋" w:eastAsia="仿宋" w:cs="仿宋"/>
                <w:b w:val="0"/>
                <w:bCs w:val="0"/>
                <w:color w:val="auto"/>
                <w:kern w:val="0"/>
                <w:sz w:val="18"/>
                <w:szCs w:val="18"/>
              </w:rPr>
              <w:t>受理责任：受理依法提出的</w:t>
            </w:r>
            <w:r>
              <w:rPr>
                <w:rFonts w:hint="eastAsia" w:ascii="仿宋" w:hAnsi="仿宋" w:eastAsia="仿宋" w:cs="仿宋"/>
                <w:b w:val="0"/>
                <w:bCs w:val="0"/>
                <w:color w:val="auto"/>
                <w:sz w:val="18"/>
                <w:szCs w:val="18"/>
              </w:rPr>
              <w:t>零售商促销行为备案登记</w:t>
            </w:r>
            <w:r>
              <w:rPr>
                <w:rFonts w:hint="eastAsia" w:ascii="仿宋" w:hAnsi="仿宋" w:eastAsia="仿宋" w:cs="仿宋"/>
                <w:b w:val="0"/>
                <w:bCs w:val="0"/>
                <w:color w:val="auto"/>
                <w:kern w:val="0"/>
                <w:sz w:val="18"/>
                <w:szCs w:val="18"/>
              </w:rPr>
              <w:t>申请；</w:t>
            </w:r>
          </w:p>
          <w:p>
            <w:pPr>
              <w:tabs>
                <w:tab w:val="left" w:pos="7937"/>
              </w:tabs>
              <w:spacing w:line="260" w:lineRule="exact"/>
              <w:jc w:val="left"/>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rPr>
              <w:t>2</w:t>
            </w:r>
            <w:r>
              <w:rPr>
                <w:rFonts w:hint="eastAsia" w:ascii="仿宋" w:hAnsi="仿宋" w:eastAsia="仿宋" w:cs="仿宋"/>
                <w:b w:val="0"/>
                <w:bCs w:val="0"/>
                <w:color w:val="auto"/>
                <w:kern w:val="0"/>
                <w:sz w:val="18"/>
                <w:szCs w:val="18"/>
                <w:lang w:val="en-US" w:eastAsia="zh-CN"/>
              </w:rPr>
              <w:t>.</w:t>
            </w:r>
            <w:r>
              <w:rPr>
                <w:rFonts w:hint="eastAsia" w:ascii="仿宋" w:hAnsi="仿宋" w:eastAsia="仿宋" w:cs="仿宋"/>
                <w:b w:val="0"/>
                <w:bCs w:val="0"/>
                <w:color w:val="auto"/>
                <w:kern w:val="0"/>
                <w:sz w:val="18"/>
                <w:szCs w:val="18"/>
              </w:rPr>
              <w:t>审查责任：对</w:t>
            </w:r>
            <w:r>
              <w:rPr>
                <w:rFonts w:hint="eastAsia" w:ascii="仿宋" w:hAnsi="仿宋" w:eastAsia="仿宋" w:cs="仿宋"/>
                <w:b w:val="0"/>
                <w:bCs w:val="0"/>
                <w:color w:val="auto"/>
                <w:sz w:val="18"/>
                <w:szCs w:val="18"/>
              </w:rPr>
              <w:t>零售商促销行为备案登记</w:t>
            </w:r>
            <w:r>
              <w:rPr>
                <w:rFonts w:hint="eastAsia" w:ascii="仿宋" w:hAnsi="仿宋" w:eastAsia="仿宋" w:cs="仿宋"/>
                <w:b w:val="0"/>
                <w:bCs w:val="0"/>
                <w:color w:val="auto"/>
                <w:kern w:val="0"/>
                <w:sz w:val="18"/>
                <w:szCs w:val="18"/>
              </w:rPr>
              <w:t>合法性进行审查；</w:t>
            </w:r>
          </w:p>
          <w:p>
            <w:pPr>
              <w:tabs>
                <w:tab w:val="left" w:pos="7937"/>
              </w:tabs>
              <w:spacing w:line="260" w:lineRule="exact"/>
              <w:jc w:val="left"/>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rPr>
              <w:t>3</w:t>
            </w:r>
            <w:r>
              <w:rPr>
                <w:rFonts w:hint="eastAsia" w:ascii="仿宋" w:hAnsi="仿宋" w:eastAsia="仿宋" w:cs="仿宋"/>
                <w:b w:val="0"/>
                <w:bCs w:val="0"/>
                <w:color w:val="auto"/>
                <w:kern w:val="0"/>
                <w:sz w:val="18"/>
                <w:szCs w:val="18"/>
                <w:lang w:val="en-US" w:eastAsia="zh-CN"/>
              </w:rPr>
              <w:t>.</w:t>
            </w:r>
            <w:r>
              <w:rPr>
                <w:rFonts w:hint="eastAsia" w:ascii="仿宋" w:hAnsi="仿宋" w:eastAsia="仿宋" w:cs="仿宋"/>
                <w:b w:val="0"/>
                <w:bCs w:val="0"/>
                <w:color w:val="auto"/>
                <w:kern w:val="0"/>
                <w:sz w:val="18"/>
                <w:szCs w:val="18"/>
              </w:rPr>
              <w:t>决定责任：在法定期限内作出</w:t>
            </w:r>
            <w:r>
              <w:rPr>
                <w:rFonts w:hint="eastAsia" w:ascii="仿宋" w:hAnsi="仿宋" w:eastAsia="仿宋" w:cs="仿宋"/>
                <w:b w:val="0"/>
                <w:bCs w:val="0"/>
                <w:color w:val="auto"/>
                <w:sz w:val="18"/>
                <w:szCs w:val="18"/>
              </w:rPr>
              <w:t>零售商促销行为备案登记</w:t>
            </w:r>
            <w:r>
              <w:rPr>
                <w:rFonts w:hint="eastAsia" w:ascii="仿宋" w:hAnsi="仿宋" w:eastAsia="仿宋" w:cs="仿宋"/>
                <w:b w:val="0"/>
                <w:bCs w:val="0"/>
                <w:color w:val="auto"/>
                <w:kern w:val="0"/>
                <w:sz w:val="18"/>
                <w:szCs w:val="18"/>
              </w:rPr>
              <w:t>决定；</w:t>
            </w:r>
          </w:p>
          <w:p>
            <w:pPr>
              <w:spacing w:line="26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kern w:val="0"/>
                <w:sz w:val="18"/>
                <w:szCs w:val="18"/>
              </w:rPr>
              <w:br w:type="textWrapping"/>
            </w:r>
          </w:p>
        </w:tc>
        <w:tc>
          <w:tcPr>
            <w:tcW w:w="2627" w:type="dxa"/>
            <w:vAlign w:val="center"/>
          </w:tcPr>
          <w:p>
            <w:pPr>
              <w:tabs>
                <w:tab w:val="left" w:pos="7937"/>
              </w:tabs>
              <w:spacing w:line="26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因不履行或不正确履行行政职责，有下列情形的，行政机关及相关工作人员应承担相应责任：</w:t>
            </w:r>
          </w:p>
          <w:p>
            <w:pPr>
              <w:tabs>
                <w:tab w:val="left" w:pos="7937"/>
              </w:tabs>
              <w:spacing w:line="26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1、无正当理由拒绝受理依法提出的零售商促销行为备案登记请求的；</w:t>
            </w:r>
          </w:p>
          <w:p>
            <w:pPr>
              <w:tabs>
                <w:tab w:val="left" w:pos="7937"/>
              </w:tabs>
              <w:spacing w:line="26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2、审核中有</w:t>
            </w:r>
            <w:r>
              <w:rPr>
                <w:rFonts w:hint="eastAsia" w:ascii="仿宋" w:hAnsi="仿宋" w:eastAsia="仿宋" w:cs="仿宋"/>
                <w:b w:val="0"/>
                <w:bCs w:val="0"/>
                <w:color w:val="auto"/>
                <w:sz w:val="18"/>
                <w:szCs w:val="18"/>
                <w:lang w:val="en-US" w:eastAsia="zh-CN"/>
              </w:rPr>
              <w:t>徇私舞弊</w:t>
            </w:r>
            <w:r>
              <w:rPr>
                <w:rFonts w:hint="eastAsia" w:ascii="仿宋" w:hAnsi="仿宋" w:eastAsia="仿宋" w:cs="仿宋"/>
                <w:b w:val="0"/>
                <w:bCs w:val="0"/>
                <w:color w:val="auto"/>
                <w:sz w:val="18"/>
                <w:szCs w:val="18"/>
              </w:rPr>
              <w:t>或者有其他渎职、失职行为的；</w:t>
            </w:r>
          </w:p>
          <w:p>
            <w:pPr>
              <w:tabs>
                <w:tab w:val="left" w:pos="7937"/>
              </w:tabs>
              <w:spacing w:line="26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3、不在法定期限内作出零售商促销行为备案登记决定的；</w:t>
            </w:r>
          </w:p>
          <w:p>
            <w:pPr>
              <w:spacing w:line="260" w:lineRule="exact"/>
              <w:jc w:val="left"/>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4、其他违反法律法规规章文件规定的行为。</w:t>
            </w:r>
          </w:p>
        </w:tc>
        <w:tc>
          <w:tcPr>
            <w:tcW w:w="651" w:type="dxa"/>
            <w:vAlign w:val="center"/>
          </w:tcPr>
          <w:p>
            <w:pPr>
              <w:spacing w:line="400" w:lineRule="exact"/>
              <w:jc w:val="center"/>
              <w:rPr>
                <w:rFonts w:hint="eastAsia" w:ascii="仿宋" w:hAnsi="仿宋" w:eastAsia="仿宋" w:cs="仿宋"/>
                <w:b w:val="0"/>
                <w:bCs w:val="0"/>
                <w:color w:val="auto"/>
                <w:sz w:val="18"/>
                <w:szCs w:val="18"/>
              </w:rPr>
            </w:pPr>
          </w:p>
        </w:tc>
      </w:tr>
    </w:tbl>
    <w:p>
      <w:pPr>
        <w:spacing w:line="600" w:lineRule="exact"/>
        <w:jc w:val="center"/>
        <w:rPr>
          <w:rFonts w:ascii="方正小标宋简体" w:hAnsi="方正小标宋简体" w:eastAsia="方正小标宋简体"/>
          <w:sz w:val="36"/>
        </w:rPr>
      </w:pPr>
    </w:p>
    <w:p>
      <w:pPr>
        <w:spacing w:line="600" w:lineRule="exact"/>
        <w:ind w:firstLine="3520" w:firstLineChars="1000"/>
        <w:rPr>
          <w:rFonts w:ascii="方正小标宋简体" w:hAnsi="方正小标宋简体" w:eastAsia="方正小标宋简体"/>
          <w:sz w:val="36"/>
        </w:rPr>
      </w:pPr>
    </w:p>
    <w:p>
      <w:pPr>
        <w:spacing w:line="400" w:lineRule="exact"/>
      </w:pPr>
    </w:p>
    <w:sectPr>
      <w:footerReference r:id="rId3" w:type="default"/>
      <w:pgSz w:w="16838" w:h="11906" w:orient="landscape"/>
      <w:pgMar w:top="720" w:right="720" w:bottom="720" w:left="720" w:header="851" w:footer="992" w:gutter="0"/>
      <w:pgNumType w:fmt="numberInDash"/>
      <w:cols w:space="720" w:num="1"/>
      <w:titlePg/>
      <w:docGrid w:type="linesAndChar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- 2 -</w: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HorizontalSpacing w:val="156"/>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lOWQ0MmQ2ZDg5ODI4Y2JiODA2YjQwN2Q5NDFkZGYifQ=="/>
  </w:docVars>
  <w:rsids>
    <w:rsidRoot w:val="51E763F7"/>
    <w:rsid w:val="00064555"/>
    <w:rsid w:val="0010188E"/>
    <w:rsid w:val="00342D7C"/>
    <w:rsid w:val="004A0B69"/>
    <w:rsid w:val="00510595"/>
    <w:rsid w:val="00544D41"/>
    <w:rsid w:val="00620A52"/>
    <w:rsid w:val="006A3EFF"/>
    <w:rsid w:val="006A67D8"/>
    <w:rsid w:val="0072387D"/>
    <w:rsid w:val="00741C13"/>
    <w:rsid w:val="007A1AFF"/>
    <w:rsid w:val="007D2773"/>
    <w:rsid w:val="009343E9"/>
    <w:rsid w:val="00A02C18"/>
    <w:rsid w:val="00A06A6E"/>
    <w:rsid w:val="00A25B1D"/>
    <w:rsid w:val="00AB10CC"/>
    <w:rsid w:val="00B83C42"/>
    <w:rsid w:val="00B85F3E"/>
    <w:rsid w:val="00B8607F"/>
    <w:rsid w:val="00C45014"/>
    <w:rsid w:val="00CC0613"/>
    <w:rsid w:val="00E146E9"/>
    <w:rsid w:val="00F12B0A"/>
    <w:rsid w:val="00F61C93"/>
    <w:rsid w:val="011C3D43"/>
    <w:rsid w:val="017D725B"/>
    <w:rsid w:val="0181545F"/>
    <w:rsid w:val="01BC541A"/>
    <w:rsid w:val="020B153F"/>
    <w:rsid w:val="02BA646A"/>
    <w:rsid w:val="03714210"/>
    <w:rsid w:val="038233CA"/>
    <w:rsid w:val="03A11802"/>
    <w:rsid w:val="03C66853"/>
    <w:rsid w:val="03CF0018"/>
    <w:rsid w:val="03F80EE3"/>
    <w:rsid w:val="04D4219A"/>
    <w:rsid w:val="05016CAA"/>
    <w:rsid w:val="0512386A"/>
    <w:rsid w:val="05413D1D"/>
    <w:rsid w:val="05656C41"/>
    <w:rsid w:val="07C270A5"/>
    <w:rsid w:val="085548A9"/>
    <w:rsid w:val="0BAA50D9"/>
    <w:rsid w:val="0E5563E3"/>
    <w:rsid w:val="0F5C04E1"/>
    <w:rsid w:val="0FD11614"/>
    <w:rsid w:val="108A785D"/>
    <w:rsid w:val="10CA1963"/>
    <w:rsid w:val="125F7E4B"/>
    <w:rsid w:val="13377829"/>
    <w:rsid w:val="142A4590"/>
    <w:rsid w:val="157921CE"/>
    <w:rsid w:val="15805FC9"/>
    <w:rsid w:val="15DC5419"/>
    <w:rsid w:val="164C28B6"/>
    <w:rsid w:val="172A1749"/>
    <w:rsid w:val="17383D6F"/>
    <w:rsid w:val="17706AA7"/>
    <w:rsid w:val="179B5394"/>
    <w:rsid w:val="18697C0E"/>
    <w:rsid w:val="1C54011D"/>
    <w:rsid w:val="1CD95CA6"/>
    <w:rsid w:val="1D794A81"/>
    <w:rsid w:val="1FDF084A"/>
    <w:rsid w:val="202B5054"/>
    <w:rsid w:val="20715718"/>
    <w:rsid w:val="21AD6521"/>
    <w:rsid w:val="226013E9"/>
    <w:rsid w:val="24853B12"/>
    <w:rsid w:val="2585411A"/>
    <w:rsid w:val="26ED1603"/>
    <w:rsid w:val="27905EC4"/>
    <w:rsid w:val="286C5857"/>
    <w:rsid w:val="29021998"/>
    <w:rsid w:val="293F5222"/>
    <w:rsid w:val="296E155D"/>
    <w:rsid w:val="2A941668"/>
    <w:rsid w:val="2AAA7A74"/>
    <w:rsid w:val="2B762277"/>
    <w:rsid w:val="2E520089"/>
    <w:rsid w:val="2E567014"/>
    <w:rsid w:val="2EAC10FC"/>
    <w:rsid w:val="2EB26459"/>
    <w:rsid w:val="2F62296B"/>
    <w:rsid w:val="2F690B4F"/>
    <w:rsid w:val="316E496E"/>
    <w:rsid w:val="31ED4933"/>
    <w:rsid w:val="320050E4"/>
    <w:rsid w:val="34D343B2"/>
    <w:rsid w:val="36DF5DF0"/>
    <w:rsid w:val="377B03A9"/>
    <w:rsid w:val="38A015E3"/>
    <w:rsid w:val="38E569CC"/>
    <w:rsid w:val="3A046E6A"/>
    <w:rsid w:val="3A051C93"/>
    <w:rsid w:val="3A30248F"/>
    <w:rsid w:val="3A661A3C"/>
    <w:rsid w:val="3B0A4831"/>
    <w:rsid w:val="3BAB6200"/>
    <w:rsid w:val="3DDF2796"/>
    <w:rsid w:val="42025183"/>
    <w:rsid w:val="4388689C"/>
    <w:rsid w:val="43E817F7"/>
    <w:rsid w:val="44805DEB"/>
    <w:rsid w:val="4556362E"/>
    <w:rsid w:val="46C91C6E"/>
    <w:rsid w:val="479741AC"/>
    <w:rsid w:val="493A17B4"/>
    <w:rsid w:val="495A0F79"/>
    <w:rsid w:val="4A0602A6"/>
    <w:rsid w:val="4B7C7466"/>
    <w:rsid w:val="4C2122C0"/>
    <w:rsid w:val="4DDB3886"/>
    <w:rsid w:val="4F4222E6"/>
    <w:rsid w:val="4F57102D"/>
    <w:rsid w:val="500273D5"/>
    <w:rsid w:val="50AF3E50"/>
    <w:rsid w:val="51AE49A6"/>
    <w:rsid w:val="51E763F7"/>
    <w:rsid w:val="51FA31CA"/>
    <w:rsid w:val="5215721A"/>
    <w:rsid w:val="527400B0"/>
    <w:rsid w:val="534E588C"/>
    <w:rsid w:val="53DF6B34"/>
    <w:rsid w:val="54241AE9"/>
    <w:rsid w:val="55E62DAD"/>
    <w:rsid w:val="57267788"/>
    <w:rsid w:val="57FD3DC2"/>
    <w:rsid w:val="596C4231"/>
    <w:rsid w:val="598270FC"/>
    <w:rsid w:val="59ED317B"/>
    <w:rsid w:val="5DE5476A"/>
    <w:rsid w:val="5E8C14DF"/>
    <w:rsid w:val="60AF3A4B"/>
    <w:rsid w:val="613E7E7A"/>
    <w:rsid w:val="622418A1"/>
    <w:rsid w:val="62836ABF"/>
    <w:rsid w:val="65162660"/>
    <w:rsid w:val="65EF2A59"/>
    <w:rsid w:val="660C6CA7"/>
    <w:rsid w:val="661B24C0"/>
    <w:rsid w:val="683C262A"/>
    <w:rsid w:val="685A1EDD"/>
    <w:rsid w:val="6A352093"/>
    <w:rsid w:val="6BED30DD"/>
    <w:rsid w:val="6CCA656D"/>
    <w:rsid w:val="6F026838"/>
    <w:rsid w:val="6F23130A"/>
    <w:rsid w:val="6F9A6421"/>
    <w:rsid w:val="70471F80"/>
    <w:rsid w:val="70C64A02"/>
    <w:rsid w:val="71336980"/>
    <w:rsid w:val="71FD6576"/>
    <w:rsid w:val="72806B82"/>
    <w:rsid w:val="734452D2"/>
    <w:rsid w:val="74A33689"/>
    <w:rsid w:val="75080A13"/>
    <w:rsid w:val="75573E4A"/>
    <w:rsid w:val="77392A85"/>
    <w:rsid w:val="77BD07E5"/>
    <w:rsid w:val="781461E9"/>
    <w:rsid w:val="79667A4E"/>
    <w:rsid w:val="7A9D7B88"/>
    <w:rsid w:val="7B2C39D0"/>
    <w:rsid w:val="7BB6161B"/>
    <w:rsid w:val="7CC84BEE"/>
    <w:rsid w:val="7D9E5F2B"/>
    <w:rsid w:val="7DAF3D89"/>
    <w:rsid w:val="7EF93B34"/>
    <w:rsid w:val="7FB13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styleId="9">
    <w:name w:val="Emphasis"/>
    <w:basedOn w:val="7"/>
    <w:qFormat/>
    <w:uiPriority w:val="0"/>
    <w:rPr>
      <w:i/>
    </w:rPr>
  </w:style>
  <w:style w:type="paragraph" w:customStyle="1" w:styleId="10">
    <w:name w:val="Char"/>
    <w:basedOn w:val="1"/>
    <w:qFormat/>
    <w:uiPriority w:val="0"/>
    <w:pPr>
      <w:snapToGrid w:val="0"/>
      <w:spacing w:after="156" w:afterLines="50" w:line="360" w:lineRule="auto"/>
      <w:ind w:firstLine="480" w:firstLineChars="200"/>
    </w:pPr>
  </w:style>
  <w:style w:type="paragraph" w:styleId="11">
    <w:name w:val="List Paragraph"/>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3956</Words>
  <Characters>3981</Characters>
  <Lines>318</Lines>
  <Paragraphs>89</Paragraphs>
  <TotalTime>8</TotalTime>
  <ScaleCrop>false</ScaleCrop>
  <LinksUpToDate>false</LinksUpToDate>
  <CharactersWithSpaces>4021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2023-08-24T08:20:00Z</dcterms:created>
  <dc:creator>等风来</dc:creator>
  <cp:lastModifiedBy>Lenovo</cp:lastModifiedBy>
  <cp:lastPrinted>2024-07-07T07:46:00Z</cp:lastPrinted>
  <dcterms:modified xsi:type="dcterms:W3CDTF">2025-03-07T01:53:13Z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F3CE4F19CCC44ACBB6CB14F4066604B4</vt:lpwstr>
  </property>
</Properties>
</file>