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271.41</w:t>
            </w:r>
          </w:p>
        </w:tc>
        <w:tc>
          <w:tcPr>
            <w:tcW w:w="4535" w:type="dxa"/>
            <w:vAlign w:val="center"/>
          </w:tcPr>
          <w:p>
            <w:pPr>
              <w:pStyle w:val="15"/>
            </w:pPr>
            <w:r>
              <w:t>一、一般公共服务支出</w:t>
            </w:r>
          </w:p>
        </w:tc>
        <w:tc>
          <w:tcPr>
            <w:tcW w:w="2126" w:type="dxa"/>
            <w:vAlign w:val="center"/>
          </w:tcPr>
          <w:p>
            <w:pPr>
              <w:pStyle w:val="14"/>
            </w:pPr>
            <w:r>
              <w:t>286.28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271.41</w:t>
            </w:r>
          </w:p>
        </w:tc>
        <w:tc>
          <w:tcPr>
            <w:tcW w:w="4535" w:type="dxa"/>
            <w:vAlign w:val="center"/>
          </w:tcPr>
          <w:p>
            <w:pPr>
              <w:pStyle w:val="17"/>
            </w:pPr>
            <w:r>
              <w:t>本年支出合计</w:t>
            </w:r>
          </w:p>
        </w:tc>
        <w:tc>
          <w:tcPr>
            <w:tcW w:w="2126" w:type="dxa"/>
            <w:vAlign w:val="center"/>
          </w:tcPr>
          <w:p>
            <w:pPr>
              <w:pStyle w:val="18"/>
            </w:pPr>
            <w:r>
              <w:t>333.41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62.00</w:t>
            </w: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333.41</w:t>
            </w:r>
          </w:p>
        </w:tc>
        <w:tc>
          <w:tcPr>
            <w:tcW w:w="4535" w:type="dxa"/>
            <w:vAlign w:val="center"/>
          </w:tcPr>
          <w:p>
            <w:pPr>
              <w:pStyle w:val="17"/>
            </w:pPr>
            <w:r>
              <w:t>支出总计</w:t>
            </w:r>
          </w:p>
        </w:tc>
        <w:tc>
          <w:tcPr>
            <w:tcW w:w="2126" w:type="dxa"/>
            <w:vAlign w:val="center"/>
          </w:tcPr>
          <w:p>
            <w:pPr>
              <w:pStyle w:val="18"/>
            </w:pPr>
            <w:r>
              <w:t>333.41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333.41</w:t>
            </w:r>
          </w:p>
        </w:tc>
        <w:tc>
          <w:tcPr>
            <w:tcW w:w="1134" w:type="dxa"/>
            <w:vAlign w:val="center"/>
          </w:tcPr>
          <w:p>
            <w:pPr>
              <w:pStyle w:val="18"/>
            </w:pPr>
            <w:r>
              <w:t>271.41</w:t>
            </w:r>
          </w:p>
        </w:tc>
        <w:tc>
          <w:tcPr>
            <w:tcW w:w="1134" w:type="dxa"/>
            <w:vAlign w:val="center"/>
          </w:tcPr>
          <w:p>
            <w:pPr>
              <w:pStyle w:val="18"/>
            </w:pPr>
            <w:r>
              <w:t>271.41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286.28</w:t>
            </w:r>
          </w:p>
        </w:tc>
        <w:tc>
          <w:tcPr>
            <w:tcW w:w="1134" w:type="dxa"/>
            <w:vAlign w:val="center"/>
          </w:tcPr>
          <w:p>
            <w:pPr>
              <w:pStyle w:val="14"/>
            </w:pPr>
            <w:r>
              <w:t>224.28</w:t>
            </w:r>
          </w:p>
        </w:tc>
        <w:tc>
          <w:tcPr>
            <w:tcW w:w="1134" w:type="dxa"/>
            <w:vAlign w:val="center"/>
          </w:tcPr>
          <w:p>
            <w:pPr>
              <w:pStyle w:val="14"/>
            </w:pPr>
            <w:r>
              <w:t>224.28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62.00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20123</w:t>
            </w:r>
          </w:p>
        </w:tc>
        <w:tc>
          <w:tcPr>
            <w:tcW w:w="1559" w:type="dxa"/>
            <w:vAlign w:val="center"/>
          </w:tcPr>
          <w:p>
            <w:pPr>
              <w:pStyle w:val="15"/>
            </w:pPr>
            <w:r>
              <w:t>民族事务</w:t>
            </w:r>
          </w:p>
        </w:tc>
        <w:tc>
          <w:tcPr>
            <w:tcW w:w="1134" w:type="dxa"/>
            <w:vAlign w:val="center"/>
          </w:tcPr>
          <w:p>
            <w:pPr>
              <w:pStyle w:val="14"/>
            </w:pPr>
            <w:r>
              <w:t>82.00</w:t>
            </w:r>
          </w:p>
        </w:tc>
        <w:tc>
          <w:tcPr>
            <w:tcW w:w="1134" w:type="dxa"/>
            <w:vAlign w:val="center"/>
          </w:tcPr>
          <w:p>
            <w:pPr>
              <w:pStyle w:val="14"/>
            </w:pPr>
            <w:r>
              <w:t>40.00</w:t>
            </w:r>
          </w:p>
        </w:tc>
        <w:tc>
          <w:tcPr>
            <w:tcW w:w="1134" w:type="dxa"/>
            <w:vAlign w:val="center"/>
          </w:tcPr>
          <w:p>
            <w:pPr>
              <w:pStyle w:val="14"/>
            </w:pPr>
            <w:r>
              <w:t>40.00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2012304</w:t>
            </w:r>
          </w:p>
        </w:tc>
        <w:tc>
          <w:tcPr>
            <w:tcW w:w="1559" w:type="dxa"/>
            <w:vAlign w:val="center"/>
          </w:tcPr>
          <w:p>
            <w:pPr>
              <w:pStyle w:val="15"/>
            </w:pPr>
            <w:r>
              <w:t>民族工作专项</w:t>
            </w:r>
          </w:p>
        </w:tc>
        <w:tc>
          <w:tcPr>
            <w:tcW w:w="1134" w:type="dxa"/>
            <w:vAlign w:val="center"/>
          </w:tcPr>
          <w:p>
            <w:pPr>
              <w:pStyle w:val="14"/>
            </w:pPr>
            <w:r>
              <w:t>79.00</w:t>
            </w:r>
          </w:p>
        </w:tc>
        <w:tc>
          <w:tcPr>
            <w:tcW w:w="1134" w:type="dxa"/>
            <w:vAlign w:val="center"/>
          </w:tcPr>
          <w:p>
            <w:pPr>
              <w:pStyle w:val="14"/>
            </w:pPr>
            <w:r>
              <w:t>40.00</w:t>
            </w:r>
          </w:p>
        </w:tc>
        <w:tc>
          <w:tcPr>
            <w:tcW w:w="1134" w:type="dxa"/>
            <w:vAlign w:val="center"/>
          </w:tcPr>
          <w:p>
            <w:pPr>
              <w:pStyle w:val="14"/>
            </w:pPr>
            <w:r>
              <w:t>40.00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2012399</w:t>
            </w:r>
          </w:p>
        </w:tc>
        <w:tc>
          <w:tcPr>
            <w:tcW w:w="1559" w:type="dxa"/>
            <w:vAlign w:val="center"/>
          </w:tcPr>
          <w:p>
            <w:pPr>
              <w:pStyle w:val="15"/>
            </w:pPr>
            <w:r>
              <w:t>其他民族事务支出</w:t>
            </w:r>
          </w:p>
        </w:tc>
        <w:tc>
          <w:tcPr>
            <w:tcW w:w="1134" w:type="dxa"/>
            <w:vAlign w:val="center"/>
          </w:tcPr>
          <w:p>
            <w:pPr>
              <w:pStyle w:val="14"/>
            </w:pPr>
            <w:r>
              <w:t>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20134</w:t>
            </w:r>
          </w:p>
        </w:tc>
        <w:tc>
          <w:tcPr>
            <w:tcW w:w="1559" w:type="dxa"/>
            <w:vAlign w:val="center"/>
          </w:tcPr>
          <w:p>
            <w:pPr>
              <w:pStyle w:val="15"/>
            </w:pPr>
            <w:r>
              <w:t>统战事务</w:t>
            </w:r>
          </w:p>
        </w:tc>
        <w:tc>
          <w:tcPr>
            <w:tcW w:w="1134" w:type="dxa"/>
            <w:vAlign w:val="center"/>
          </w:tcPr>
          <w:p>
            <w:pPr>
              <w:pStyle w:val="14"/>
            </w:pPr>
            <w:r>
              <w:t>204.28</w:t>
            </w:r>
          </w:p>
        </w:tc>
        <w:tc>
          <w:tcPr>
            <w:tcW w:w="1134" w:type="dxa"/>
            <w:vAlign w:val="center"/>
          </w:tcPr>
          <w:p>
            <w:pPr>
              <w:pStyle w:val="14"/>
            </w:pPr>
            <w:r>
              <w:t>184.28</w:t>
            </w:r>
          </w:p>
        </w:tc>
        <w:tc>
          <w:tcPr>
            <w:tcW w:w="1134" w:type="dxa"/>
            <w:vAlign w:val="center"/>
          </w:tcPr>
          <w:p>
            <w:pPr>
              <w:pStyle w:val="14"/>
            </w:pPr>
            <w:r>
              <w:t>184.28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2013401</w:t>
            </w:r>
          </w:p>
        </w:tc>
        <w:tc>
          <w:tcPr>
            <w:tcW w:w="1559" w:type="dxa"/>
            <w:vAlign w:val="center"/>
          </w:tcPr>
          <w:p>
            <w:pPr>
              <w:pStyle w:val="15"/>
            </w:pPr>
            <w:r>
              <w:t>行政运行</w:t>
            </w:r>
          </w:p>
        </w:tc>
        <w:tc>
          <w:tcPr>
            <w:tcW w:w="1134" w:type="dxa"/>
            <w:vAlign w:val="center"/>
          </w:tcPr>
          <w:p>
            <w:pPr>
              <w:pStyle w:val="14"/>
            </w:pPr>
            <w:r>
              <w:t>164.28</w:t>
            </w:r>
          </w:p>
        </w:tc>
        <w:tc>
          <w:tcPr>
            <w:tcW w:w="1134" w:type="dxa"/>
            <w:vAlign w:val="center"/>
          </w:tcPr>
          <w:p>
            <w:pPr>
              <w:pStyle w:val="14"/>
            </w:pPr>
            <w:r>
              <w:t>164.28</w:t>
            </w:r>
          </w:p>
        </w:tc>
        <w:tc>
          <w:tcPr>
            <w:tcW w:w="1134" w:type="dxa"/>
            <w:vAlign w:val="center"/>
          </w:tcPr>
          <w:p>
            <w:pPr>
              <w:pStyle w:val="14"/>
            </w:pPr>
            <w:r>
              <w:t>164.28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2013404</w:t>
            </w:r>
          </w:p>
        </w:tc>
        <w:tc>
          <w:tcPr>
            <w:tcW w:w="1559" w:type="dxa"/>
            <w:vAlign w:val="center"/>
          </w:tcPr>
          <w:p>
            <w:pPr>
              <w:pStyle w:val="15"/>
            </w:pPr>
            <w:r>
              <w:t>宗教事务</w:t>
            </w:r>
          </w:p>
        </w:tc>
        <w:tc>
          <w:tcPr>
            <w:tcW w:w="1134" w:type="dxa"/>
            <w:vAlign w:val="center"/>
          </w:tcPr>
          <w:p>
            <w:pPr>
              <w:pStyle w:val="14"/>
            </w:pPr>
            <w:r>
              <w:t>32.00</w:t>
            </w:r>
          </w:p>
        </w:tc>
        <w:tc>
          <w:tcPr>
            <w:tcW w:w="1134" w:type="dxa"/>
            <w:vAlign w:val="center"/>
          </w:tcPr>
          <w:p>
            <w:pPr>
              <w:pStyle w:val="14"/>
            </w:pPr>
            <w:r>
              <w:t>12.00</w:t>
            </w:r>
          </w:p>
        </w:tc>
        <w:tc>
          <w:tcPr>
            <w:tcW w:w="1134" w:type="dxa"/>
            <w:vAlign w:val="center"/>
          </w:tcPr>
          <w:p>
            <w:pPr>
              <w:pStyle w:val="14"/>
            </w:pPr>
            <w:r>
              <w:t>12.00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2013499</w:t>
            </w:r>
          </w:p>
        </w:tc>
        <w:tc>
          <w:tcPr>
            <w:tcW w:w="1559" w:type="dxa"/>
            <w:vAlign w:val="center"/>
          </w:tcPr>
          <w:p>
            <w:pPr>
              <w:pStyle w:val="15"/>
            </w:pPr>
            <w:r>
              <w:t>其他统战事务支出</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16.38</w:t>
            </w:r>
          </w:p>
        </w:tc>
        <w:tc>
          <w:tcPr>
            <w:tcW w:w="1134" w:type="dxa"/>
            <w:vAlign w:val="center"/>
          </w:tcPr>
          <w:p>
            <w:pPr>
              <w:pStyle w:val="14"/>
            </w:pPr>
            <w:r>
              <w:t>16.38</w:t>
            </w:r>
          </w:p>
        </w:tc>
        <w:tc>
          <w:tcPr>
            <w:tcW w:w="1134" w:type="dxa"/>
            <w:vAlign w:val="center"/>
          </w:tcPr>
          <w:p>
            <w:pPr>
              <w:pStyle w:val="14"/>
            </w:pPr>
            <w:r>
              <w:t>16.38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16.38</w:t>
            </w:r>
          </w:p>
        </w:tc>
        <w:tc>
          <w:tcPr>
            <w:tcW w:w="1134" w:type="dxa"/>
            <w:vAlign w:val="center"/>
          </w:tcPr>
          <w:p>
            <w:pPr>
              <w:pStyle w:val="14"/>
            </w:pPr>
            <w:r>
              <w:t>16.38</w:t>
            </w:r>
          </w:p>
        </w:tc>
        <w:tc>
          <w:tcPr>
            <w:tcW w:w="1134" w:type="dxa"/>
            <w:vAlign w:val="center"/>
          </w:tcPr>
          <w:p>
            <w:pPr>
              <w:pStyle w:val="14"/>
            </w:pPr>
            <w:r>
              <w:t>16.38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16.38</w:t>
            </w:r>
          </w:p>
        </w:tc>
        <w:tc>
          <w:tcPr>
            <w:tcW w:w="1134" w:type="dxa"/>
            <w:vAlign w:val="center"/>
          </w:tcPr>
          <w:p>
            <w:pPr>
              <w:pStyle w:val="14"/>
            </w:pPr>
            <w:r>
              <w:t>16.38</w:t>
            </w:r>
          </w:p>
        </w:tc>
        <w:tc>
          <w:tcPr>
            <w:tcW w:w="1134" w:type="dxa"/>
            <w:vAlign w:val="center"/>
          </w:tcPr>
          <w:p>
            <w:pPr>
              <w:pStyle w:val="14"/>
            </w:pPr>
            <w:r>
              <w:t>16.38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19.60</w:t>
            </w:r>
          </w:p>
        </w:tc>
        <w:tc>
          <w:tcPr>
            <w:tcW w:w="1134" w:type="dxa"/>
            <w:vAlign w:val="center"/>
          </w:tcPr>
          <w:p>
            <w:pPr>
              <w:pStyle w:val="14"/>
            </w:pPr>
            <w:r>
              <w:t>19.60</w:t>
            </w:r>
          </w:p>
        </w:tc>
        <w:tc>
          <w:tcPr>
            <w:tcW w:w="1134" w:type="dxa"/>
            <w:vAlign w:val="center"/>
          </w:tcPr>
          <w:p>
            <w:pPr>
              <w:pStyle w:val="14"/>
            </w:pPr>
            <w:r>
              <w:t>19.60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21007</w:t>
            </w:r>
          </w:p>
        </w:tc>
        <w:tc>
          <w:tcPr>
            <w:tcW w:w="1559" w:type="dxa"/>
            <w:vAlign w:val="center"/>
          </w:tcPr>
          <w:p>
            <w:pPr>
              <w:pStyle w:val="15"/>
            </w:pPr>
            <w:r>
              <w:t>计划生育事务</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2100717</w:t>
            </w:r>
          </w:p>
        </w:tc>
        <w:tc>
          <w:tcPr>
            <w:tcW w:w="1559" w:type="dxa"/>
            <w:vAlign w:val="center"/>
          </w:tcPr>
          <w:p>
            <w:pPr>
              <w:pStyle w:val="15"/>
            </w:pPr>
            <w:r>
              <w:t>计划生育服务</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19.30</w:t>
            </w:r>
          </w:p>
        </w:tc>
        <w:tc>
          <w:tcPr>
            <w:tcW w:w="1134" w:type="dxa"/>
            <w:vAlign w:val="center"/>
          </w:tcPr>
          <w:p>
            <w:pPr>
              <w:pStyle w:val="14"/>
            </w:pPr>
            <w:r>
              <w:t>19.30</w:t>
            </w:r>
          </w:p>
        </w:tc>
        <w:tc>
          <w:tcPr>
            <w:tcW w:w="1134" w:type="dxa"/>
            <w:vAlign w:val="center"/>
          </w:tcPr>
          <w:p>
            <w:pPr>
              <w:pStyle w:val="14"/>
            </w:pPr>
            <w:r>
              <w:t>19.30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19.30</w:t>
            </w:r>
          </w:p>
        </w:tc>
        <w:tc>
          <w:tcPr>
            <w:tcW w:w="1134" w:type="dxa"/>
            <w:vAlign w:val="center"/>
          </w:tcPr>
          <w:p>
            <w:pPr>
              <w:pStyle w:val="14"/>
            </w:pPr>
            <w:r>
              <w:t>19.30</w:t>
            </w:r>
          </w:p>
        </w:tc>
        <w:tc>
          <w:tcPr>
            <w:tcW w:w="1134" w:type="dxa"/>
            <w:vAlign w:val="center"/>
          </w:tcPr>
          <w:p>
            <w:pPr>
              <w:pStyle w:val="14"/>
            </w:pPr>
            <w:r>
              <w:t>19.30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r>
              <w:t>11.16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333.41</w:t>
            </w:r>
          </w:p>
        </w:tc>
        <w:tc>
          <w:tcPr>
            <w:tcW w:w="1361" w:type="dxa"/>
            <w:vAlign w:val="center"/>
          </w:tcPr>
          <w:p>
            <w:pPr>
              <w:pStyle w:val="18"/>
            </w:pPr>
            <w:r>
              <w:t>211.11</w:t>
            </w:r>
          </w:p>
        </w:tc>
        <w:tc>
          <w:tcPr>
            <w:tcW w:w="1361" w:type="dxa"/>
            <w:vAlign w:val="center"/>
          </w:tcPr>
          <w:p>
            <w:pPr>
              <w:pStyle w:val="18"/>
            </w:pPr>
            <w:r>
              <w:t>122.30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286.28</w:t>
            </w:r>
          </w:p>
        </w:tc>
        <w:tc>
          <w:tcPr>
            <w:tcW w:w="1361" w:type="dxa"/>
            <w:vAlign w:val="center"/>
          </w:tcPr>
          <w:p>
            <w:pPr>
              <w:pStyle w:val="14"/>
            </w:pPr>
            <w:r>
              <w:t>164.28</w:t>
            </w:r>
          </w:p>
        </w:tc>
        <w:tc>
          <w:tcPr>
            <w:tcW w:w="1361" w:type="dxa"/>
            <w:vAlign w:val="center"/>
          </w:tcPr>
          <w:p>
            <w:pPr>
              <w:pStyle w:val="14"/>
            </w:pPr>
            <w:r>
              <w:t>122.00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20123</w:t>
            </w:r>
          </w:p>
        </w:tc>
        <w:tc>
          <w:tcPr>
            <w:tcW w:w="4535" w:type="dxa"/>
            <w:vAlign w:val="center"/>
          </w:tcPr>
          <w:p>
            <w:pPr>
              <w:pStyle w:val="15"/>
            </w:pPr>
            <w:r>
              <w:t>民族事务</w:t>
            </w:r>
          </w:p>
        </w:tc>
        <w:tc>
          <w:tcPr>
            <w:tcW w:w="1361" w:type="dxa"/>
            <w:vAlign w:val="center"/>
          </w:tcPr>
          <w:p>
            <w:pPr>
              <w:pStyle w:val="14"/>
            </w:pPr>
            <w:r>
              <w:t>82.00</w:t>
            </w:r>
          </w:p>
        </w:tc>
        <w:tc>
          <w:tcPr>
            <w:tcW w:w="1361" w:type="dxa"/>
            <w:vAlign w:val="center"/>
          </w:tcPr>
          <w:p>
            <w:pPr>
              <w:pStyle w:val="14"/>
            </w:pPr>
          </w:p>
        </w:tc>
        <w:tc>
          <w:tcPr>
            <w:tcW w:w="1361" w:type="dxa"/>
            <w:vAlign w:val="center"/>
          </w:tcPr>
          <w:p>
            <w:pPr>
              <w:pStyle w:val="14"/>
            </w:pPr>
            <w:r>
              <w:t>82.00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2012304</w:t>
            </w:r>
          </w:p>
        </w:tc>
        <w:tc>
          <w:tcPr>
            <w:tcW w:w="4535" w:type="dxa"/>
            <w:vAlign w:val="center"/>
          </w:tcPr>
          <w:p>
            <w:pPr>
              <w:pStyle w:val="15"/>
            </w:pPr>
            <w:r>
              <w:t>民族工作专项</w:t>
            </w:r>
          </w:p>
        </w:tc>
        <w:tc>
          <w:tcPr>
            <w:tcW w:w="1361" w:type="dxa"/>
            <w:vAlign w:val="center"/>
          </w:tcPr>
          <w:p>
            <w:pPr>
              <w:pStyle w:val="14"/>
            </w:pPr>
            <w:r>
              <w:t>79.00</w:t>
            </w:r>
          </w:p>
        </w:tc>
        <w:tc>
          <w:tcPr>
            <w:tcW w:w="1361" w:type="dxa"/>
            <w:vAlign w:val="center"/>
          </w:tcPr>
          <w:p>
            <w:pPr>
              <w:pStyle w:val="14"/>
            </w:pPr>
          </w:p>
        </w:tc>
        <w:tc>
          <w:tcPr>
            <w:tcW w:w="1361" w:type="dxa"/>
            <w:vAlign w:val="center"/>
          </w:tcPr>
          <w:p>
            <w:pPr>
              <w:pStyle w:val="14"/>
            </w:pPr>
            <w:r>
              <w:t>79.00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2012399</w:t>
            </w:r>
          </w:p>
        </w:tc>
        <w:tc>
          <w:tcPr>
            <w:tcW w:w="4535" w:type="dxa"/>
            <w:vAlign w:val="center"/>
          </w:tcPr>
          <w:p>
            <w:pPr>
              <w:pStyle w:val="15"/>
            </w:pPr>
            <w:r>
              <w:t>其他民族事务支出</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20134</w:t>
            </w:r>
          </w:p>
        </w:tc>
        <w:tc>
          <w:tcPr>
            <w:tcW w:w="4535" w:type="dxa"/>
            <w:vAlign w:val="center"/>
          </w:tcPr>
          <w:p>
            <w:pPr>
              <w:pStyle w:val="15"/>
            </w:pPr>
            <w:r>
              <w:t>统战事务</w:t>
            </w:r>
          </w:p>
        </w:tc>
        <w:tc>
          <w:tcPr>
            <w:tcW w:w="1361" w:type="dxa"/>
            <w:vAlign w:val="center"/>
          </w:tcPr>
          <w:p>
            <w:pPr>
              <w:pStyle w:val="14"/>
            </w:pPr>
            <w:r>
              <w:t>204.28</w:t>
            </w:r>
          </w:p>
        </w:tc>
        <w:tc>
          <w:tcPr>
            <w:tcW w:w="1361" w:type="dxa"/>
            <w:vAlign w:val="center"/>
          </w:tcPr>
          <w:p>
            <w:pPr>
              <w:pStyle w:val="14"/>
            </w:pPr>
            <w:r>
              <w:t>164.28</w:t>
            </w:r>
          </w:p>
        </w:tc>
        <w:tc>
          <w:tcPr>
            <w:tcW w:w="1361" w:type="dxa"/>
            <w:vAlign w:val="center"/>
          </w:tcPr>
          <w:p>
            <w:pPr>
              <w:pStyle w:val="14"/>
            </w:pPr>
            <w:r>
              <w:t>40.00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2013401</w:t>
            </w:r>
          </w:p>
        </w:tc>
        <w:tc>
          <w:tcPr>
            <w:tcW w:w="4535" w:type="dxa"/>
            <w:vAlign w:val="center"/>
          </w:tcPr>
          <w:p>
            <w:pPr>
              <w:pStyle w:val="15"/>
            </w:pPr>
            <w:r>
              <w:t>行政运行</w:t>
            </w:r>
          </w:p>
        </w:tc>
        <w:tc>
          <w:tcPr>
            <w:tcW w:w="1361" w:type="dxa"/>
            <w:vAlign w:val="center"/>
          </w:tcPr>
          <w:p>
            <w:pPr>
              <w:pStyle w:val="14"/>
            </w:pPr>
            <w:r>
              <w:t>164.28</w:t>
            </w:r>
          </w:p>
        </w:tc>
        <w:tc>
          <w:tcPr>
            <w:tcW w:w="1361" w:type="dxa"/>
            <w:vAlign w:val="center"/>
          </w:tcPr>
          <w:p>
            <w:pPr>
              <w:pStyle w:val="14"/>
            </w:pPr>
            <w:r>
              <w:t>164.28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2013404</w:t>
            </w:r>
          </w:p>
        </w:tc>
        <w:tc>
          <w:tcPr>
            <w:tcW w:w="4535" w:type="dxa"/>
            <w:vAlign w:val="center"/>
          </w:tcPr>
          <w:p>
            <w:pPr>
              <w:pStyle w:val="15"/>
            </w:pPr>
            <w:r>
              <w:t>宗教事务</w:t>
            </w: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r>
              <w:t>32.00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2013499</w:t>
            </w:r>
          </w:p>
        </w:tc>
        <w:tc>
          <w:tcPr>
            <w:tcW w:w="4535" w:type="dxa"/>
            <w:vAlign w:val="center"/>
          </w:tcPr>
          <w:p>
            <w:pPr>
              <w:pStyle w:val="15"/>
            </w:pPr>
            <w:r>
              <w:t>其他统战事务支出</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16.38</w:t>
            </w:r>
          </w:p>
        </w:tc>
        <w:tc>
          <w:tcPr>
            <w:tcW w:w="1361" w:type="dxa"/>
            <w:vAlign w:val="center"/>
          </w:tcPr>
          <w:p>
            <w:pPr>
              <w:pStyle w:val="14"/>
            </w:pPr>
            <w:r>
              <w:t>16.38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16.38</w:t>
            </w:r>
          </w:p>
        </w:tc>
        <w:tc>
          <w:tcPr>
            <w:tcW w:w="1361" w:type="dxa"/>
            <w:vAlign w:val="center"/>
          </w:tcPr>
          <w:p>
            <w:pPr>
              <w:pStyle w:val="14"/>
            </w:pPr>
            <w:r>
              <w:t>16.38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16.38</w:t>
            </w:r>
          </w:p>
        </w:tc>
        <w:tc>
          <w:tcPr>
            <w:tcW w:w="1361" w:type="dxa"/>
            <w:vAlign w:val="center"/>
          </w:tcPr>
          <w:p>
            <w:pPr>
              <w:pStyle w:val="14"/>
            </w:pPr>
            <w:r>
              <w:t>16.38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19.60</w:t>
            </w:r>
          </w:p>
        </w:tc>
        <w:tc>
          <w:tcPr>
            <w:tcW w:w="1361" w:type="dxa"/>
            <w:vAlign w:val="center"/>
          </w:tcPr>
          <w:p>
            <w:pPr>
              <w:pStyle w:val="14"/>
            </w:pPr>
            <w:r>
              <w:t>19.30</w:t>
            </w:r>
          </w:p>
        </w:tc>
        <w:tc>
          <w:tcPr>
            <w:tcW w:w="1361" w:type="dxa"/>
            <w:vAlign w:val="center"/>
          </w:tcPr>
          <w:p>
            <w:pPr>
              <w:pStyle w:val="14"/>
            </w:pPr>
            <w:r>
              <w:t>0.30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21007</w:t>
            </w:r>
          </w:p>
        </w:tc>
        <w:tc>
          <w:tcPr>
            <w:tcW w:w="4535" w:type="dxa"/>
            <w:vAlign w:val="center"/>
          </w:tcPr>
          <w:p>
            <w:pPr>
              <w:pStyle w:val="15"/>
            </w:pPr>
            <w:r>
              <w:t>计划生育事务</w:t>
            </w:r>
          </w:p>
        </w:tc>
        <w:tc>
          <w:tcPr>
            <w:tcW w:w="1361" w:type="dxa"/>
            <w:vAlign w:val="center"/>
          </w:tcPr>
          <w:p>
            <w:pPr>
              <w:pStyle w:val="14"/>
            </w:pPr>
            <w:r>
              <w:t>0.30</w:t>
            </w:r>
          </w:p>
        </w:tc>
        <w:tc>
          <w:tcPr>
            <w:tcW w:w="1361" w:type="dxa"/>
            <w:vAlign w:val="center"/>
          </w:tcPr>
          <w:p>
            <w:pPr>
              <w:pStyle w:val="14"/>
            </w:pPr>
          </w:p>
        </w:tc>
        <w:tc>
          <w:tcPr>
            <w:tcW w:w="1361" w:type="dxa"/>
            <w:vAlign w:val="center"/>
          </w:tcPr>
          <w:p>
            <w:pPr>
              <w:pStyle w:val="14"/>
            </w:pPr>
            <w:r>
              <w:t>0.30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2100717</w:t>
            </w:r>
          </w:p>
        </w:tc>
        <w:tc>
          <w:tcPr>
            <w:tcW w:w="4535" w:type="dxa"/>
            <w:vAlign w:val="center"/>
          </w:tcPr>
          <w:p>
            <w:pPr>
              <w:pStyle w:val="15"/>
            </w:pPr>
            <w:r>
              <w:t>计划生育服务</w:t>
            </w:r>
          </w:p>
        </w:tc>
        <w:tc>
          <w:tcPr>
            <w:tcW w:w="1361" w:type="dxa"/>
            <w:vAlign w:val="center"/>
          </w:tcPr>
          <w:p>
            <w:pPr>
              <w:pStyle w:val="14"/>
            </w:pPr>
            <w:r>
              <w:t>0.30</w:t>
            </w:r>
          </w:p>
        </w:tc>
        <w:tc>
          <w:tcPr>
            <w:tcW w:w="1361" w:type="dxa"/>
            <w:vAlign w:val="center"/>
          </w:tcPr>
          <w:p>
            <w:pPr>
              <w:pStyle w:val="14"/>
            </w:pPr>
          </w:p>
        </w:tc>
        <w:tc>
          <w:tcPr>
            <w:tcW w:w="1361" w:type="dxa"/>
            <w:vAlign w:val="center"/>
          </w:tcPr>
          <w:p>
            <w:pPr>
              <w:pStyle w:val="14"/>
            </w:pPr>
            <w:r>
              <w:t>0.30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19.30</w:t>
            </w:r>
          </w:p>
        </w:tc>
        <w:tc>
          <w:tcPr>
            <w:tcW w:w="1361" w:type="dxa"/>
            <w:vAlign w:val="center"/>
          </w:tcPr>
          <w:p>
            <w:pPr>
              <w:pStyle w:val="14"/>
            </w:pPr>
            <w:r>
              <w:t>19.30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19.30</w:t>
            </w:r>
          </w:p>
        </w:tc>
        <w:tc>
          <w:tcPr>
            <w:tcW w:w="1361" w:type="dxa"/>
            <w:vAlign w:val="center"/>
          </w:tcPr>
          <w:p>
            <w:pPr>
              <w:pStyle w:val="14"/>
            </w:pPr>
            <w:r>
              <w:t>19.30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11.16</w:t>
            </w:r>
          </w:p>
        </w:tc>
        <w:tc>
          <w:tcPr>
            <w:tcW w:w="1361" w:type="dxa"/>
            <w:vAlign w:val="center"/>
          </w:tcPr>
          <w:p>
            <w:pPr>
              <w:pStyle w:val="14"/>
            </w:pPr>
            <w:r>
              <w:t>11.16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11.16</w:t>
            </w:r>
          </w:p>
        </w:tc>
        <w:tc>
          <w:tcPr>
            <w:tcW w:w="1361" w:type="dxa"/>
            <w:vAlign w:val="center"/>
          </w:tcPr>
          <w:p>
            <w:pPr>
              <w:pStyle w:val="14"/>
            </w:pPr>
            <w:r>
              <w:t>11.16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11.16</w:t>
            </w:r>
          </w:p>
        </w:tc>
        <w:tc>
          <w:tcPr>
            <w:tcW w:w="1361" w:type="dxa"/>
            <w:vAlign w:val="center"/>
          </w:tcPr>
          <w:p>
            <w:pPr>
              <w:pStyle w:val="14"/>
            </w:pPr>
            <w:r>
              <w:t>11.16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271.41</w:t>
            </w:r>
          </w:p>
        </w:tc>
        <w:tc>
          <w:tcPr>
            <w:tcW w:w="3402" w:type="dxa"/>
            <w:vAlign w:val="center"/>
          </w:tcPr>
          <w:p>
            <w:pPr>
              <w:pStyle w:val="15"/>
            </w:pPr>
            <w:r>
              <w:t>一、一般公共服务支出</w:t>
            </w:r>
          </w:p>
        </w:tc>
        <w:tc>
          <w:tcPr>
            <w:tcW w:w="1474" w:type="dxa"/>
            <w:vAlign w:val="center"/>
          </w:tcPr>
          <w:p>
            <w:pPr>
              <w:pStyle w:val="14"/>
            </w:pPr>
            <w:r>
              <w:t>286.28</w:t>
            </w:r>
          </w:p>
        </w:tc>
        <w:tc>
          <w:tcPr>
            <w:tcW w:w="1474" w:type="dxa"/>
            <w:vAlign w:val="center"/>
          </w:tcPr>
          <w:p>
            <w:pPr>
              <w:pStyle w:val="14"/>
            </w:pPr>
            <w:r>
              <w:t>286.28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16.38</w:t>
            </w:r>
          </w:p>
        </w:tc>
        <w:tc>
          <w:tcPr>
            <w:tcW w:w="1474" w:type="dxa"/>
            <w:vAlign w:val="center"/>
          </w:tcPr>
          <w:p>
            <w:pPr>
              <w:pStyle w:val="14"/>
            </w:pPr>
            <w:r>
              <w:t>16.38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19.60</w:t>
            </w:r>
          </w:p>
        </w:tc>
        <w:tc>
          <w:tcPr>
            <w:tcW w:w="1474" w:type="dxa"/>
            <w:vAlign w:val="center"/>
          </w:tcPr>
          <w:p>
            <w:pPr>
              <w:pStyle w:val="14"/>
            </w:pPr>
            <w:r>
              <w:t>19.60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11.16</w:t>
            </w:r>
          </w:p>
        </w:tc>
        <w:tc>
          <w:tcPr>
            <w:tcW w:w="1474" w:type="dxa"/>
            <w:vAlign w:val="center"/>
          </w:tcPr>
          <w:p>
            <w:pPr>
              <w:pStyle w:val="14"/>
            </w:pPr>
            <w:r>
              <w:t>11.16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271.41</w:t>
            </w:r>
          </w:p>
        </w:tc>
        <w:tc>
          <w:tcPr>
            <w:tcW w:w="3402" w:type="dxa"/>
            <w:vAlign w:val="center"/>
          </w:tcPr>
          <w:p>
            <w:pPr>
              <w:pStyle w:val="17"/>
            </w:pPr>
            <w:r>
              <w:t>本年支出合计</w:t>
            </w:r>
          </w:p>
        </w:tc>
        <w:tc>
          <w:tcPr>
            <w:tcW w:w="1474" w:type="dxa"/>
            <w:vAlign w:val="center"/>
          </w:tcPr>
          <w:p>
            <w:pPr>
              <w:pStyle w:val="18"/>
            </w:pPr>
            <w:r>
              <w:t>333.41</w:t>
            </w:r>
          </w:p>
        </w:tc>
        <w:tc>
          <w:tcPr>
            <w:tcW w:w="1474" w:type="dxa"/>
            <w:vAlign w:val="center"/>
          </w:tcPr>
          <w:p>
            <w:pPr>
              <w:pStyle w:val="18"/>
            </w:pPr>
            <w:r>
              <w:t>333.41</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62.00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62.00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333.41</w:t>
            </w:r>
          </w:p>
        </w:tc>
        <w:tc>
          <w:tcPr>
            <w:tcW w:w="3402" w:type="dxa"/>
            <w:vAlign w:val="center"/>
          </w:tcPr>
          <w:p>
            <w:pPr>
              <w:pStyle w:val="17"/>
            </w:pPr>
            <w:r>
              <w:t>支出总计</w:t>
            </w:r>
          </w:p>
        </w:tc>
        <w:tc>
          <w:tcPr>
            <w:tcW w:w="1474" w:type="dxa"/>
            <w:vAlign w:val="center"/>
          </w:tcPr>
          <w:p>
            <w:pPr>
              <w:pStyle w:val="18"/>
            </w:pPr>
            <w:r>
              <w:t>333.41</w:t>
            </w:r>
          </w:p>
        </w:tc>
        <w:tc>
          <w:tcPr>
            <w:tcW w:w="1474" w:type="dxa"/>
            <w:vAlign w:val="center"/>
          </w:tcPr>
          <w:p>
            <w:pPr>
              <w:pStyle w:val="18"/>
            </w:pPr>
            <w:r>
              <w:t>333.41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333.41</w:t>
            </w:r>
          </w:p>
        </w:tc>
        <w:tc>
          <w:tcPr>
            <w:tcW w:w="2551" w:type="dxa"/>
            <w:vAlign w:val="center"/>
          </w:tcPr>
          <w:p>
            <w:pPr>
              <w:pStyle w:val="18"/>
            </w:pPr>
            <w:r>
              <w:t>211.11</w:t>
            </w:r>
          </w:p>
        </w:tc>
        <w:tc>
          <w:tcPr>
            <w:tcW w:w="2551" w:type="dxa"/>
            <w:vAlign w:val="center"/>
          </w:tcPr>
          <w:p>
            <w:pPr>
              <w:pStyle w:val="18"/>
            </w:pPr>
            <w:r>
              <w:t>122.30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286.28</w:t>
            </w:r>
          </w:p>
        </w:tc>
        <w:tc>
          <w:tcPr>
            <w:tcW w:w="2551" w:type="dxa"/>
            <w:vAlign w:val="center"/>
          </w:tcPr>
          <w:p>
            <w:pPr>
              <w:pStyle w:val="14"/>
            </w:pPr>
            <w:r>
              <w:t>164.28</w:t>
            </w:r>
          </w:p>
        </w:tc>
        <w:tc>
          <w:tcPr>
            <w:tcW w:w="2551" w:type="dxa"/>
            <w:vAlign w:val="center"/>
          </w:tcPr>
          <w:p>
            <w:pPr>
              <w:pStyle w:val="14"/>
            </w:pPr>
            <w:r>
              <w:t>122.00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20123</w:t>
            </w:r>
          </w:p>
        </w:tc>
        <w:tc>
          <w:tcPr>
            <w:tcW w:w="4535" w:type="dxa"/>
            <w:vAlign w:val="center"/>
          </w:tcPr>
          <w:p>
            <w:pPr>
              <w:pStyle w:val="15"/>
            </w:pPr>
            <w:r>
              <w:t>民族事务</w:t>
            </w:r>
          </w:p>
        </w:tc>
        <w:tc>
          <w:tcPr>
            <w:tcW w:w="2551" w:type="dxa"/>
            <w:vAlign w:val="center"/>
          </w:tcPr>
          <w:p>
            <w:pPr>
              <w:pStyle w:val="14"/>
            </w:pPr>
            <w:r>
              <w:t>82.00</w:t>
            </w:r>
          </w:p>
        </w:tc>
        <w:tc>
          <w:tcPr>
            <w:tcW w:w="2551" w:type="dxa"/>
            <w:vAlign w:val="center"/>
          </w:tcPr>
          <w:p>
            <w:pPr>
              <w:pStyle w:val="14"/>
            </w:pPr>
          </w:p>
        </w:tc>
        <w:tc>
          <w:tcPr>
            <w:tcW w:w="2551" w:type="dxa"/>
            <w:vAlign w:val="center"/>
          </w:tcPr>
          <w:p>
            <w:pPr>
              <w:pStyle w:val="14"/>
            </w:pPr>
            <w:r>
              <w:t>82.00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2012304</w:t>
            </w:r>
          </w:p>
        </w:tc>
        <w:tc>
          <w:tcPr>
            <w:tcW w:w="4535" w:type="dxa"/>
            <w:vAlign w:val="center"/>
          </w:tcPr>
          <w:p>
            <w:pPr>
              <w:pStyle w:val="15"/>
            </w:pPr>
            <w:r>
              <w:t>民族工作专项</w:t>
            </w:r>
          </w:p>
        </w:tc>
        <w:tc>
          <w:tcPr>
            <w:tcW w:w="2551" w:type="dxa"/>
            <w:vAlign w:val="center"/>
          </w:tcPr>
          <w:p>
            <w:pPr>
              <w:pStyle w:val="14"/>
            </w:pPr>
            <w:r>
              <w:t>79.00</w:t>
            </w:r>
          </w:p>
        </w:tc>
        <w:tc>
          <w:tcPr>
            <w:tcW w:w="2551" w:type="dxa"/>
            <w:vAlign w:val="center"/>
          </w:tcPr>
          <w:p>
            <w:pPr>
              <w:pStyle w:val="14"/>
            </w:pPr>
          </w:p>
        </w:tc>
        <w:tc>
          <w:tcPr>
            <w:tcW w:w="2551" w:type="dxa"/>
            <w:vAlign w:val="center"/>
          </w:tcPr>
          <w:p>
            <w:pPr>
              <w:pStyle w:val="14"/>
            </w:pPr>
            <w:r>
              <w:t>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2012399</w:t>
            </w:r>
          </w:p>
        </w:tc>
        <w:tc>
          <w:tcPr>
            <w:tcW w:w="4535" w:type="dxa"/>
            <w:vAlign w:val="center"/>
          </w:tcPr>
          <w:p>
            <w:pPr>
              <w:pStyle w:val="15"/>
            </w:pPr>
            <w:r>
              <w:t>其他民族事务支出</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20134</w:t>
            </w:r>
          </w:p>
        </w:tc>
        <w:tc>
          <w:tcPr>
            <w:tcW w:w="4535" w:type="dxa"/>
            <w:vAlign w:val="center"/>
          </w:tcPr>
          <w:p>
            <w:pPr>
              <w:pStyle w:val="15"/>
            </w:pPr>
            <w:r>
              <w:t>统战事务</w:t>
            </w:r>
          </w:p>
        </w:tc>
        <w:tc>
          <w:tcPr>
            <w:tcW w:w="2551" w:type="dxa"/>
            <w:vAlign w:val="center"/>
          </w:tcPr>
          <w:p>
            <w:pPr>
              <w:pStyle w:val="14"/>
            </w:pPr>
            <w:r>
              <w:t>204.28</w:t>
            </w:r>
          </w:p>
        </w:tc>
        <w:tc>
          <w:tcPr>
            <w:tcW w:w="2551" w:type="dxa"/>
            <w:vAlign w:val="center"/>
          </w:tcPr>
          <w:p>
            <w:pPr>
              <w:pStyle w:val="14"/>
            </w:pPr>
            <w:r>
              <w:t>164.28</w:t>
            </w:r>
          </w:p>
        </w:tc>
        <w:tc>
          <w:tcPr>
            <w:tcW w:w="2551" w:type="dxa"/>
            <w:vAlign w:val="center"/>
          </w:tcPr>
          <w:p>
            <w:pPr>
              <w:pStyle w:val="14"/>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2013401</w:t>
            </w:r>
          </w:p>
        </w:tc>
        <w:tc>
          <w:tcPr>
            <w:tcW w:w="4535" w:type="dxa"/>
            <w:vAlign w:val="center"/>
          </w:tcPr>
          <w:p>
            <w:pPr>
              <w:pStyle w:val="15"/>
            </w:pPr>
            <w:r>
              <w:t>行政运行</w:t>
            </w:r>
          </w:p>
        </w:tc>
        <w:tc>
          <w:tcPr>
            <w:tcW w:w="2551" w:type="dxa"/>
            <w:vAlign w:val="center"/>
          </w:tcPr>
          <w:p>
            <w:pPr>
              <w:pStyle w:val="14"/>
            </w:pPr>
            <w:r>
              <w:t>164.28</w:t>
            </w:r>
          </w:p>
        </w:tc>
        <w:tc>
          <w:tcPr>
            <w:tcW w:w="2551" w:type="dxa"/>
            <w:vAlign w:val="center"/>
          </w:tcPr>
          <w:p>
            <w:pPr>
              <w:pStyle w:val="14"/>
            </w:pPr>
            <w:r>
              <w:t>164.28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2013404</w:t>
            </w:r>
          </w:p>
        </w:tc>
        <w:tc>
          <w:tcPr>
            <w:tcW w:w="4535" w:type="dxa"/>
            <w:vAlign w:val="center"/>
          </w:tcPr>
          <w:p>
            <w:pPr>
              <w:pStyle w:val="15"/>
            </w:pPr>
            <w:r>
              <w:t>宗教事务</w:t>
            </w:r>
          </w:p>
        </w:tc>
        <w:tc>
          <w:tcPr>
            <w:tcW w:w="2551" w:type="dxa"/>
            <w:vAlign w:val="center"/>
          </w:tcPr>
          <w:p>
            <w:pPr>
              <w:pStyle w:val="14"/>
            </w:pPr>
            <w:r>
              <w:t>32.00</w:t>
            </w:r>
          </w:p>
        </w:tc>
        <w:tc>
          <w:tcPr>
            <w:tcW w:w="2551" w:type="dxa"/>
            <w:vAlign w:val="center"/>
          </w:tcPr>
          <w:p>
            <w:pPr>
              <w:pStyle w:val="14"/>
            </w:pPr>
          </w:p>
        </w:tc>
        <w:tc>
          <w:tcPr>
            <w:tcW w:w="2551" w:type="dxa"/>
            <w:vAlign w:val="center"/>
          </w:tcPr>
          <w:p>
            <w:pPr>
              <w:pStyle w:val="14"/>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2013499</w:t>
            </w:r>
          </w:p>
        </w:tc>
        <w:tc>
          <w:tcPr>
            <w:tcW w:w="4535" w:type="dxa"/>
            <w:vAlign w:val="center"/>
          </w:tcPr>
          <w:p>
            <w:pPr>
              <w:pStyle w:val="15"/>
            </w:pPr>
            <w:r>
              <w:t>其他统战事务支出</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16.38</w:t>
            </w:r>
          </w:p>
        </w:tc>
        <w:tc>
          <w:tcPr>
            <w:tcW w:w="2551" w:type="dxa"/>
            <w:vAlign w:val="center"/>
          </w:tcPr>
          <w:p>
            <w:pPr>
              <w:pStyle w:val="14"/>
            </w:pPr>
            <w:r>
              <w:t>16.38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16.38</w:t>
            </w:r>
          </w:p>
        </w:tc>
        <w:tc>
          <w:tcPr>
            <w:tcW w:w="2551" w:type="dxa"/>
            <w:vAlign w:val="center"/>
          </w:tcPr>
          <w:p>
            <w:pPr>
              <w:pStyle w:val="14"/>
            </w:pPr>
            <w:r>
              <w:t>16.38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16.38</w:t>
            </w:r>
          </w:p>
        </w:tc>
        <w:tc>
          <w:tcPr>
            <w:tcW w:w="2551" w:type="dxa"/>
            <w:vAlign w:val="center"/>
          </w:tcPr>
          <w:p>
            <w:pPr>
              <w:pStyle w:val="14"/>
            </w:pPr>
            <w:r>
              <w:t>16.38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19.60</w:t>
            </w:r>
          </w:p>
        </w:tc>
        <w:tc>
          <w:tcPr>
            <w:tcW w:w="2551" w:type="dxa"/>
            <w:vAlign w:val="center"/>
          </w:tcPr>
          <w:p>
            <w:pPr>
              <w:pStyle w:val="14"/>
            </w:pPr>
            <w:r>
              <w:t>19.30</w:t>
            </w:r>
          </w:p>
        </w:tc>
        <w:tc>
          <w:tcPr>
            <w:tcW w:w="2551" w:type="dxa"/>
            <w:vAlign w:val="center"/>
          </w:tcPr>
          <w:p>
            <w:pPr>
              <w:pStyle w:val="14"/>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21007</w:t>
            </w:r>
          </w:p>
        </w:tc>
        <w:tc>
          <w:tcPr>
            <w:tcW w:w="4535" w:type="dxa"/>
            <w:vAlign w:val="center"/>
          </w:tcPr>
          <w:p>
            <w:pPr>
              <w:pStyle w:val="15"/>
            </w:pPr>
            <w:r>
              <w:t>计划生育事务</w:t>
            </w:r>
          </w:p>
        </w:tc>
        <w:tc>
          <w:tcPr>
            <w:tcW w:w="2551" w:type="dxa"/>
            <w:vAlign w:val="center"/>
          </w:tcPr>
          <w:p>
            <w:pPr>
              <w:pStyle w:val="14"/>
            </w:pPr>
            <w:r>
              <w:t>0.30</w:t>
            </w:r>
          </w:p>
        </w:tc>
        <w:tc>
          <w:tcPr>
            <w:tcW w:w="2551" w:type="dxa"/>
            <w:vAlign w:val="center"/>
          </w:tcPr>
          <w:p>
            <w:pPr>
              <w:pStyle w:val="14"/>
            </w:pPr>
          </w:p>
        </w:tc>
        <w:tc>
          <w:tcPr>
            <w:tcW w:w="2551" w:type="dxa"/>
            <w:vAlign w:val="center"/>
          </w:tcPr>
          <w:p>
            <w:pPr>
              <w:pStyle w:val="14"/>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2100717</w:t>
            </w:r>
          </w:p>
        </w:tc>
        <w:tc>
          <w:tcPr>
            <w:tcW w:w="4535" w:type="dxa"/>
            <w:vAlign w:val="center"/>
          </w:tcPr>
          <w:p>
            <w:pPr>
              <w:pStyle w:val="15"/>
            </w:pPr>
            <w:r>
              <w:t>计划生育服务</w:t>
            </w:r>
          </w:p>
        </w:tc>
        <w:tc>
          <w:tcPr>
            <w:tcW w:w="2551" w:type="dxa"/>
            <w:vAlign w:val="center"/>
          </w:tcPr>
          <w:p>
            <w:pPr>
              <w:pStyle w:val="14"/>
            </w:pPr>
            <w:r>
              <w:t>0.30</w:t>
            </w:r>
          </w:p>
        </w:tc>
        <w:tc>
          <w:tcPr>
            <w:tcW w:w="2551" w:type="dxa"/>
            <w:vAlign w:val="center"/>
          </w:tcPr>
          <w:p>
            <w:pPr>
              <w:pStyle w:val="14"/>
            </w:pPr>
          </w:p>
        </w:tc>
        <w:tc>
          <w:tcPr>
            <w:tcW w:w="2551" w:type="dxa"/>
            <w:vAlign w:val="center"/>
          </w:tcPr>
          <w:p>
            <w:pPr>
              <w:pStyle w:val="14"/>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19.30</w:t>
            </w:r>
          </w:p>
        </w:tc>
        <w:tc>
          <w:tcPr>
            <w:tcW w:w="2551" w:type="dxa"/>
            <w:vAlign w:val="center"/>
          </w:tcPr>
          <w:p>
            <w:pPr>
              <w:pStyle w:val="14"/>
            </w:pPr>
            <w:r>
              <w:t>19.30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19.30</w:t>
            </w:r>
          </w:p>
        </w:tc>
        <w:tc>
          <w:tcPr>
            <w:tcW w:w="2551" w:type="dxa"/>
            <w:vAlign w:val="center"/>
          </w:tcPr>
          <w:p>
            <w:pPr>
              <w:pStyle w:val="14"/>
            </w:pPr>
            <w:r>
              <w:t>19.30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11.16</w:t>
            </w:r>
          </w:p>
        </w:tc>
        <w:tc>
          <w:tcPr>
            <w:tcW w:w="2551" w:type="dxa"/>
            <w:vAlign w:val="center"/>
          </w:tcPr>
          <w:p>
            <w:pPr>
              <w:pStyle w:val="14"/>
            </w:pPr>
            <w:r>
              <w:t>11.16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11.16</w:t>
            </w:r>
          </w:p>
        </w:tc>
        <w:tc>
          <w:tcPr>
            <w:tcW w:w="2551" w:type="dxa"/>
            <w:vAlign w:val="center"/>
          </w:tcPr>
          <w:p>
            <w:pPr>
              <w:pStyle w:val="14"/>
            </w:pPr>
            <w:r>
              <w:t>11.16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11.16</w:t>
            </w:r>
          </w:p>
        </w:tc>
        <w:tc>
          <w:tcPr>
            <w:tcW w:w="2551" w:type="dxa"/>
            <w:vAlign w:val="center"/>
          </w:tcPr>
          <w:p>
            <w:pPr>
              <w:pStyle w:val="14"/>
            </w:pPr>
            <w:r>
              <w:t>11.16</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211.11</w:t>
            </w:r>
          </w:p>
        </w:tc>
        <w:tc>
          <w:tcPr>
            <w:tcW w:w="2551" w:type="dxa"/>
            <w:vAlign w:val="center"/>
          </w:tcPr>
          <w:p>
            <w:pPr>
              <w:pStyle w:val="18"/>
            </w:pPr>
            <w:r>
              <w:t>192.22</w:t>
            </w:r>
          </w:p>
        </w:tc>
        <w:tc>
          <w:tcPr>
            <w:tcW w:w="2551" w:type="dxa"/>
            <w:vAlign w:val="center"/>
          </w:tcPr>
          <w:p>
            <w:pPr>
              <w:pStyle w:val="18"/>
            </w:pPr>
            <w:r>
              <w:t>18.89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176.84</w:t>
            </w:r>
          </w:p>
        </w:tc>
        <w:tc>
          <w:tcPr>
            <w:tcW w:w="2551" w:type="dxa"/>
            <w:vAlign w:val="center"/>
          </w:tcPr>
          <w:p>
            <w:pPr>
              <w:pStyle w:val="14"/>
            </w:pPr>
            <w:r>
              <w:t>176.84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73.99</w:t>
            </w:r>
          </w:p>
        </w:tc>
        <w:tc>
          <w:tcPr>
            <w:tcW w:w="2551" w:type="dxa"/>
            <w:vAlign w:val="center"/>
          </w:tcPr>
          <w:p>
            <w:pPr>
              <w:pStyle w:val="14"/>
            </w:pPr>
            <w:r>
              <w:t>73.99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40.12</w:t>
            </w:r>
          </w:p>
        </w:tc>
        <w:tc>
          <w:tcPr>
            <w:tcW w:w="2551" w:type="dxa"/>
            <w:vAlign w:val="center"/>
          </w:tcPr>
          <w:p>
            <w:pPr>
              <w:pStyle w:val="14"/>
            </w:pPr>
            <w:r>
              <w:t>40.12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9.15</w:t>
            </w:r>
          </w:p>
        </w:tc>
        <w:tc>
          <w:tcPr>
            <w:tcW w:w="2551" w:type="dxa"/>
            <w:vAlign w:val="center"/>
          </w:tcPr>
          <w:p>
            <w:pPr>
              <w:pStyle w:val="14"/>
            </w:pPr>
            <w:r>
              <w:t>9.15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8.11</w:t>
            </w:r>
          </w:p>
        </w:tc>
        <w:tc>
          <w:tcPr>
            <w:tcW w:w="2551" w:type="dxa"/>
            <w:vAlign w:val="center"/>
          </w:tcPr>
          <w:p>
            <w:pPr>
              <w:pStyle w:val="14"/>
            </w:pPr>
            <w:r>
              <w:t>8.11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14.49</w:t>
            </w:r>
          </w:p>
        </w:tc>
        <w:tc>
          <w:tcPr>
            <w:tcW w:w="2551" w:type="dxa"/>
            <w:vAlign w:val="center"/>
          </w:tcPr>
          <w:p>
            <w:pPr>
              <w:pStyle w:val="14"/>
            </w:pPr>
            <w:r>
              <w:t>14.49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19.30</w:t>
            </w:r>
          </w:p>
        </w:tc>
        <w:tc>
          <w:tcPr>
            <w:tcW w:w="2551" w:type="dxa"/>
            <w:vAlign w:val="center"/>
          </w:tcPr>
          <w:p>
            <w:pPr>
              <w:pStyle w:val="14"/>
            </w:pPr>
            <w:r>
              <w:t>19.30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0.53</w:t>
            </w:r>
          </w:p>
        </w:tc>
        <w:tc>
          <w:tcPr>
            <w:tcW w:w="2551" w:type="dxa"/>
            <w:vAlign w:val="center"/>
          </w:tcPr>
          <w:p>
            <w:pPr>
              <w:pStyle w:val="14"/>
            </w:pPr>
            <w:r>
              <w:t>0.53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11.16</w:t>
            </w:r>
          </w:p>
        </w:tc>
        <w:tc>
          <w:tcPr>
            <w:tcW w:w="2551" w:type="dxa"/>
            <w:vAlign w:val="center"/>
          </w:tcPr>
          <w:p>
            <w:pPr>
              <w:pStyle w:val="14"/>
            </w:pPr>
            <w:r>
              <w:t>11.16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18.89</w:t>
            </w:r>
          </w:p>
        </w:tc>
        <w:tc>
          <w:tcPr>
            <w:tcW w:w="2551" w:type="dxa"/>
            <w:vAlign w:val="center"/>
          </w:tcPr>
          <w:p>
            <w:pPr>
              <w:pStyle w:val="14"/>
            </w:pPr>
          </w:p>
        </w:tc>
        <w:tc>
          <w:tcPr>
            <w:tcW w:w="2551" w:type="dxa"/>
            <w:vAlign w:val="center"/>
          </w:tcPr>
          <w:p>
            <w:pPr>
              <w:pStyle w:val="14"/>
            </w:pPr>
            <w:r>
              <w:t>18.89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4.46</w:t>
            </w:r>
          </w:p>
        </w:tc>
        <w:tc>
          <w:tcPr>
            <w:tcW w:w="2551" w:type="dxa"/>
            <w:vAlign w:val="center"/>
          </w:tcPr>
          <w:p>
            <w:pPr>
              <w:pStyle w:val="14"/>
            </w:pPr>
          </w:p>
        </w:tc>
        <w:tc>
          <w:tcPr>
            <w:tcW w:w="2551" w:type="dxa"/>
            <w:vAlign w:val="center"/>
          </w:tcPr>
          <w:p>
            <w:pPr>
              <w:pStyle w:val="14"/>
            </w:pPr>
            <w:r>
              <w:t>4.46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1.80</w:t>
            </w:r>
          </w:p>
        </w:tc>
        <w:tc>
          <w:tcPr>
            <w:tcW w:w="2551" w:type="dxa"/>
            <w:vAlign w:val="center"/>
          </w:tcPr>
          <w:p>
            <w:pPr>
              <w:pStyle w:val="14"/>
            </w:pPr>
          </w:p>
        </w:tc>
        <w:tc>
          <w:tcPr>
            <w:tcW w:w="2551" w:type="dxa"/>
            <w:vAlign w:val="center"/>
          </w:tcPr>
          <w:p>
            <w:pPr>
              <w:pStyle w:val="14"/>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0.90</w:t>
            </w:r>
          </w:p>
        </w:tc>
        <w:tc>
          <w:tcPr>
            <w:tcW w:w="2551" w:type="dxa"/>
            <w:vAlign w:val="center"/>
          </w:tcPr>
          <w:p>
            <w:pPr>
              <w:pStyle w:val="14"/>
            </w:pPr>
          </w:p>
        </w:tc>
        <w:tc>
          <w:tcPr>
            <w:tcW w:w="2551" w:type="dxa"/>
            <w:vAlign w:val="center"/>
          </w:tcPr>
          <w:p>
            <w:pPr>
              <w:pStyle w:val="14"/>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1.13</w:t>
            </w:r>
          </w:p>
        </w:tc>
        <w:tc>
          <w:tcPr>
            <w:tcW w:w="2551" w:type="dxa"/>
            <w:vAlign w:val="center"/>
          </w:tcPr>
          <w:p>
            <w:pPr>
              <w:pStyle w:val="14"/>
            </w:pPr>
          </w:p>
        </w:tc>
        <w:tc>
          <w:tcPr>
            <w:tcW w:w="2551" w:type="dxa"/>
            <w:vAlign w:val="center"/>
          </w:tcPr>
          <w:p>
            <w:pPr>
              <w:pStyle w:val="14"/>
            </w:pPr>
            <w:r>
              <w:t>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1.80</w:t>
            </w:r>
          </w:p>
        </w:tc>
        <w:tc>
          <w:tcPr>
            <w:tcW w:w="2551" w:type="dxa"/>
            <w:vAlign w:val="center"/>
          </w:tcPr>
          <w:p>
            <w:pPr>
              <w:pStyle w:val="14"/>
            </w:pPr>
          </w:p>
        </w:tc>
        <w:tc>
          <w:tcPr>
            <w:tcW w:w="2551" w:type="dxa"/>
            <w:vAlign w:val="center"/>
          </w:tcPr>
          <w:p>
            <w:pPr>
              <w:pStyle w:val="14"/>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6.30</w:t>
            </w:r>
          </w:p>
        </w:tc>
        <w:tc>
          <w:tcPr>
            <w:tcW w:w="2551" w:type="dxa"/>
            <w:vAlign w:val="center"/>
          </w:tcPr>
          <w:p>
            <w:pPr>
              <w:pStyle w:val="14"/>
            </w:pPr>
          </w:p>
        </w:tc>
        <w:tc>
          <w:tcPr>
            <w:tcW w:w="2551" w:type="dxa"/>
            <w:vAlign w:val="center"/>
          </w:tcPr>
          <w:p>
            <w:pPr>
              <w:pStyle w:val="14"/>
            </w:pPr>
            <w:r>
              <w:t>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15.38</w:t>
            </w:r>
          </w:p>
        </w:tc>
        <w:tc>
          <w:tcPr>
            <w:tcW w:w="2551" w:type="dxa"/>
            <w:vAlign w:val="center"/>
          </w:tcPr>
          <w:p>
            <w:pPr>
              <w:pStyle w:val="14"/>
            </w:pPr>
            <w:r>
              <w:t>15.38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15.38</w:t>
            </w:r>
          </w:p>
        </w:tc>
        <w:tc>
          <w:tcPr>
            <w:tcW w:w="2551" w:type="dxa"/>
            <w:vAlign w:val="center"/>
          </w:tcPr>
          <w:p>
            <w:pPr>
              <w:pStyle w:val="14"/>
            </w:pPr>
            <w:r>
              <w:t>15.38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1.80</w:t>
            </w:r>
          </w:p>
        </w:tc>
        <w:tc>
          <w:tcPr>
            <w:tcW w:w="2381" w:type="dxa"/>
            <w:vAlign w:val="center"/>
          </w:tcPr>
          <w:p>
            <w:pPr>
              <w:pStyle w:val="18"/>
            </w:pPr>
            <w:r>
              <w:t>1.80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1.80</w:t>
            </w:r>
          </w:p>
        </w:tc>
        <w:tc>
          <w:tcPr>
            <w:tcW w:w="2381" w:type="dxa"/>
            <w:vAlign w:val="center"/>
          </w:tcPr>
          <w:p>
            <w:pPr>
              <w:pStyle w:val="14"/>
            </w:pPr>
            <w:r>
              <w:t>1.80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1.80</w:t>
            </w:r>
          </w:p>
        </w:tc>
        <w:tc>
          <w:tcPr>
            <w:tcW w:w="2381" w:type="dxa"/>
            <w:vAlign w:val="center"/>
          </w:tcPr>
          <w:p>
            <w:pPr>
              <w:pStyle w:val="14"/>
            </w:pPr>
            <w:r>
              <w:t>1.80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1.80</w:t>
            </w:r>
          </w:p>
        </w:tc>
        <w:tc>
          <w:tcPr>
            <w:tcW w:w="2381" w:type="dxa"/>
            <w:vAlign w:val="center"/>
          </w:tcPr>
          <w:p>
            <w:pPr>
              <w:pStyle w:val="14"/>
            </w:pPr>
            <w:r>
              <w:t>1.80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 xml:space="preserve">    其中：省属高校业务性会议费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vAlign w:val="center"/>
          </w:tcPr>
          <w:p>
            <w:pPr>
              <w:pStyle w:val="15"/>
            </w:pPr>
            <w:r>
              <w:t xml:space="preserve">          其他会议费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中国共产党唐山市开平区委员会统战部2025年部门预算信息公开情况说明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中国共产党唐山市开平区委员会统战部2025年部门预算信息公开情况说明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按照《中华人民共和国预算法》、《地方预决算公开操作规程》和《关于进一步推进预算公开工作的实施意见》规定，现将中国共产党唐山市开平区委员会统战部2025年部门预算公开如下：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pPr>
      <w:r>
        <w:rPr>
          <w:rFonts w:ascii="Times New Roman" w:hAnsi="Times New Roman" w:eastAsia="方正仿宋_GBK" w:cs="Times New Roman"/>
          <w:color w:val="000000"/>
          <w:sz w:val="28"/>
        </w:rPr>
        <w:t>根据《中国共产党唐山市开平区委员会统战部职能配置、内设机构和人员编制规定》，中国共产党唐山市开平区委员会统战部的主要职责是：</w:t>
      </w:r>
    </w:p>
    <w:p>
      <w:pPr>
        <w:pStyle w:val="28"/>
      </w:pPr>
      <w:r>
        <w:t>行政职责：</w:t>
      </w:r>
    </w:p>
    <w:p>
      <w:pPr>
        <w:pStyle w:val="28"/>
      </w:pPr>
      <w:r>
        <w:t>(一)贯彻落实加强党对统一战线集中统一领导的要求，发挥区委在统战工作方面的参谋机构、组织协调机构、具体执行机构、督促检査机构作用，了解情况、掌握政策、协调关系、安排人事、增进共识、加强团结，协调统一战线各方面关系，组织和落实中央、省委、市委、区委关于统一战线工作重大决策部署，巩固壮大最广泛的统一战线</w:t>
      </w:r>
    </w:p>
    <w:p>
      <w:pPr>
        <w:pStyle w:val="28"/>
      </w:pPr>
      <w:r>
        <w:t>(二)开展统一战线理论研究，推动落实统一战线工作的政策，深入调查研究，及时向区委报告统一战线工作情况并提岀建议，统筹协调和指导各镇(街道)，区直各</w:t>
      </w:r>
      <w:r>
        <w:rPr>
          <w:rFonts w:hint="eastAsia"/>
          <w:lang w:eastAsia="zh-CN"/>
        </w:rPr>
        <w:t>单位</w:t>
      </w:r>
      <w:r>
        <w:t>、各单位统一战线工作。</w:t>
      </w:r>
    </w:p>
    <w:p>
      <w:pPr>
        <w:pStyle w:val="28"/>
      </w:pPr>
      <w:r>
        <w:t>(三)贯彻落实党的宣传工作方针，统筹推进全区统一战线宣传工作，拟订全区统一战线宣传工作规划并组织实施，研判涉及统一战线的舆情并协调有关部门应对处置</w:t>
      </w:r>
    </w:p>
    <w:p>
      <w:pPr>
        <w:pStyle w:val="28"/>
      </w:pPr>
      <w:r>
        <w:t>(四)负责发现、培养党外代表人士，负责党外人士的政治安排，会同有关部门做好安排党外人士担任政府和司法机关等领导职务的工作，协助区工商联做好干部管理工作，反映和协调解决党外代表人士工作生活中的实际困难</w:t>
      </w:r>
    </w:p>
    <w:p>
      <w:pPr>
        <w:pStyle w:val="28"/>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28"/>
      </w:pPr>
      <w:r>
        <w:t>(六)贯彻落实党的民族宗教工作方针、政策和重大措施;推动中央和省、市、区委关于民族宗教工作有关决策部署的贯彻落实;推进落实民族宗教方面的地方性法规、政府规章草案和政策规定，督促检查落实情况，保障少数民族和信教群众的合法权益;协调指导有关部门、有关领域落实民族宗教政策和重大措施，促进民族宗教工作开展;参与拟定少数民族人才队伍建设规划，协调有关部门做好少数民族干部培养、教育和使用工作</w:t>
      </w:r>
    </w:p>
    <w:p>
      <w:pPr>
        <w:pStyle w:val="28"/>
      </w:pPr>
      <w:r>
        <w:t>(七)参与拟订少数民族和民族乡村经济社会相关领域的发展规划，并监督实施;研究分析少数民族和民族乡村经济社会发展重大问题并提出差别化政策建议;参与协调民族乡村科技发展、对口支援、经济技术协作、扶贫开发和民族贸易、民族特需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负责组织协调民族宗教工作领域对外和对港澳台交流与合作有关工作;参与涉及民族宗教事务对外宣传工作;办理确定民族成份工作。</w:t>
      </w:r>
    </w:p>
    <w:p>
      <w:pPr>
        <w:pStyle w:val="28"/>
      </w:pPr>
      <w:r>
        <w:t>(八)研究提出协调民族宗教关系工作建议，协调处理民族宗教关系中的重大事项，参与协调指导涉及民族宗教事务突出事件处置和民族宗教领域维护稳定工作。</w:t>
      </w:r>
    </w:p>
    <w:p>
      <w:pPr>
        <w:pStyle w:val="28"/>
      </w:pPr>
      <w:r>
        <w:t>(九)依法管理宗教行政事务，保护公民宗教信仰自由和正常的宗教活动，维护宗教界的合法权益;巩固和发展同宗教界的爱国统一战线。</w:t>
      </w:r>
    </w:p>
    <w:p>
      <w:pPr>
        <w:pStyle w:val="28"/>
      </w:pPr>
      <w:r>
        <w:t>(十)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pPr>
        <w:pStyle w:val="28"/>
      </w:pPr>
      <w:r>
        <w:t>(十一)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28"/>
      </w:pPr>
      <w:r>
        <w:t>(十二)统一管理全区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区内的合法权利和利益统一领导全区海外统战工作，牵头开展港澳统战工作。贯彻落实党的海外统战工作政策措施并组织协调、督促检查落实，联系香港、澳门有关团体及代表人士，联系海外有关社团及代表人士做好统一战线外事管理工作</w:t>
      </w:r>
    </w:p>
    <w:p>
      <w:pPr>
        <w:pStyle w:val="28"/>
      </w:pPr>
      <w:r>
        <w:t>(十三)贯彻执行党中央、国务院对台工作的方针政策，开展对台统战工作。在区委、区政府统一领导下，开展对台工作调查研究并结合我区实际提出对策和建议。组织、指导、管理、协调区委、区政府各部门和各镇(街)的对台工作;检查了解全区对党中央、国务院对台方针政策和区委、区政府有关对台工作指示贯彻落实情况。负责区委对台工作领导小组的日常工作</w:t>
      </w:r>
    </w:p>
    <w:p>
      <w:pPr>
        <w:pStyle w:val="28"/>
      </w:pPr>
      <w:r>
        <w:t>(十四)统筹协调涉台法律事务。会同有关部门统筹协调和指导对台经贸工作。组织重要台商的投资活动，参与区政府对台大型招商活动。协调、指导全区涉台金融、文化、学术、教育、科技、体育、卫生等领域的交流与合作及开平台湾人员往来工作负责我区赴合交流事项的报批和赴台交流人员的行前指导及归后总结工作;负责对台湾上层重点人士的联络和来我区台胞的接待服务工作。负责全区对台宣传和涉台教育工作。指导全区宣传媒体涉合新闻报道工作;负责全区有关涉台事务的新闻发布;协调、处理区内涉合重大事件;负责全区对台工作干部的培训工作指导区各民主党派、工商联和其他群众团体有关重点人士、重大活动方面的涉台工作。联系台湾有关党派、团体及代表人士，做好台胞、台属有关工作。按照上级有关规定，负责全区对台接触的组织实施</w:t>
      </w:r>
    </w:p>
    <w:p>
      <w:pPr>
        <w:pStyle w:val="28"/>
      </w:pPr>
      <w:r>
        <w:t>(十五)协助管理各镇(街)党委(党工委)统战委员。区委委托，领导区工商联党组，指导工商联工作。联系、指导侨联工作做好统一战线有关单位和团体的管理工作。</w:t>
      </w:r>
    </w:p>
    <w:p>
      <w:pPr>
        <w:pStyle w:val="28"/>
      </w:pPr>
      <w:r>
        <w:t>事业职能：</w:t>
      </w:r>
    </w:p>
    <w:p>
      <w:pPr>
        <w:pStyle w:val="28"/>
      </w:pPr>
      <w:r>
        <w:t>民族宗教服务中心职责：1、组织开展民族宗教理论、政策及重大问题的调查研究，提出有关民族宗教领域的工作建议；参与处理民族宗教领域中的重大事项。2、负责少数民族聚居地经济社会发展的综合数据统计和分析；参与拟订少数民族聚居地经济社会相关领域的发展规划；研究分析少数民族聚居地经济社会发展重大问题并提出差别化建议；研究提出少数民族聚居地文化、教育、科技、卫生、体育、艺术、语言文字、新闻出版等社会事业发展建议；参与协调少数民族聚居地科技发展、对口帮扶、经济技术合作、扶贫开发和民族贸易、民族特需商品生产的有关服务工作。3、组织举办民族宗教政策、法律法规和民族工作基本知识宣传教育；参与民族团结进步创建活动；承担民族宗教法律、法规咨询工作；参与涉及民族宗教事务对外宣传工作。4、为办理确定民族成份变更工作提供相关服务。5、参与在开平少数民族流动人口的服务管理工作。6、负责民族宗教文献、史志、年鉴等整理编纂工作；承办少数民族语言文字编译的有关工作；负责民族古籍的搜集、整理、出版有关工作；参与民族宗教领域文物保护有关工作。7、负责佛教、道教、伊斯兰教、天主教、基督教和民间信仰情况的调查工作；联系民族宗教界代表人士，引导各民族铸牢共同体意识，引导宗教界坚持我国宗教中国化。</w:t>
      </w:r>
    </w:p>
    <w:p>
      <w:pPr>
        <w:pStyle w:val="20"/>
      </w:pPr>
      <w:r>
        <w:t>设立统一战线服务中心主要职责:1、负责调查研究全区统一战线领域基本情况，反映党外代表人士，非公代表人士，新的社会阶层代表人士，港、澳、台、侨代表人士工作生活中的实际困难；建立统战对象台账；负责统战理论、政策的宣传培训工作；参与做好统战信息、信访接待等工作；联系服务各民主党派，了解情况、支持、帮助</w:t>
      </w:r>
      <w:r>
        <w:rPr>
          <w:rFonts w:hint="eastAsia"/>
          <w:lang w:eastAsia="zh-CN"/>
        </w:rPr>
        <w:t>民主党派</w:t>
      </w:r>
      <w:r>
        <w:t>开展调研活动。2、调查研究侨情和侨务工作情况；联系海外有关侨团和代表人士做好涉侨宣传、文化交流、华文教育工作等；联系港、澳有关团体及代表人士，联系海外有关社团及代表人士；负责组织开展涉侨宣传工作，联系海外华文媒体，开展交流合作；拟定涉侨文化交流和华文教育工作规划，帮助区侨联开展工作。3、负责全区对台工作干部的培训工作；帮助各</w:t>
      </w:r>
      <w:r>
        <w:rPr>
          <w:rFonts w:hint="eastAsia"/>
          <w:lang w:eastAsia="zh-CN"/>
        </w:rPr>
        <w:t>民主党派</w:t>
      </w:r>
      <w:r>
        <w:t>、工商联和其他群众团体有关重点人士、重大活动方面的涉台工作；联系台湾有关党派、团体及代表人士；做好台胞、台属有关服务工作；参与做好全区对台经贸文化交流活动；协办全区重大对台交流交往活动；负责全区因公及部分非公职人员应邀赴台的行前培训和政策咨询工作；协助区政府对台大型招商活动，负责联络有关部门组织协调重要台商的投资活动；负责协调并掌握驻开平台商重大投资项目情况；负责接待来开平考察洽谈投资的台商；负责做好对台资企业的政策咨询、服务。4、联系港、澳工商社团及相关人士；协助工商联和非公有制经济界人士投身公益慈善事业，引导非公有制经济界人士开展光彩事业。5、调查了解新的社会阶层人士思想状况，反映意见、建议；协助党外知识分子联谊会、新的社会阶层人士联谊会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中国共产党唐山市开平区委员会统战部本级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按照预算管理有关规定，目前部门预算的编制实行综合预算管理，即全部收入和支出都反映在预算中。中国共产党唐山市开平区委员会统战部机关及所属事业单位的收支包含在部门预算中。</w:t>
      </w:r>
    </w:p>
    <w:p>
      <w:pPr>
        <w:pStyle w:val="21"/>
      </w:pPr>
      <w:r>
        <w:t>1、收入说明</w:t>
      </w:r>
    </w:p>
    <w:p>
      <w:pPr>
        <w:pStyle w:val="21"/>
      </w:pPr>
      <w:r>
        <w:t>反映本部门当年全部收入。2025年预算收入333.41万元，其中：一般公共预算收入271.41万元，基金预算收入0.00万元，国有资本经营预算收入0.00万元，财政专户核拨收入0.00万元，单位资金收入0.00万元，上年结转结余62.00万元。</w:t>
      </w:r>
    </w:p>
    <w:p>
      <w:pPr>
        <w:pStyle w:val="21"/>
      </w:pPr>
      <w:r>
        <w:t>2、支出说明</w:t>
      </w:r>
    </w:p>
    <w:p>
      <w:pPr>
        <w:pStyle w:val="21"/>
      </w:pPr>
      <w:r>
        <w:t>收支预算总表支出栏、基本支出表、项目支出表按经济分类和支出功能分类科目编制，反映中国共产党唐山市开平区委员会统战部年度部门预算中支出预算的总体情况。2025年支出预算333.41万元，其中基本支出211.11万元，包括人员经费192.22万元和日常公用经费18.89万元；项目支出122.30万元，主要为人员支出，正常工作经费支出，和专项费用支出。</w:t>
      </w:r>
    </w:p>
    <w:p>
      <w:pPr>
        <w:pStyle w:val="21"/>
      </w:pPr>
      <w:r>
        <w:t>3、比上年增减情况</w:t>
      </w:r>
    </w:p>
    <w:p>
      <w:pPr>
        <w:pStyle w:val="21"/>
      </w:pPr>
      <w:r>
        <w:t>2025年预算收支安排333.41万元，较2024年预算增加20.96万元，其中：基本支出减少15.34万元，主要为人员退休和人员调出项目支出增加36.30万元，主要为去年结转项目资金今年使用和加大力度争取上级资金。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t>2025年，我部门机关运行经费共计安排18.89万元，主要用于日常维修、办公用房水电费、办公用房取暖费、办公用房物业管理费等日常运行支出。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2025年，我部门财政拨款“三公”经费预算安排1.80万元，其中因公出国（境）费0.00万元；公务用车购置及运维费1.80万元（其中：公务用车购置费为0.00万元，公务用车运维费1.80万元)；公务接待费0.00万元。与2024年相比减少0.20万元，增减变化的主要原因是年初预算安排里面除去了保险费用，造成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全面贯彻落实党中央关于统一战线工作的重大决策部署，坚持问题导向，着力在强化政治引领、服务改革发展、维护社会稳定等方面发挥优势作用，为继续加快建设“特色田园城市，和谐幸福开平”中凝聚力量,</w:t>
      </w:r>
    </w:p>
    <w:p>
      <w:pPr>
        <w:pStyle w:val="24"/>
      </w:pPr>
      <w:r>
        <w:t>1、督导、检查各相关单位贯彻落实《统战条例》责任情况，发挥宗教工作领导小组办公室职能作用，督导、检查落实中央宗教工作大督查整改内容。</w:t>
      </w:r>
    </w:p>
    <w:p>
      <w:pPr>
        <w:pStyle w:val="24"/>
      </w:pPr>
      <w:r>
        <w:t>2、支持民主党派加强自身建设，加大民主党派班子成员后备力量的培养、推荐工作，落实好政党协商各项活动，积极引导民主党派围绕全区重点工作和民生热点问题开展调研，为开平发展建言献策。</w:t>
      </w:r>
    </w:p>
    <w:p>
      <w:pPr>
        <w:pStyle w:val="24"/>
      </w:pPr>
      <w:r>
        <w:t>3、加强对工商联党组的领导，助推非公经济人士健康成长，非公经济健康发展，继续深化民营企业家理想信念教育实践活动，指导“五好”工商联“四好”商会建设。</w:t>
      </w:r>
    </w:p>
    <w:p>
      <w:pPr>
        <w:pStyle w:val="24"/>
      </w:pPr>
      <w:r>
        <w:t>4、认真学习宣传贯彻新修订的《宗教事务条例》，加强爱国爱教团体和宗教界代表人士队伍建设,发挥宗教界上层人士的作用，确保民族团结、宗教和顺、社会稳定。</w:t>
      </w:r>
    </w:p>
    <w:p>
      <w:pPr>
        <w:pStyle w:val="24"/>
      </w:pPr>
      <w:r>
        <w:t>5、做好党外后备干部发现、培养、推荐工作。</w:t>
      </w:r>
    </w:p>
    <w:p>
      <w:pPr>
        <w:pStyle w:val="24"/>
      </w:pPr>
      <w:r>
        <w:t>6、落实对台政策，引导华侨、归侨和侨眷积极参与开平经济建设。</w:t>
      </w:r>
    </w:p>
    <w:p>
      <w:pPr>
        <w:pStyle w:val="24"/>
      </w:pPr>
      <w:r>
        <w:t>7、进一步加强开平区新的社会阶层人士联谊会建设。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(一）贯彻落实《统战条例》</w:t>
      </w:r>
    </w:p>
    <w:p>
      <w:pPr>
        <w:pStyle w:val="25"/>
      </w:pPr>
      <w:r>
        <w:t>绩效目标：督导、检查各相关单位贯彻落实《统战条例》责任情况，发挥宗教工作领导小组办公室职能作用。</w:t>
      </w:r>
    </w:p>
    <w:p>
      <w:pPr>
        <w:pStyle w:val="25"/>
      </w:pPr>
      <w:r>
        <w:t>绩效指标：督导、检查落实中央宗教工作大督查整改内容。</w:t>
      </w:r>
    </w:p>
    <w:p>
      <w:pPr>
        <w:pStyle w:val="25"/>
      </w:pPr>
      <w:r>
        <w:t>（二）党派建设</w:t>
      </w:r>
    </w:p>
    <w:p>
      <w:pPr>
        <w:pStyle w:val="25"/>
      </w:pPr>
      <w:r>
        <w:t>绩效目标：支持民主党派加强自身建设，加大民主党派班子成员后备力量的培养、推荐工作，落实好政党协商各项活动。</w:t>
      </w:r>
    </w:p>
    <w:p>
      <w:pPr>
        <w:pStyle w:val="25"/>
      </w:pPr>
      <w:r>
        <w:t>绩效指标：积极引导民主党派围绕全区重点工作和民生热点问题开展调研，为开平发展建言献策。</w:t>
      </w:r>
    </w:p>
    <w:p>
      <w:pPr>
        <w:pStyle w:val="25"/>
      </w:pPr>
      <w:r>
        <w:t>（三）非公经济人士</w:t>
      </w:r>
    </w:p>
    <w:p>
      <w:pPr>
        <w:pStyle w:val="25"/>
      </w:pPr>
      <w:r>
        <w:t>绩效目标：加强对工商联党组的领导，助推非公经济人士健康成长，非公经济健康发展。</w:t>
      </w:r>
    </w:p>
    <w:p>
      <w:pPr>
        <w:pStyle w:val="25"/>
      </w:pPr>
      <w:r>
        <w:t>绩效指标：深化民营企业家理想信念教育实践活动，指导“五好”工商联“四好”商会建设。</w:t>
      </w:r>
    </w:p>
    <w:p>
      <w:pPr>
        <w:pStyle w:val="25"/>
      </w:pPr>
      <w:r>
        <w:t>（四）学习宣传贯彻新修订的《宗教事务条例》</w:t>
      </w:r>
    </w:p>
    <w:p>
      <w:pPr>
        <w:pStyle w:val="25"/>
      </w:pPr>
      <w:r>
        <w:t>绩效目标：认真学习宣传贯彻新修订的《宗教事务条例》。</w:t>
      </w:r>
    </w:p>
    <w:p>
      <w:pPr>
        <w:pStyle w:val="25"/>
      </w:pPr>
      <w:r>
        <w:t>绩效指标：加强爱国爱教团体和宗教界代表人士队伍建设,发挥宗教界上层人士的作用，确保民族团结、宗教和顺、社会稳定。</w:t>
      </w:r>
    </w:p>
    <w:p>
      <w:pPr>
        <w:pStyle w:val="25"/>
      </w:pPr>
      <w:r>
        <w:t>（五）党外后备干部</w:t>
      </w:r>
    </w:p>
    <w:p>
      <w:pPr>
        <w:pStyle w:val="25"/>
      </w:pPr>
      <w:r>
        <w:t>绩效目标：做好党外后备干部的引导管理工作。</w:t>
      </w:r>
    </w:p>
    <w:p>
      <w:pPr>
        <w:pStyle w:val="25"/>
      </w:pPr>
      <w:r>
        <w:t>绩效指标：发现、培养、推荐党外后备干部。</w:t>
      </w:r>
    </w:p>
    <w:p>
      <w:pPr>
        <w:pStyle w:val="25"/>
      </w:pPr>
      <w:r>
        <w:t>（六）华侨、归侨和侨眷</w:t>
      </w:r>
    </w:p>
    <w:p>
      <w:pPr>
        <w:pStyle w:val="25"/>
      </w:pPr>
      <w:r>
        <w:t>绩效目标：落实对台政策，引导华侨、归侨和侨眷积极参与开平经济建设。</w:t>
      </w:r>
    </w:p>
    <w:p>
      <w:pPr>
        <w:pStyle w:val="25"/>
      </w:pPr>
      <w:r>
        <w:t>绩效指标：维护区稳定和谐，对台胞侨胞侨眷进行紧密联系和帮扶。</w:t>
      </w:r>
    </w:p>
    <w:p>
      <w:pPr>
        <w:pStyle w:val="25"/>
      </w:pPr>
      <w:r>
        <w:t>（七）新的社会阶层人士</w:t>
      </w:r>
    </w:p>
    <w:p>
      <w:pPr>
        <w:pStyle w:val="25"/>
      </w:pPr>
      <w:r>
        <w:t>绩效目标：根据政策凝聚新阶层人士，扩大新阶层队伍，为了更好维护社会稳定给区经济做贡献。</w:t>
      </w:r>
    </w:p>
    <w:p>
      <w:pPr>
        <w:pStyle w:val="25"/>
      </w:pPr>
      <w:r>
        <w:t>绩效指标：加强开平区新的社会阶层人士联谊会建设。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一、积极开展统战工作，做好大统战、大团结</w:t>
      </w:r>
    </w:p>
    <w:p>
      <w:pPr>
        <w:pStyle w:val="26"/>
      </w:pPr>
      <w:r>
        <w:t>1、组织贯彻执行统一战线的方针、政策；向区委反映统一战线全面情况，提出开展统战工作的意见和建议；检查统战政策执行情况，协调统一战线各方面的关系。</w:t>
      </w:r>
    </w:p>
    <w:p>
      <w:pPr>
        <w:pStyle w:val="26"/>
      </w:pPr>
      <w:r>
        <w:t>2、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p>
      <w:pPr>
        <w:pStyle w:val="26"/>
      </w:pPr>
      <w:r>
        <w:t>3、协调有关民族和宗教工作的政策问题；联系少数民族和宗教界代表人物；协助有关部门做好少数民族干部的培养举荐工作。牵头有关部门做好宗教维稳、抵御境外渗透工作。</w:t>
      </w:r>
    </w:p>
    <w:p>
      <w:pPr>
        <w:pStyle w:val="26"/>
      </w:pPr>
      <w:r>
        <w:t>4、联系、培养非公经济代表人士，开展思想政治工作；负责非公经济领域统战工作的有关方针政策的调研并提出政策性建议，促进民营经济健康发展。</w:t>
      </w:r>
    </w:p>
    <w:p>
      <w:pPr>
        <w:pStyle w:val="26"/>
      </w:pPr>
      <w:r>
        <w:t>二、搞好党外干部队伍建设</w:t>
      </w:r>
    </w:p>
    <w:p>
      <w:pPr>
        <w:pStyle w:val="26"/>
      </w:pPr>
      <w:r>
        <w:t>1、做好摸底调查工作，掌握基本数据和人员情况，建立建好党外知识分子数据库，做好基础管理工作。</w:t>
      </w:r>
    </w:p>
    <w:p>
      <w:pPr>
        <w:pStyle w:val="26"/>
      </w:pPr>
      <w:r>
        <w:t>2、协助民主党派区委、区工商联和区有关统战团体做好干部管理工作。</w:t>
      </w:r>
    </w:p>
    <w:p>
      <w:pPr>
        <w:pStyle w:val="26"/>
        <w:sectPr>
          <w:pgSz w:w="16840" w:h="11900" w:orient="landscape"/>
          <w:pgMar w:top="1361" w:right="1020" w:bottom="1361" w:left="1020" w:header="720" w:footer="720" w:gutter="0"/>
          <w:cols w:space="720" w:num="1"/>
        </w:sectPr>
      </w:pPr>
      <w:r>
        <w:t>3、协助、引导党外干部、党外知识分子积极投身到经济建设中来，发挥他们的特长和优势，为开平区的发展出谋划策。</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方正书宋_GBK" w:cs="黑体"/>
          <w:color w:val="000000"/>
          <w:sz w:val="32"/>
          <w:lang w:eastAsia="zh-CN"/>
        </w:rPr>
      </w:pPr>
      <w:r>
        <w:rPr>
          <w:rFonts w:ascii="方正书宋_GBK" w:hAnsi="方正书宋_GBK" w:eastAsia="方正书宋_GBK" w:cs="方正书宋_GBK"/>
          <w:color w:val="000000"/>
          <w:sz w:val="21"/>
        </w:rPr>
        <w:t>无</w:t>
      </w:r>
      <w:r>
        <w:rPr>
          <w:rFonts w:hint="eastAsia" w:ascii="方正书宋_GBK" w:hAnsi="方正书宋_GBK" w:eastAsia="方正书宋_GBK" w:cs="方正书宋_GBK"/>
          <w:color w:val="000000"/>
          <w:sz w:val="21"/>
        </w:rPr>
        <w:t>专项资金预算安排情况及绩效目标</w:t>
      </w:r>
      <w:r>
        <w:rPr>
          <w:rFonts w:hint="eastAsia" w:ascii="方正书宋_GBK" w:hAnsi="方正书宋_GBK" w:eastAsia="方正书宋_GBK" w:cs="方正书宋_GBK"/>
          <w:color w:val="000000"/>
          <w:sz w:val="21"/>
          <w:lang w:eastAsia="zh-CN"/>
        </w:rPr>
        <w:t>。</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1、本级独生子女父母退休一次性奖励绩效目标表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13020525P00008610042N</w:t>
            </w:r>
          </w:p>
        </w:tc>
        <w:tc>
          <w:tcPr>
            <w:tcW w:w="2835" w:type="dxa"/>
            <w:vAlign w:val="center"/>
          </w:tcPr>
          <w:p>
            <w:pPr>
              <w:pStyle w:val="13"/>
            </w:pPr>
            <w:r>
              <w:t>项目名称</w:t>
            </w:r>
          </w:p>
        </w:tc>
        <w:tc>
          <w:tcPr>
            <w:tcW w:w="6095" w:type="dxa"/>
            <w:gridSpan w:val="3"/>
            <w:vAlign w:val="center"/>
          </w:tcPr>
          <w:p>
            <w:pPr>
              <w:pStyle w:val="15"/>
            </w:pPr>
            <w:r>
              <w:t>本级独生子女父母退休一次性奖励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0.30</w:t>
            </w:r>
          </w:p>
        </w:tc>
        <w:tc>
          <w:tcPr>
            <w:tcW w:w="2835" w:type="dxa"/>
            <w:vAlign w:val="center"/>
          </w:tcPr>
          <w:p>
            <w:pPr>
              <w:pStyle w:val="13"/>
            </w:pPr>
            <w:r>
              <w:t>其中：财政    资金</w:t>
            </w:r>
          </w:p>
        </w:tc>
        <w:tc>
          <w:tcPr>
            <w:tcW w:w="2551" w:type="dxa"/>
            <w:vAlign w:val="center"/>
          </w:tcPr>
          <w:p>
            <w:pPr>
              <w:pStyle w:val="15"/>
            </w:pPr>
            <w:r>
              <w:t>0.30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支付退休人员一孩补贴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1.根据国家计生局给退休干部独生子女补贴3000元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补贴金额</w:t>
            </w:r>
          </w:p>
        </w:tc>
        <w:tc>
          <w:tcPr>
            <w:tcW w:w="5386" w:type="dxa"/>
            <w:vAlign w:val="center"/>
          </w:tcPr>
          <w:p>
            <w:pPr>
              <w:pStyle w:val="15"/>
            </w:pPr>
            <w:r>
              <w:t>补贴金额</w:t>
            </w:r>
          </w:p>
        </w:tc>
        <w:tc>
          <w:tcPr>
            <w:tcW w:w="2268" w:type="dxa"/>
            <w:vAlign w:val="center"/>
          </w:tcPr>
          <w:p>
            <w:pPr>
              <w:pStyle w:val="15"/>
            </w:pPr>
            <w:r>
              <w:t>3000元</w:t>
            </w:r>
          </w:p>
        </w:tc>
        <w:tc>
          <w:tcPr>
            <w:tcW w:w="1276" w:type="dxa"/>
            <w:vAlign w:val="center"/>
          </w:tcPr>
          <w:p>
            <w:pPr>
              <w:pStyle w:val="15"/>
            </w:pPr>
            <w:r>
              <w:t>独生子女补贴</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p>
            <w:pPr>
              <w:pStyle w:val="15"/>
            </w:pPr>
          </w:p>
        </w:tc>
        <w:tc>
          <w:tcPr>
            <w:tcW w:w="5386" w:type="dxa"/>
            <w:vAlign w:val="center"/>
          </w:tcPr>
          <w:p>
            <w:pPr>
              <w:pStyle w:val="15"/>
            </w:pPr>
            <w:r>
              <w:t>资金到位率</w:t>
            </w:r>
          </w:p>
          <w:p>
            <w:pPr>
              <w:pStyle w:val="15"/>
            </w:pPr>
          </w:p>
        </w:tc>
        <w:tc>
          <w:tcPr>
            <w:tcW w:w="2268" w:type="dxa"/>
            <w:vAlign w:val="center"/>
          </w:tcPr>
          <w:p>
            <w:pPr>
              <w:pStyle w:val="15"/>
            </w:pPr>
            <w:r>
              <w:t>100%</w:t>
            </w:r>
          </w:p>
        </w:tc>
        <w:tc>
          <w:tcPr>
            <w:tcW w:w="1276" w:type="dxa"/>
            <w:vAlign w:val="center"/>
          </w:tcPr>
          <w:p>
            <w:pPr>
              <w:pStyle w:val="15"/>
            </w:pPr>
            <w:r>
              <w:t>独生子女补贴</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工作完成的时效</w:t>
            </w:r>
          </w:p>
          <w:p>
            <w:pPr>
              <w:pStyle w:val="15"/>
            </w:pPr>
          </w:p>
        </w:tc>
        <w:tc>
          <w:tcPr>
            <w:tcW w:w="5386" w:type="dxa"/>
            <w:vAlign w:val="center"/>
          </w:tcPr>
          <w:p>
            <w:pPr>
              <w:pStyle w:val="15"/>
            </w:pPr>
            <w:r>
              <w:t>工作完成的时效</w:t>
            </w:r>
          </w:p>
          <w:p>
            <w:pPr>
              <w:pStyle w:val="15"/>
            </w:pPr>
          </w:p>
        </w:tc>
        <w:tc>
          <w:tcPr>
            <w:tcW w:w="2268" w:type="dxa"/>
            <w:vAlign w:val="center"/>
          </w:tcPr>
          <w:p>
            <w:pPr>
              <w:pStyle w:val="15"/>
            </w:pPr>
            <w:r>
              <w:t>≤12月</w:t>
            </w:r>
          </w:p>
        </w:tc>
        <w:tc>
          <w:tcPr>
            <w:tcW w:w="1276" w:type="dxa"/>
            <w:vAlign w:val="center"/>
          </w:tcPr>
          <w:p>
            <w:pPr>
              <w:pStyle w:val="15"/>
            </w:pPr>
            <w:r>
              <w:t>独生子女补贴</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控制成本</w:t>
            </w:r>
          </w:p>
        </w:tc>
        <w:tc>
          <w:tcPr>
            <w:tcW w:w="5386" w:type="dxa"/>
            <w:vAlign w:val="center"/>
          </w:tcPr>
          <w:p>
            <w:pPr>
              <w:pStyle w:val="15"/>
            </w:pPr>
            <w:r>
              <w:t>控制成本</w:t>
            </w:r>
          </w:p>
        </w:tc>
        <w:tc>
          <w:tcPr>
            <w:tcW w:w="2268" w:type="dxa"/>
            <w:vAlign w:val="center"/>
          </w:tcPr>
          <w:p>
            <w:pPr>
              <w:pStyle w:val="15"/>
            </w:pPr>
            <w:r>
              <w:t>≤3000元</w:t>
            </w:r>
          </w:p>
        </w:tc>
        <w:tc>
          <w:tcPr>
            <w:tcW w:w="1276" w:type="dxa"/>
            <w:vAlign w:val="center"/>
          </w:tcPr>
          <w:p>
            <w:pPr>
              <w:pStyle w:val="15"/>
            </w:pPr>
            <w:r>
              <w:t>独生子女补贴</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≥80%</w:t>
            </w:r>
          </w:p>
        </w:tc>
        <w:tc>
          <w:tcPr>
            <w:tcW w:w="1276" w:type="dxa"/>
            <w:vAlign w:val="center"/>
          </w:tcPr>
          <w:p>
            <w:pPr>
              <w:pStyle w:val="15"/>
            </w:pPr>
            <w:r>
              <w:t>独生子女补贴</w:t>
            </w:r>
            <w:r>
              <w:tab/>
            </w:r>
          </w:p>
          <w:p>
            <w:pPr>
              <w:pStyle w:val="15"/>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生态效益增长率</w:t>
            </w:r>
          </w:p>
        </w:tc>
        <w:tc>
          <w:tcPr>
            <w:tcW w:w="5386" w:type="dxa"/>
            <w:vAlign w:val="center"/>
          </w:tcPr>
          <w:p>
            <w:pPr>
              <w:pStyle w:val="15"/>
            </w:pPr>
            <w:r>
              <w:t>生态效益增长率</w:t>
            </w:r>
          </w:p>
        </w:tc>
        <w:tc>
          <w:tcPr>
            <w:tcW w:w="2268" w:type="dxa"/>
            <w:vAlign w:val="center"/>
          </w:tcPr>
          <w:p>
            <w:pPr>
              <w:pStyle w:val="15"/>
            </w:pPr>
            <w:r>
              <w:t>&gt;1%</w:t>
            </w:r>
          </w:p>
        </w:tc>
        <w:tc>
          <w:tcPr>
            <w:tcW w:w="1276" w:type="dxa"/>
            <w:vAlign w:val="center"/>
          </w:tcPr>
          <w:p>
            <w:pPr>
              <w:pStyle w:val="15"/>
            </w:pPr>
            <w:r>
              <w:t>独生子女补贴</w:t>
            </w:r>
            <w:r>
              <w:tab/>
            </w:r>
          </w:p>
          <w:p>
            <w:pPr>
              <w:pStyle w:val="15"/>
            </w:pP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职工权益保障</w:t>
            </w:r>
          </w:p>
        </w:tc>
        <w:tc>
          <w:tcPr>
            <w:tcW w:w="5386" w:type="dxa"/>
            <w:vAlign w:val="center"/>
          </w:tcPr>
          <w:p>
            <w:pPr>
              <w:pStyle w:val="15"/>
            </w:pPr>
            <w:r>
              <w:t>职工权益保障</w:t>
            </w:r>
          </w:p>
        </w:tc>
        <w:tc>
          <w:tcPr>
            <w:tcW w:w="2268" w:type="dxa"/>
            <w:vAlign w:val="center"/>
          </w:tcPr>
          <w:p>
            <w:pPr>
              <w:pStyle w:val="15"/>
            </w:pPr>
            <w:r>
              <w:t>≥95%</w:t>
            </w:r>
          </w:p>
        </w:tc>
        <w:tc>
          <w:tcPr>
            <w:tcW w:w="1276" w:type="dxa"/>
            <w:vAlign w:val="center"/>
          </w:tcPr>
          <w:p>
            <w:pPr>
              <w:pStyle w:val="15"/>
            </w:pPr>
            <w:r>
              <w:t>独生子女补贴</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≥95%</w:t>
            </w:r>
          </w:p>
        </w:tc>
        <w:tc>
          <w:tcPr>
            <w:tcW w:w="1276" w:type="dxa"/>
            <w:vAlign w:val="center"/>
          </w:tcPr>
          <w:p>
            <w:pPr>
              <w:pStyle w:val="15"/>
            </w:pPr>
            <w:r>
              <w:t>独生子女补贴</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2、本级统一战线工作经费绩效目标表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13020525P00910410003L</w:t>
            </w:r>
          </w:p>
        </w:tc>
        <w:tc>
          <w:tcPr>
            <w:tcW w:w="2835" w:type="dxa"/>
            <w:vAlign w:val="center"/>
          </w:tcPr>
          <w:p>
            <w:pPr>
              <w:pStyle w:val="13"/>
            </w:pPr>
            <w:r>
              <w:t>项目名称</w:t>
            </w:r>
          </w:p>
        </w:tc>
        <w:tc>
          <w:tcPr>
            <w:tcW w:w="6095" w:type="dxa"/>
            <w:gridSpan w:val="3"/>
            <w:vAlign w:val="center"/>
          </w:tcPr>
          <w:p>
            <w:pPr>
              <w:pStyle w:val="15"/>
            </w:pPr>
            <w:r>
              <w:t>本级统一战线工作经费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完成当年统战工作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1.统一战线工作内容和统战部三定方案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活动次数</w:t>
            </w:r>
          </w:p>
        </w:tc>
        <w:tc>
          <w:tcPr>
            <w:tcW w:w="5386" w:type="dxa"/>
            <w:vAlign w:val="center"/>
          </w:tcPr>
          <w:p>
            <w:pPr>
              <w:pStyle w:val="15"/>
            </w:pPr>
            <w:r>
              <w:t>培训或者宣讲活动</w:t>
            </w:r>
          </w:p>
        </w:tc>
        <w:tc>
          <w:tcPr>
            <w:tcW w:w="2268" w:type="dxa"/>
            <w:vAlign w:val="center"/>
          </w:tcPr>
          <w:p>
            <w:pPr>
              <w:pStyle w:val="15"/>
            </w:pPr>
            <w:r>
              <w:t>≥2次</w:t>
            </w:r>
          </w:p>
        </w:tc>
        <w:tc>
          <w:tcPr>
            <w:tcW w:w="1276" w:type="dxa"/>
            <w:vAlign w:val="center"/>
          </w:tcPr>
          <w:p>
            <w:pPr>
              <w:pStyle w:val="15"/>
            </w:pPr>
            <w:r>
              <w:t>统一战线工作内容和统战部三定方案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p>
            <w:pPr>
              <w:pStyle w:val="15"/>
            </w:pPr>
          </w:p>
        </w:tc>
        <w:tc>
          <w:tcPr>
            <w:tcW w:w="5386" w:type="dxa"/>
            <w:vAlign w:val="center"/>
          </w:tcPr>
          <w:p>
            <w:pPr>
              <w:pStyle w:val="15"/>
            </w:pPr>
            <w:r>
              <w:t>到位率</w:t>
            </w:r>
            <w:r>
              <w:tab/>
            </w:r>
          </w:p>
          <w:p>
            <w:pPr>
              <w:pStyle w:val="15"/>
            </w:pPr>
          </w:p>
        </w:tc>
        <w:tc>
          <w:tcPr>
            <w:tcW w:w="2268" w:type="dxa"/>
            <w:vAlign w:val="center"/>
          </w:tcPr>
          <w:p>
            <w:pPr>
              <w:pStyle w:val="15"/>
            </w:pPr>
            <w:r>
              <w:t>&gt;95%</w:t>
            </w:r>
          </w:p>
        </w:tc>
        <w:tc>
          <w:tcPr>
            <w:tcW w:w="1276" w:type="dxa"/>
            <w:vAlign w:val="center"/>
          </w:tcPr>
          <w:p>
            <w:pPr>
              <w:pStyle w:val="15"/>
            </w:pPr>
            <w:r>
              <w:t>统一战线工作内容和统战部三定方案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及时性</w:t>
            </w:r>
          </w:p>
        </w:tc>
        <w:tc>
          <w:tcPr>
            <w:tcW w:w="5386" w:type="dxa"/>
            <w:vAlign w:val="center"/>
          </w:tcPr>
          <w:p>
            <w:pPr>
              <w:pStyle w:val="15"/>
            </w:pPr>
            <w:r>
              <w:t>及时性</w:t>
            </w:r>
          </w:p>
        </w:tc>
        <w:tc>
          <w:tcPr>
            <w:tcW w:w="2268" w:type="dxa"/>
            <w:vAlign w:val="center"/>
          </w:tcPr>
          <w:p>
            <w:pPr>
              <w:pStyle w:val="15"/>
            </w:pPr>
            <w:r>
              <w:t>≤12月</w:t>
            </w:r>
          </w:p>
        </w:tc>
        <w:tc>
          <w:tcPr>
            <w:tcW w:w="1276" w:type="dxa"/>
            <w:vAlign w:val="center"/>
          </w:tcPr>
          <w:p>
            <w:pPr>
              <w:pStyle w:val="15"/>
            </w:pPr>
            <w:r>
              <w:t>统一战线工作内容和统战部三定方案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预算控制数</w:t>
            </w:r>
          </w:p>
        </w:tc>
        <w:tc>
          <w:tcPr>
            <w:tcW w:w="5386" w:type="dxa"/>
            <w:vAlign w:val="center"/>
          </w:tcPr>
          <w:p>
            <w:pPr>
              <w:pStyle w:val="15"/>
            </w:pPr>
            <w:r>
              <w:t>预算控制数</w:t>
            </w:r>
          </w:p>
        </w:tc>
        <w:tc>
          <w:tcPr>
            <w:tcW w:w="2268" w:type="dxa"/>
            <w:vAlign w:val="center"/>
          </w:tcPr>
          <w:p>
            <w:pPr>
              <w:pStyle w:val="15"/>
            </w:pPr>
            <w:r>
              <w:t>≤20万</w:t>
            </w:r>
          </w:p>
        </w:tc>
        <w:tc>
          <w:tcPr>
            <w:tcW w:w="1276" w:type="dxa"/>
            <w:vAlign w:val="center"/>
          </w:tcPr>
          <w:p>
            <w:pPr>
              <w:pStyle w:val="15"/>
            </w:pPr>
            <w:r>
              <w:t>统一战线工作内容和统战部三定方案</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提高效率</w:t>
            </w:r>
          </w:p>
        </w:tc>
        <w:tc>
          <w:tcPr>
            <w:tcW w:w="5386" w:type="dxa"/>
            <w:vAlign w:val="center"/>
          </w:tcPr>
          <w:p>
            <w:pPr>
              <w:pStyle w:val="15"/>
            </w:pPr>
            <w:r>
              <w:t>提高效率</w:t>
            </w:r>
          </w:p>
        </w:tc>
        <w:tc>
          <w:tcPr>
            <w:tcW w:w="2268" w:type="dxa"/>
            <w:vAlign w:val="center"/>
          </w:tcPr>
          <w:p>
            <w:pPr>
              <w:pStyle w:val="15"/>
            </w:pPr>
            <w:r>
              <w:t>&gt;2%</w:t>
            </w:r>
          </w:p>
        </w:tc>
        <w:tc>
          <w:tcPr>
            <w:tcW w:w="1276" w:type="dxa"/>
            <w:vAlign w:val="center"/>
          </w:tcPr>
          <w:p>
            <w:pPr>
              <w:pStyle w:val="15"/>
            </w:pPr>
            <w:r>
              <w:t>统一战线工作内容和统战部三定方案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群体性事件发生数</w:t>
            </w:r>
          </w:p>
        </w:tc>
        <w:tc>
          <w:tcPr>
            <w:tcW w:w="5386" w:type="dxa"/>
            <w:vAlign w:val="center"/>
          </w:tcPr>
          <w:p>
            <w:pPr>
              <w:pStyle w:val="15"/>
            </w:pPr>
            <w:r>
              <w:t>群体性事件发生数</w:t>
            </w:r>
          </w:p>
        </w:tc>
        <w:tc>
          <w:tcPr>
            <w:tcW w:w="2268" w:type="dxa"/>
            <w:vAlign w:val="center"/>
          </w:tcPr>
          <w:p>
            <w:pPr>
              <w:pStyle w:val="15"/>
            </w:pPr>
            <w:r>
              <w:t>&lt;2次</w:t>
            </w:r>
          </w:p>
        </w:tc>
        <w:tc>
          <w:tcPr>
            <w:tcW w:w="1276" w:type="dxa"/>
            <w:vAlign w:val="center"/>
          </w:tcPr>
          <w:p>
            <w:pPr>
              <w:pStyle w:val="15"/>
            </w:pPr>
            <w:r>
              <w:t>统一战线工作内容和统战部三定方案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维护社会稳定</w:t>
            </w:r>
          </w:p>
        </w:tc>
        <w:tc>
          <w:tcPr>
            <w:tcW w:w="5386" w:type="dxa"/>
            <w:vAlign w:val="center"/>
          </w:tcPr>
          <w:p>
            <w:pPr>
              <w:pStyle w:val="15"/>
            </w:pPr>
            <w:r>
              <w:t>维护社会稳定</w:t>
            </w:r>
          </w:p>
        </w:tc>
        <w:tc>
          <w:tcPr>
            <w:tcW w:w="2268" w:type="dxa"/>
            <w:vAlign w:val="center"/>
          </w:tcPr>
          <w:p>
            <w:pPr>
              <w:pStyle w:val="15"/>
            </w:pPr>
            <w:r>
              <w:t>≥90%</w:t>
            </w:r>
          </w:p>
        </w:tc>
        <w:tc>
          <w:tcPr>
            <w:tcW w:w="1276" w:type="dxa"/>
            <w:vAlign w:val="center"/>
          </w:tcPr>
          <w:p>
            <w:pPr>
              <w:pStyle w:val="15"/>
            </w:pPr>
            <w:r>
              <w:t>统一战线工作内容和统战部三定方案</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满意群众占比</w:t>
            </w:r>
          </w:p>
        </w:tc>
        <w:tc>
          <w:tcPr>
            <w:tcW w:w="2268" w:type="dxa"/>
            <w:vAlign w:val="center"/>
          </w:tcPr>
          <w:p>
            <w:pPr>
              <w:pStyle w:val="15"/>
            </w:pPr>
            <w:r>
              <w:t>≥90%</w:t>
            </w:r>
          </w:p>
        </w:tc>
        <w:tc>
          <w:tcPr>
            <w:tcW w:w="1276" w:type="dxa"/>
            <w:vAlign w:val="center"/>
          </w:tcPr>
          <w:p>
            <w:pPr>
              <w:pStyle w:val="15"/>
            </w:pPr>
            <w:r>
              <w:t>统一战线工作内容和统战部三定方案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3、唐财行【2023】30号关于提前下达2024年省级少数民族发展资金的通知绩效目标表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13020524P00912310166A</w:t>
            </w:r>
          </w:p>
        </w:tc>
        <w:tc>
          <w:tcPr>
            <w:tcW w:w="2835" w:type="dxa"/>
            <w:vAlign w:val="center"/>
          </w:tcPr>
          <w:p>
            <w:pPr>
              <w:pStyle w:val="13"/>
            </w:pPr>
            <w:r>
              <w:t>项目名称</w:t>
            </w:r>
          </w:p>
        </w:tc>
        <w:tc>
          <w:tcPr>
            <w:tcW w:w="6095" w:type="dxa"/>
            <w:gridSpan w:val="3"/>
            <w:vAlign w:val="center"/>
          </w:tcPr>
          <w:p>
            <w:pPr>
              <w:pStyle w:val="15"/>
            </w:pPr>
            <w:r>
              <w:t>唐财行【2023】30号关于提前下达2024年省级少数民族发展资金的通知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39.00</w:t>
            </w:r>
          </w:p>
        </w:tc>
        <w:tc>
          <w:tcPr>
            <w:tcW w:w="2835" w:type="dxa"/>
            <w:vAlign w:val="center"/>
          </w:tcPr>
          <w:p>
            <w:pPr>
              <w:pStyle w:val="13"/>
            </w:pPr>
            <w:r>
              <w:t>其中：财政    资金</w:t>
            </w:r>
          </w:p>
        </w:tc>
        <w:tc>
          <w:tcPr>
            <w:tcW w:w="2551" w:type="dxa"/>
            <w:vAlign w:val="center"/>
          </w:tcPr>
          <w:p>
            <w:pPr>
              <w:pStyle w:val="15"/>
            </w:pPr>
            <w:r>
              <w:t>39.00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围绕</w:t>
            </w:r>
            <w:r>
              <w:rPr>
                <w:rFonts w:hint="eastAsia"/>
                <w:lang w:eastAsia="zh-CN"/>
              </w:rPr>
              <w:t>铸牢中华民族共同体意识</w:t>
            </w:r>
            <w:r>
              <w:t>，完善民族乡村基础设施，发展特色农业，改善民族乡村人居环境，助力民族乡村高质量发展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1.围绕</w:t>
            </w:r>
            <w:r>
              <w:rPr>
                <w:rFonts w:hint="eastAsia"/>
                <w:lang w:eastAsia="zh-CN"/>
              </w:rPr>
              <w:t>铸牢中华民族共同体意识</w:t>
            </w:r>
            <w:r>
              <w:t>，完善民族乡村基础设施，发展特色农业，改善民族乡村人居环境，助力民族乡村高质量发展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支持项目个数</w:t>
            </w:r>
          </w:p>
        </w:tc>
        <w:tc>
          <w:tcPr>
            <w:tcW w:w="5386" w:type="dxa"/>
            <w:vAlign w:val="center"/>
          </w:tcPr>
          <w:p>
            <w:pPr>
              <w:pStyle w:val="15"/>
            </w:pPr>
            <w:r>
              <w:t>支持项目个数</w:t>
            </w:r>
          </w:p>
        </w:tc>
        <w:tc>
          <w:tcPr>
            <w:tcW w:w="2268" w:type="dxa"/>
            <w:vAlign w:val="center"/>
          </w:tcPr>
          <w:p>
            <w:pPr>
              <w:pStyle w:val="15"/>
            </w:pPr>
            <w:r>
              <w:t>≥1个</w:t>
            </w:r>
          </w:p>
        </w:tc>
        <w:tc>
          <w:tcPr>
            <w:tcW w:w="1276" w:type="dxa"/>
            <w:vAlign w:val="center"/>
          </w:tcPr>
          <w:p>
            <w:pPr>
              <w:pStyle w:val="15"/>
            </w:pPr>
            <w:r>
              <w:t>支持项目个数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资金使用效益</w:t>
            </w:r>
          </w:p>
        </w:tc>
        <w:tc>
          <w:tcPr>
            <w:tcW w:w="5386" w:type="dxa"/>
            <w:vAlign w:val="center"/>
          </w:tcPr>
          <w:p>
            <w:pPr>
              <w:pStyle w:val="15"/>
            </w:pPr>
            <w:r>
              <w:t>资金使用效益</w:t>
            </w:r>
          </w:p>
        </w:tc>
        <w:tc>
          <w:tcPr>
            <w:tcW w:w="2268" w:type="dxa"/>
            <w:vAlign w:val="center"/>
          </w:tcPr>
          <w:p>
            <w:pPr>
              <w:pStyle w:val="15"/>
            </w:pPr>
            <w:r>
              <w:t>≥90%</w:t>
            </w:r>
          </w:p>
        </w:tc>
        <w:tc>
          <w:tcPr>
            <w:tcW w:w="1276" w:type="dxa"/>
            <w:vAlign w:val="center"/>
          </w:tcPr>
          <w:p>
            <w:pPr>
              <w:pStyle w:val="15"/>
            </w:pPr>
            <w:r>
              <w:t>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资金拨付和项目完工率</w:t>
            </w:r>
          </w:p>
        </w:tc>
        <w:tc>
          <w:tcPr>
            <w:tcW w:w="5386" w:type="dxa"/>
            <w:vAlign w:val="center"/>
          </w:tcPr>
          <w:p>
            <w:pPr>
              <w:pStyle w:val="15"/>
            </w:pPr>
            <w:r>
              <w:t>资金拨付和项目完工率</w:t>
            </w:r>
          </w:p>
        </w:tc>
        <w:tc>
          <w:tcPr>
            <w:tcW w:w="2268" w:type="dxa"/>
            <w:vAlign w:val="center"/>
          </w:tcPr>
          <w:p>
            <w:pPr>
              <w:pStyle w:val="15"/>
            </w:pPr>
            <w:r>
              <w:t>&gt;90%</w:t>
            </w:r>
          </w:p>
        </w:tc>
        <w:tc>
          <w:tcPr>
            <w:tcW w:w="1276" w:type="dxa"/>
            <w:vAlign w:val="center"/>
          </w:tcPr>
          <w:p>
            <w:pPr>
              <w:pStyle w:val="15"/>
            </w:pPr>
            <w:r>
              <w:t>资金拨付和项目完工率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支持民族村的平均成本</w:t>
            </w:r>
          </w:p>
        </w:tc>
        <w:tc>
          <w:tcPr>
            <w:tcW w:w="5386" w:type="dxa"/>
            <w:vAlign w:val="center"/>
          </w:tcPr>
          <w:p>
            <w:pPr>
              <w:pStyle w:val="15"/>
            </w:pPr>
            <w:r>
              <w:t>支持民族村的平均成本</w:t>
            </w:r>
          </w:p>
        </w:tc>
        <w:tc>
          <w:tcPr>
            <w:tcW w:w="2268" w:type="dxa"/>
            <w:vAlign w:val="center"/>
          </w:tcPr>
          <w:p>
            <w:pPr>
              <w:pStyle w:val="15"/>
            </w:pPr>
            <w:r>
              <w:t>≤42万元</w:t>
            </w:r>
          </w:p>
        </w:tc>
        <w:tc>
          <w:tcPr>
            <w:tcW w:w="1276" w:type="dxa"/>
            <w:vAlign w:val="center"/>
          </w:tcPr>
          <w:p>
            <w:pPr>
              <w:pStyle w:val="15"/>
            </w:pPr>
            <w:r>
              <w:t>支持民族村的平均成本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收益群众数</w:t>
            </w:r>
          </w:p>
        </w:tc>
        <w:tc>
          <w:tcPr>
            <w:tcW w:w="5386" w:type="dxa"/>
            <w:vAlign w:val="center"/>
          </w:tcPr>
          <w:p>
            <w:pPr>
              <w:pStyle w:val="15"/>
            </w:pPr>
            <w:r>
              <w:t>收益群众数</w:t>
            </w:r>
          </w:p>
        </w:tc>
        <w:tc>
          <w:tcPr>
            <w:tcW w:w="2268" w:type="dxa"/>
            <w:vAlign w:val="center"/>
          </w:tcPr>
          <w:p>
            <w:pPr>
              <w:pStyle w:val="15"/>
            </w:pPr>
            <w:r>
              <w:t>≥1000人</w:t>
            </w:r>
          </w:p>
        </w:tc>
        <w:tc>
          <w:tcPr>
            <w:tcW w:w="1276" w:type="dxa"/>
            <w:vAlign w:val="center"/>
          </w:tcPr>
          <w:p>
            <w:pPr>
              <w:pStyle w:val="15"/>
            </w:pPr>
            <w:r>
              <w:t>收益群众数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民族乡村生态环境提升</w:t>
            </w:r>
          </w:p>
        </w:tc>
        <w:tc>
          <w:tcPr>
            <w:tcW w:w="5386" w:type="dxa"/>
            <w:vAlign w:val="center"/>
          </w:tcPr>
          <w:p>
            <w:pPr>
              <w:pStyle w:val="15"/>
            </w:pPr>
            <w:r>
              <w:t>完善基础设施，发展特色农业，改善民族乡村人居环境，助力乡村振兴</w:t>
            </w:r>
          </w:p>
        </w:tc>
        <w:tc>
          <w:tcPr>
            <w:tcW w:w="2268" w:type="dxa"/>
            <w:vAlign w:val="center"/>
          </w:tcPr>
          <w:p>
            <w:pPr>
              <w:pStyle w:val="15"/>
            </w:pPr>
            <w:r>
              <w:t>≥5%</w:t>
            </w:r>
          </w:p>
        </w:tc>
        <w:tc>
          <w:tcPr>
            <w:tcW w:w="1276" w:type="dxa"/>
            <w:vAlign w:val="center"/>
          </w:tcPr>
          <w:p>
            <w:pPr>
              <w:pStyle w:val="15"/>
            </w:pPr>
            <w:r>
              <w:t>民族乡村生态环境提升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资金的使用效率</w:t>
            </w:r>
          </w:p>
        </w:tc>
        <w:tc>
          <w:tcPr>
            <w:tcW w:w="5386" w:type="dxa"/>
            <w:vAlign w:val="center"/>
          </w:tcPr>
          <w:p>
            <w:pPr>
              <w:pStyle w:val="15"/>
            </w:pPr>
            <w:r>
              <w:t>支持民族村数量</w:t>
            </w:r>
          </w:p>
        </w:tc>
        <w:tc>
          <w:tcPr>
            <w:tcW w:w="2268" w:type="dxa"/>
            <w:vAlign w:val="center"/>
          </w:tcPr>
          <w:p>
            <w:pPr>
              <w:pStyle w:val="15"/>
            </w:pPr>
            <w:r>
              <w:t>≥1个</w:t>
            </w:r>
          </w:p>
        </w:tc>
        <w:tc>
          <w:tcPr>
            <w:tcW w:w="1276" w:type="dxa"/>
            <w:vAlign w:val="center"/>
          </w:tcPr>
          <w:p>
            <w:pPr>
              <w:pStyle w:val="15"/>
            </w:pPr>
            <w:r>
              <w:t>资金的使用效率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持续发展作用力</w:t>
            </w:r>
          </w:p>
        </w:tc>
        <w:tc>
          <w:tcPr>
            <w:tcW w:w="5386" w:type="dxa"/>
            <w:vAlign w:val="center"/>
          </w:tcPr>
          <w:p>
            <w:pPr>
              <w:pStyle w:val="15"/>
            </w:pPr>
            <w:r>
              <w:t>该项资金连续投入，未来可预期政策长期稳定，以此吸引其他资金投入</w:t>
            </w:r>
          </w:p>
        </w:tc>
        <w:tc>
          <w:tcPr>
            <w:tcW w:w="2268" w:type="dxa"/>
            <w:vAlign w:val="center"/>
          </w:tcPr>
          <w:p>
            <w:pPr>
              <w:pStyle w:val="15"/>
            </w:pPr>
            <w:r>
              <w:t>≥3年</w:t>
            </w:r>
          </w:p>
        </w:tc>
        <w:tc>
          <w:tcPr>
            <w:tcW w:w="1276" w:type="dxa"/>
            <w:vAlign w:val="center"/>
          </w:tcPr>
          <w:p>
            <w:pPr>
              <w:pStyle w:val="15"/>
            </w:pPr>
            <w:r>
              <w:t>持续发展作用力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满意度</w:t>
            </w:r>
          </w:p>
        </w:tc>
        <w:tc>
          <w:tcPr>
            <w:tcW w:w="2268" w:type="dxa"/>
            <w:vAlign w:val="center"/>
          </w:tcPr>
          <w:p>
            <w:pPr>
              <w:pStyle w:val="15"/>
            </w:pPr>
            <w:r>
              <w:t>≥95%</w:t>
            </w:r>
          </w:p>
        </w:tc>
        <w:tc>
          <w:tcPr>
            <w:tcW w:w="1276" w:type="dxa"/>
            <w:vAlign w:val="center"/>
          </w:tcPr>
          <w:p>
            <w:pPr>
              <w:pStyle w:val="15"/>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4、唐财行【2023】8号关于下达2023年少数民族发展资金的通知市级绩效目标表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13020524P00BR8K100182</w:t>
            </w:r>
          </w:p>
        </w:tc>
        <w:tc>
          <w:tcPr>
            <w:tcW w:w="2835" w:type="dxa"/>
            <w:vAlign w:val="center"/>
          </w:tcPr>
          <w:p>
            <w:pPr>
              <w:pStyle w:val="13"/>
            </w:pPr>
            <w:r>
              <w:t>项目名称</w:t>
            </w:r>
          </w:p>
        </w:tc>
        <w:tc>
          <w:tcPr>
            <w:tcW w:w="6095" w:type="dxa"/>
            <w:gridSpan w:val="3"/>
            <w:vAlign w:val="center"/>
          </w:tcPr>
          <w:p>
            <w:pPr>
              <w:pStyle w:val="15"/>
            </w:pPr>
            <w:r>
              <w:t>唐财行【2023】8号关于下达2023年少数民族发展资金的通知市级</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少数民族发展资金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w:t>
            </w:r>
          </w:p>
        </w:tc>
        <w:tc>
          <w:tcPr>
            <w:tcW w:w="2835" w:type="dxa"/>
            <w:vAlign w:val="center"/>
          </w:tcPr>
          <w:p>
            <w:pPr>
              <w:pStyle w:val="16"/>
            </w:pPr>
            <w:r>
              <w:t>30%</w:t>
            </w:r>
          </w:p>
        </w:tc>
        <w:tc>
          <w:tcPr>
            <w:tcW w:w="2551" w:type="dxa"/>
            <w:vAlign w:val="center"/>
          </w:tcPr>
          <w:p>
            <w:pPr>
              <w:pStyle w:val="16"/>
            </w:pPr>
            <w:r>
              <w:t>50%</w:t>
            </w:r>
          </w:p>
        </w:tc>
        <w:tc>
          <w:tcPr>
            <w:tcW w:w="3544" w:type="dxa"/>
            <w:gridSpan w:val="2"/>
            <w:vAlign w:val="center"/>
          </w:tcPr>
          <w:p>
            <w:pPr>
              <w:pStyle w:val="16"/>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1.保证及时、足额发放专项资金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资金足额率</w:t>
            </w:r>
          </w:p>
        </w:tc>
        <w:tc>
          <w:tcPr>
            <w:tcW w:w="5386" w:type="dxa"/>
            <w:vAlign w:val="center"/>
          </w:tcPr>
          <w:p>
            <w:pPr>
              <w:pStyle w:val="15"/>
            </w:pPr>
            <w:r>
              <w:t>实际拨付资金占应付资金比率</w:t>
            </w:r>
          </w:p>
        </w:tc>
        <w:tc>
          <w:tcPr>
            <w:tcW w:w="2268" w:type="dxa"/>
            <w:vAlign w:val="center"/>
          </w:tcPr>
          <w:p>
            <w:pPr>
              <w:pStyle w:val="15"/>
            </w:pPr>
            <w:r>
              <w:t>100%</w:t>
            </w:r>
          </w:p>
        </w:tc>
        <w:tc>
          <w:tcPr>
            <w:tcW w:w="1276" w:type="dxa"/>
            <w:vAlign w:val="center"/>
          </w:tcPr>
          <w:p>
            <w:pPr>
              <w:pStyle w:val="15"/>
            </w:pPr>
            <w:r>
              <w:t>唐财行【2023】8号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资金支付合规率（%）</w:t>
            </w:r>
          </w:p>
        </w:tc>
        <w:tc>
          <w:tcPr>
            <w:tcW w:w="5386" w:type="dxa"/>
            <w:vAlign w:val="center"/>
          </w:tcPr>
          <w:p>
            <w:pPr>
              <w:pStyle w:val="15"/>
            </w:pPr>
            <w:r>
              <w:t>支付方式是否合规</w:t>
            </w:r>
          </w:p>
        </w:tc>
        <w:tc>
          <w:tcPr>
            <w:tcW w:w="2268" w:type="dxa"/>
            <w:vAlign w:val="center"/>
          </w:tcPr>
          <w:p>
            <w:pPr>
              <w:pStyle w:val="15"/>
            </w:pPr>
            <w:r>
              <w:t>100%</w:t>
            </w:r>
          </w:p>
        </w:tc>
        <w:tc>
          <w:tcPr>
            <w:tcW w:w="1276" w:type="dxa"/>
            <w:vAlign w:val="center"/>
          </w:tcPr>
          <w:p>
            <w:pPr>
              <w:pStyle w:val="15"/>
            </w:pPr>
            <w:r>
              <w:t>唐财行【2023】8号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支付及时率</w:t>
            </w:r>
          </w:p>
        </w:tc>
        <w:tc>
          <w:tcPr>
            <w:tcW w:w="5386" w:type="dxa"/>
            <w:vAlign w:val="center"/>
          </w:tcPr>
          <w:p>
            <w:pPr>
              <w:pStyle w:val="15"/>
            </w:pPr>
            <w:r>
              <w:t>是否按时拨付</w:t>
            </w:r>
          </w:p>
        </w:tc>
        <w:tc>
          <w:tcPr>
            <w:tcW w:w="2268" w:type="dxa"/>
            <w:vAlign w:val="center"/>
          </w:tcPr>
          <w:p>
            <w:pPr>
              <w:pStyle w:val="15"/>
            </w:pPr>
            <w:r>
              <w:t>100%</w:t>
            </w:r>
          </w:p>
        </w:tc>
        <w:tc>
          <w:tcPr>
            <w:tcW w:w="1276" w:type="dxa"/>
            <w:vAlign w:val="center"/>
          </w:tcPr>
          <w:p>
            <w:pPr>
              <w:pStyle w:val="15"/>
            </w:pPr>
            <w:r>
              <w:t>唐财行【2023】8号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经费发放率</w:t>
            </w:r>
          </w:p>
        </w:tc>
        <w:tc>
          <w:tcPr>
            <w:tcW w:w="5386" w:type="dxa"/>
            <w:vAlign w:val="center"/>
          </w:tcPr>
          <w:p>
            <w:pPr>
              <w:pStyle w:val="15"/>
            </w:pPr>
            <w:r>
              <w:t>按照预算标准足额发放</w:t>
            </w:r>
          </w:p>
        </w:tc>
        <w:tc>
          <w:tcPr>
            <w:tcW w:w="2268" w:type="dxa"/>
            <w:vAlign w:val="center"/>
          </w:tcPr>
          <w:p>
            <w:pPr>
              <w:pStyle w:val="15"/>
            </w:pPr>
            <w:r>
              <w:t>100%</w:t>
            </w:r>
          </w:p>
        </w:tc>
        <w:tc>
          <w:tcPr>
            <w:tcW w:w="1276" w:type="dxa"/>
            <w:vAlign w:val="center"/>
          </w:tcPr>
          <w:p>
            <w:pPr>
              <w:pStyle w:val="15"/>
            </w:pPr>
            <w:r>
              <w:t>唐财行【2023】8号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资金使用效益</w:t>
            </w:r>
          </w:p>
        </w:tc>
        <w:tc>
          <w:tcPr>
            <w:tcW w:w="5386" w:type="dxa"/>
            <w:vAlign w:val="center"/>
          </w:tcPr>
          <w:p>
            <w:pPr>
              <w:pStyle w:val="15"/>
            </w:pPr>
            <w:r>
              <w:t>资金使用效益</w:t>
            </w:r>
          </w:p>
        </w:tc>
        <w:tc>
          <w:tcPr>
            <w:tcW w:w="2268" w:type="dxa"/>
            <w:vAlign w:val="center"/>
          </w:tcPr>
          <w:p>
            <w:pPr>
              <w:pStyle w:val="15"/>
            </w:pPr>
            <w:r>
              <w:t>≥95%</w:t>
            </w:r>
          </w:p>
        </w:tc>
        <w:tc>
          <w:tcPr>
            <w:tcW w:w="1276" w:type="dxa"/>
            <w:vAlign w:val="center"/>
          </w:tcPr>
          <w:p>
            <w:pPr>
              <w:pStyle w:val="15"/>
            </w:pPr>
            <w:r>
              <w:t>唐财行【2023】8号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业务保障能力</w:t>
            </w:r>
          </w:p>
        </w:tc>
        <w:tc>
          <w:tcPr>
            <w:tcW w:w="5386" w:type="dxa"/>
            <w:vAlign w:val="center"/>
          </w:tcPr>
          <w:p>
            <w:pPr>
              <w:pStyle w:val="15"/>
            </w:pPr>
            <w:r>
              <w:t>保障相关业务、工作等开展的情况</w:t>
            </w:r>
          </w:p>
        </w:tc>
        <w:tc>
          <w:tcPr>
            <w:tcW w:w="2268" w:type="dxa"/>
            <w:vAlign w:val="center"/>
          </w:tcPr>
          <w:p>
            <w:pPr>
              <w:pStyle w:val="15"/>
            </w:pPr>
            <w:r>
              <w:t>工作正常运转</w:t>
            </w:r>
          </w:p>
        </w:tc>
        <w:tc>
          <w:tcPr>
            <w:tcW w:w="1276" w:type="dxa"/>
            <w:vAlign w:val="center"/>
          </w:tcPr>
          <w:p>
            <w:pPr>
              <w:pStyle w:val="15"/>
            </w:pPr>
            <w:r>
              <w:t>唐财行【2023】8号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效果持续时间</w:t>
            </w:r>
          </w:p>
        </w:tc>
        <w:tc>
          <w:tcPr>
            <w:tcW w:w="5386" w:type="dxa"/>
            <w:vAlign w:val="center"/>
          </w:tcPr>
          <w:p>
            <w:pPr>
              <w:pStyle w:val="15"/>
            </w:pPr>
            <w:r>
              <w:t>效果持续时间</w:t>
            </w:r>
          </w:p>
        </w:tc>
        <w:tc>
          <w:tcPr>
            <w:tcW w:w="2268" w:type="dxa"/>
            <w:vAlign w:val="center"/>
          </w:tcPr>
          <w:p>
            <w:pPr>
              <w:pStyle w:val="15"/>
            </w:pPr>
            <w:r>
              <w:t>&gt;1年</w:t>
            </w:r>
          </w:p>
        </w:tc>
        <w:tc>
          <w:tcPr>
            <w:tcW w:w="1276" w:type="dxa"/>
            <w:vAlign w:val="center"/>
          </w:tcPr>
          <w:p>
            <w:pPr>
              <w:pStyle w:val="15"/>
            </w:pPr>
            <w:r>
              <w:t>唐财行【2023】8号</w:t>
            </w:r>
          </w:p>
          <w:p>
            <w:pPr>
              <w:pStyle w:val="15"/>
            </w:pPr>
          </w:p>
        </w:tc>
      </w:tr>
      <w:tr>
        <w:tblPrEx>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5386" w:type="dxa"/>
            <w:vAlign w:val="center"/>
          </w:tcPr>
          <w:p>
            <w:pPr>
              <w:pStyle w:val="15"/>
            </w:pPr>
            <w:r>
              <w:t>满意度</w:t>
            </w:r>
          </w:p>
        </w:tc>
        <w:tc>
          <w:tcPr>
            <w:tcW w:w="2268" w:type="dxa"/>
            <w:vAlign w:val="center"/>
          </w:tcPr>
          <w:p>
            <w:pPr>
              <w:pStyle w:val="15"/>
            </w:pPr>
            <w:r>
              <w:t>≥95%</w:t>
            </w:r>
          </w:p>
        </w:tc>
        <w:tc>
          <w:tcPr>
            <w:tcW w:w="1276" w:type="dxa"/>
            <w:vAlign w:val="center"/>
          </w:tcPr>
          <w:p>
            <w:pPr>
              <w:pStyle w:val="15"/>
            </w:pPr>
            <w:r>
              <w:t>唐财行【2023】8号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5、唐财行【2024】21号关于提前下达2025年省级少数民族发展资金的通知市级绩效目标表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13020525P00912310206T</w:t>
            </w:r>
          </w:p>
        </w:tc>
        <w:tc>
          <w:tcPr>
            <w:tcW w:w="2835" w:type="dxa"/>
            <w:vAlign w:val="center"/>
          </w:tcPr>
          <w:p>
            <w:pPr>
              <w:pStyle w:val="13"/>
            </w:pPr>
            <w:r>
              <w:t>项目名称</w:t>
            </w:r>
          </w:p>
        </w:tc>
        <w:tc>
          <w:tcPr>
            <w:tcW w:w="6095" w:type="dxa"/>
            <w:gridSpan w:val="3"/>
            <w:vAlign w:val="center"/>
          </w:tcPr>
          <w:p>
            <w:pPr>
              <w:pStyle w:val="15"/>
            </w:pPr>
            <w:r>
              <w:t>唐财行【2024】21号关于提前下达2025年省级少数民族发展资金的通知市级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40.00</w:t>
            </w:r>
          </w:p>
        </w:tc>
        <w:tc>
          <w:tcPr>
            <w:tcW w:w="2835" w:type="dxa"/>
            <w:vAlign w:val="center"/>
          </w:tcPr>
          <w:p>
            <w:pPr>
              <w:pStyle w:val="13"/>
            </w:pPr>
            <w:r>
              <w:t>其中：财政    资金</w:t>
            </w:r>
          </w:p>
        </w:tc>
        <w:tc>
          <w:tcPr>
            <w:tcW w:w="2551" w:type="dxa"/>
            <w:vAlign w:val="center"/>
          </w:tcPr>
          <w:p>
            <w:pPr>
              <w:pStyle w:val="15"/>
            </w:pPr>
            <w:r>
              <w:t>40.00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少数民族发展资金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1.少数民族发展资金，维护少数民族稳定发展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支持项目县个数</w:t>
            </w:r>
          </w:p>
        </w:tc>
        <w:tc>
          <w:tcPr>
            <w:tcW w:w="5386" w:type="dxa"/>
            <w:vAlign w:val="center"/>
          </w:tcPr>
          <w:p>
            <w:pPr>
              <w:pStyle w:val="15"/>
            </w:pPr>
            <w:r>
              <w:t>支持项目县个数</w:t>
            </w:r>
          </w:p>
        </w:tc>
        <w:tc>
          <w:tcPr>
            <w:tcW w:w="2268" w:type="dxa"/>
            <w:vAlign w:val="center"/>
          </w:tcPr>
          <w:p>
            <w:pPr>
              <w:pStyle w:val="15"/>
            </w:pPr>
            <w:r>
              <w:t>≥1个</w:t>
            </w:r>
          </w:p>
        </w:tc>
        <w:tc>
          <w:tcPr>
            <w:tcW w:w="1276" w:type="dxa"/>
            <w:vAlign w:val="center"/>
          </w:tcPr>
          <w:p>
            <w:pPr>
              <w:pStyle w:val="15"/>
            </w:pPr>
            <w:r>
              <w:t>唐财行【2024】21号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资金使用效益</w:t>
            </w:r>
          </w:p>
        </w:tc>
        <w:tc>
          <w:tcPr>
            <w:tcW w:w="5386" w:type="dxa"/>
            <w:vAlign w:val="center"/>
          </w:tcPr>
          <w:p>
            <w:pPr>
              <w:pStyle w:val="15"/>
            </w:pPr>
            <w:r>
              <w:t>提高效益</w:t>
            </w:r>
          </w:p>
        </w:tc>
        <w:tc>
          <w:tcPr>
            <w:tcW w:w="2268" w:type="dxa"/>
            <w:vAlign w:val="center"/>
          </w:tcPr>
          <w:p>
            <w:pPr>
              <w:pStyle w:val="15"/>
            </w:pPr>
            <w:r>
              <w:t>≥5%</w:t>
            </w:r>
          </w:p>
        </w:tc>
        <w:tc>
          <w:tcPr>
            <w:tcW w:w="1276" w:type="dxa"/>
            <w:vAlign w:val="center"/>
          </w:tcPr>
          <w:p>
            <w:pPr>
              <w:pStyle w:val="15"/>
            </w:pPr>
            <w:r>
              <w:t>唐财行【2024】21号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资金拨付和项目完工率</w:t>
            </w:r>
          </w:p>
        </w:tc>
        <w:tc>
          <w:tcPr>
            <w:tcW w:w="5386" w:type="dxa"/>
            <w:vAlign w:val="center"/>
          </w:tcPr>
          <w:p>
            <w:pPr>
              <w:pStyle w:val="15"/>
            </w:pPr>
            <w:r>
              <w:t>资金拨付和项目完工率</w:t>
            </w:r>
          </w:p>
        </w:tc>
        <w:tc>
          <w:tcPr>
            <w:tcW w:w="2268" w:type="dxa"/>
            <w:vAlign w:val="center"/>
          </w:tcPr>
          <w:p>
            <w:pPr>
              <w:pStyle w:val="15"/>
            </w:pPr>
            <w:r>
              <w:t>≥90%</w:t>
            </w:r>
          </w:p>
        </w:tc>
        <w:tc>
          <w:tcPr>
            <w:tcW w:w="1276" w:type="dxa"/>
            <w:vAlign w:val="center"/>
          </w:tcPr>
          <w:p>
            <w:pPr>
              <w:pStyle w:val="15"/>
            </w:pPr>
            <w:r>
              <w:t>唐财行【2024】21号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支出民族村的平均成本</w:t>
            </w:r>
          </w:p>
        </w:tc>
        <w:tc>
          <w:tcPr>
            <w:tcW w:w="5386" w:type="dxa"/>
            <w:vAlign w:val="center"/>
          </w:tcPr>
          <w:p>
            <w:pPr>
              <w:pStyle w:val="15"/>
            </w:pPr>
            <w:r>
              <w:t>支出民族村平均补高于</w:t>
            </w:r>
          </w:p>
        </w:tc>
        <w:tc>
          <w:tcPr>
            <w:tcW w:w="2268" w:type="dxa"/>
            <w:vAlign w:val="center"/>
          </w:tcPr>
          <w:p>
            <w:pPr>
              <w:pStyle w:val="15"/>
            </w:pPr>
            <w:r>
              <w:t>≤50万元</w:t>
            </w:r>
          </w:p>
        </w:tc>
        <w:tc>
          <w:tcPr>
            <w:tcW w:w="1276" w:type="dxa"/>
            <w:vAlign w:val="center"/>
          </w:tcPr>
          <w:p>
            <w:pPr>
              <w:pStyle w:val="15"/>
            </w:pPr>
            <w:r>
              <w:t>唐财行【2024】21号</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民族乡村生态环境提升</w:t>
            </w:r>
          </w:p>
        </w:tc>
        <w:tc>
          <w:tcPr>
            <w:tcW w:w="5386" w:type="dxa"/>
            <w:vAlign w:val="center"/>
          </w:tcPr>
          <w:p>
            <w:pPr>
              <w:pStyle w:val="15"/>
            </w:pPr>
            <w:r>
              <w:t>显著提高</w:t>
            </w:r>
          </w:p>
        </w:tc>
        <w:tc>
          <w:tcPr>
            <w:tcW w:w="2268" w:type="dxa"/>
            <w:vAlign w:val="center"/>
          </w:tcPr>
          <w:p>
            <w:pPr>
              <w:pStyle w:val="15"/>
            </w:pPr>
            <w:r>
              <w:t>≥5%</w:t>
            </w:r>
          </w:p>
        </w:tc>
        <w:tc>
          <w:tcPr>
            <w:tcW w:w="1276" w:type="dxa"/>
            <w:vAlign w:val="center"/>
          </w:tcPr>
          <w:p>
            <w:pPr>
              <w:pStyle w:val="15"/>
            </w:pPr>
            <w:r>
              <w:t>唐财行【2024】21号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资金使用效率</w:t>
            </w:r>
          </w:p>
        </w:tc>
        <w:tc>
          <w:tcPr>
            <w:tcW w:w="5386" w:type="dxa"/>
            <w:vAlign w:val="center"/>
          </w:tcPr>
          <w:p>
            <w:pPr>
              <w:pStyle w:val="15"/>
            </w:pPr>
            <w:r>
              <w:t>资金使用效率</w:t>
            </w:r>
          </w:p>
        </w:tc>
        <w:tc>
          <w:tcPr>
            <w:tcW w:w="2268" w:type="dxa"/>
            <w:vAlign w:val="center"/>
          </w:tcPr>
          <w:p>
            <w:pPr>
              <w:pStyle w:val="15"/>
            </w:pPr>
            <w:r>
              <w:t>≥90%</w:t>
            </w:r>
          </w:p>
        </w:tc>
        <w:tc>
          <w:tcPr>
            <w:tcW w:w="1276" w:type="dxa"/>
            <w:vAlign w:val="center"/>
          </w:tcPr>
          <w:p>
            <w:pPr>
              <w:pStyle w:val="15"/>
            </w:pPr>
            <w:r>
              <w:t>唐财行【2024】21号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社会稳定</w:t>
            </w:r>
          </w:p>
        </w:tc>
        <w:tc>
          <w:tcPr>
            <w:tcW w:w="5386" w:type="dxa"/>
            <w:vAlign w:val="center"/>
          </w:tcPr>
          <w:p>
            <w:pPr>
              <w:pStyle w:val="15"/>
            </w:pPr>
            <w:r>
              <w:t>社会稳定</w:t>
            </w:r>
          </w:p>
        </w:tc>
        <w:tc>
          <w:tcPr>
            <w:tcW w:w="2268" w:type="dxa"/>
            <w:vAlign w:val="center"/>
          </w:tcPr>
          <w:p>
            <w:pPr>
              <w:pStyle w:val="15"/>
            </w:pPr>
            <w:r>
              <w:t>≥90%</w:t>
            </w:r>
          </w:p>
        </w:tc>
        <w:tc>
          <w:tcPr>
            <w:tcW w:w="1276" w:type="dxa"/>
            <w:vAlign w:val="center"/>
          </w:tcPr>
          <w:p>
            <w:pPr>
              <w:pStyle w:val="15"/>
            </w:pPr>
            <w:r>
              <w:t>唐财行【2024】21号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受益对象满意度</w:t>
            </w:r>
          </w:p>
        </w:tc>
        <w:tc>
          <w:tcPr>
            <w:tcW w:w="2268" w:type="dxa"/>
            <w:vAlign w:val="center"/>
          </w:tcPr>
          <w:p>
            <w:pPr>
              <w:pStyle w:val="15"/>
            </w:pPr>
            <w:r>
              <w:t>≥90%</w:t>
            </w:r>
          </w:p>
        </w:tc>
        <w:tc>
          <w:tcPr>
            <w:tcW w:w="1276" w:type="dxa"/>
            <w:vAlign w:val="center"/>
          </w:tcPr>
          <w:p>
            <w:pPr>
              <w:pStyle w:val="15"/>
            </w:pPr>
            <w:r>
              <w:t>唐财行【2024】21号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6、唐财行【2024】2号关于下达2024年度少数民族地区补助经费的通知市级绩效目标表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13020524P00BR8K10017E</w:t>
            </w:r>
          </w:p>
        </w:tc>
        <w:tc>
          <w:tcPr>
            <w:tcW w:w="2835" w:type="dxa"/>
            <w:vAlign w:val="center"/>
          </w:tcPr>
          <w:p>
            <w:pPr>
              <w:pStyle w:val="13"/>
            </w:pPr>
            <w:r>
              <w:t>项目名称</w:t>
            </w:r>
          </w:p>
        </w:tc>
        <w:tc>
          <w:tcPr>
            <w:tcW w:w="6095" w:type="dxa"/>
            <w:gridSpan w:val="3"/>
            <w:vAlign w:val="center"/>
          </w:tcPr>
          <w:p>
            <w:pPr>
              <w:pStyle w:val="15"/>
            </w:pPr>
            <w:r>
              <w:t>唐财行【2024】2号关于下达2024年度少数民族地区补助经费的通知市级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少数民族示范单位创建和宣传教育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w:t>
            </w:r>
          </w:p>
        </w:tc>
        <w:tc>
          <w:tcPr>
            <w:tcW w:w="2835" w:type="dxa"/>
            <w:vAlign w:val="center"/>
          </w:tcPr>
          <w:p>
            <w:pPr>
              <w:pStyle w:val="16"/>
            </w:pPr>
            <w:r>
              <w:t>50%</w:t>
            </w:r>
          </w:p>
        </w:tc>
        <w:tc>
          <w:tcPr>
            <w:tcW w:w="2551" w:type="dxa"/>
            <w:vAlign w:val="center"/>
          </w:tcPr>
          <w:p>
            <w:pPr>
              <w:pStyle w:val="16"/>
            </w:pPr>
            <w:r>
              <w:t>80%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1.少数民族示范单位创建和宣传教育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创建项目数量</w:t>
            </w:r>
          </w:p>
        </w:tc>
        <w:tc>
          <w:tcPr>
            <w:tcW w:w="5386" w:type="dxa"/>
            <w:vAlign w:val="center"/>
          </w:tcPr>
          <w:p>
            <w:pPr>
              <w:pStyle w:val="15"/>
            </w:pPr>
            <w:r>
              <w:t>2个省级创建项目</w:t>
            </w:r>
          </w:p>
        </w:tc>
        <w:tc>
          <w:tcPr>
            <w:tcW w:w="2268" w:type="dxa"/>
            <w:vAlign w:val="center"/>
          </w:tcPr>
          <w:p>
            <w:pPr>
              <w:pStyle w:val="15"/>
            </w:pPr>
            <w:r>
              <w:t>≥2个</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专款专用率</w:t>
            </w:r>
          </w:p>
        </w:tc>
        <w:tc>
          <w:tcPr>
            <w:tcW w:w="5386" w:type="dxa"/>
            <w:vAlign w:val="center"/>
          </w:tcPr>
          <w:p>
            <w:pPr>
              <w:pStyle w:val="15"/>
            </w:pPr>
            <w:r>
              <w:t>专款专用率</w:t>
            </w:r>
          </w:p>
        </w:tc>
        <w:tc>
          <w:tcPr>
            <w:tcW w:w="2268" w:type="dxa"/>
            <w:vAlign w:val="center"/>
          </w:tcPr>
          <w:p>
            <w:pPr>
              <w:pStyle w:val="15"/>
            </w:pPr>
            <w:r>
              <w:t>≥95%</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一年</w:t>
            </w:r>
          </w:p>
        </w:tc>
        <w:tc>
          <w:tcPr>
            <w:tcW w:w="5386" w:type="dxa"/>
            <w:vAlign w:val="center"/>
          </w:tcPr>
          <w:p>
            <w:pPr>
              <w:pStyle w:val="15"/>
            </w:pPr>
            <w:r>
              <w:t>一年</w:t>
            </w:r>
          </w:p>
        </w:tc>
        <w:tc>
          <w:tcPr>
            <w:tcW w:w="2268" w:type="dxa"/>
            <w:vAlign w:val="center"/>
          </w:tcPr>
          <w:p>
            <w:pPr>
              <w:pStyle w:val="15"/>
            </w:pPr>
            <w:r>
              <w:t>≤1年</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项目费用</w:t>
            </w:r>
          </w:p>
        </w:tc>
        <w:tc>
          <w:tcPr>
            <w:tcW w:w="5386" w:type="dxa"/>
            <w:vAlign w:val="center"/>
          </w:tcPr>
          <w:p>
            <w:pPr>
              <w:pStyle w:val="15"/>
            </w:pPr>
            <w:r>
              <w:t>项目费用</w:t>
            </w:r>
          </w:p>
        </w:tc>
        <w:tc>
          <w:tcPr>
            <w:tcW w:w="2268" w:type="dxa"/>
            <w:vAlign w:val="center"/>
          </w:tcPr>
          <w:p>
            <w:pPr>
              <w:pStyle w:val="15"/>
            </w:pPr>
            <w:r>
              <w:t>≤8万元</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降低用能成本</w:t>
            </w:r>
          </w:p>
        </w:tc>
        <w:tc>
          <w:tcPr>
            <w:tcW w:w="5386" w:type="dxa"/>
            <w:vAlign w:val="center"/>
          </w:tcPr>
          <w:p>
            <w:pPr>
              <w:pStyle w:val="15"/>
            </w:pPr>
            <w:r>
              <w:t>降低用能成本</w:t>
            </w:r>
          </w:p>
        </w:tc>
        <w:tc>
          <w:tcPr>
            <w:tcW w:w="2268" w:type="dxa"/>
            <w:vAlign w:val="center"/>
          </w:tcPr>
          <w:p>
            <w:pPr>
              <w:pStyle w:val="15"/>
            </w:pPr>
            <w:r>
              <w:t>≥5%</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≥90%</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节能环保减排</w:t>
            </w:r>
          </w:p>
        </w:tc>
        <w:tc>
          <w:tcPr>
            <w:tcW w:w="5386" w:type="dxa"/>
            <w:vAlign w:val="center"/>
          </w:tcPr>
          <w:p>
            <w:pPr>
              <w:pStyle w:val="15"/>
            </w:pPr>
            <w:r>
              <w:t>节能环保减排</w:t>
            </w:r>
          </w:p>
        </w:tc>
        <w:tc>
          <w:tcPr>
            <w:tcW w:w="2268" w:type="dxa"/>
            <w:vAlign w:val="center"/>
          </w:tcPr>
          <w:p>
            <w:pPr>
              <w:pStyle w:val="15"/>
            </w:pPr>
            <w:r>
              <w:t>≥5%</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社会影响力</w:t>
            </w:r>
          </w:p>
        </w:tc>
        <w:tc>
          <w:tcPr>
            <w:tcW w:w="5386" w:type="dxa"/>
            <w:vAlign w:val="center"/>
          </w:tcPr>
          <w:p>
            <w:pPr>
              <w:pStyle w:val="15"/>
            </w:pPr>
            <w:r>
              <w:t>反映方案编制后的影响力，是否提高了统计数据真实性；是否使得地区生产总值核算更加科学；是否加强了部、省、市三级运输量测算方法有效衔接</w:t>
            </w:r>
          </w:p>
        </w:tc>
        <w:tc>
          <w:tcPr>
            <w:tcW w:w="2268" w:type="dxa"/>
            <w:vAlign w:val="center"/>
          </w:tcPr>
          <w:p>
            <w:pPr>
              <w:pStyle w:val="15"/>
            </w:pPr>
            <w:r>
              <w:t>≥5%</w:t>
            </w:r>
          </w:p>
        </w:tc>
        <w:tc>
          <w:tcPr>
            <w:tcW w:w="1276" w:type="dxa"/>
            <w:vAlign w:val="center"/>
          </w:tcPr>
          <w:p>
            <w:pPr>
              <w:pStyle w:val="15"/>
            </w:pPr>
            <w:r>
              <w:t>唐财行【2024】2号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≥90%</w:t>
            </w:r>
          </w:p>
        </w:tc>
        <w:tc>
          <w:tcPr>
            <w:tcW w:w="1276" w:type="dxa"/>
            <w:vAlign w:val="center"/>
          </w:tcPr>
          <w:p>
            <w:pPr>
              <w:pStyle w:val="15"/>
            </w:pPr>
            <w:r>
              <w:t>唐财行【2024】2号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中国共产党唐山市开平区委员会统战部（含所属单位）上年末固定资产金额为</w:t>
      </w:r>
      <w:r>
        <w:rPr>
          <w:rFonts w:hint="eastAsia" w:eastAsia="方正仿宋_GBK" w:cs="Times New Roman"/>
          <w:b w:val="0"/>
          <w:color w:val="000000"/>
          <w:sz w:val="28"/>
          <w:lang w:val="en-US" w:eastAsia="zh-CN"/>
        </w:rPr>
        <w:t>33.12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2"/>
            </w:pPr>
            <w:r>
              <w:t>213中国共产党唐山市开平区委员会统战部</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D520FC-26D3-445E-A37C-AF9CFA210A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F18171C-3AE9-4BE8-8996-B92A3BFCCA49}"/>
  </w:font>
  <w:font w:name="Arial">
    <w:panose1 w:val="020B0604020202020204"/>
    <w:charset w:val="00"/>
    <w:family w:val="auto"/>
    <w:pitch w:val="default"/>
    <w:sig w:usb0="E0002AFF" w:usb1="C0007843" w:usb2="00000009" w:usb3="00000000" w:csb0="400001FF" w:csb1="FFFF0000"/>
    <w:embedRegular r:id="rId3" w:fontKey="{792E4E92-F88B-4FBB-99F8-61987A10A792}"/>
  </w:font>
  <w:font w:name="方正仿宋_GBK">
    <w:panose1 w:val="02000000000000000000"/>
    <w:charset w:val="86"/>
    <w:family w:val="auto"/>
    <w:pitch w:val="default"/>
    <w:sig w:usb0="00000000" w:usb1="00000000" w:usb2="00000000" w:usb3="00000000" w:csb0="00000000" w:csb1="00000000"/>
    <w:embedRegular r:id="rId4" w:fontKey="{DB9D2E08-87B4-4A50-B749-94E58531288A}"/>
  </w:font>
  <w:font w:name="方正小标宋_GBK">
    <w:panose1 w:val="02000000000000000000"/>
    <w:charset w:val="00"/>
    <w:family w:val="auto"/>
    <w:pitch w:val="default"/>
    <w:sig w:usb0="00000000" w:usb1="00000000" w:usb2="00000000" w:usb3="00000000" w:csb0="00000000" w:csb1="00000000"/>
    <w:embedRegular r:id="rId5" w:fontKey="{31CAF7E6-F04C-460D-B342-6DE69CF6C559}"/>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349A6"/>
    <w:rsid w:val="2AB90C12"/>
    <w:rsid w:val="2DF50400"/>
    <w:rsid w:val="77E048E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1034</Words>
  <Characters>1311</Characters>
  <TotalTime>4</TotalTime>
  <ScaleCrop>false</ScaleCrop>
  <LinksUpToDate>false</LinksUpToDate>
  <CharactersWithSpaces>1342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2025-02-11T11:00:00Z</dcterms:created>
  <dc:creator>admin</dc:creator>
  <cp:lastModifiedBy>hp</cp:lastModifiedBy>
  <dcterms:modified xsi:type="dcterms:W3CDTF">2025-03-04T07:07:45Z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eyJoZGlkIjoiZDVkN2NhMDlhMmI2ODk1NzBlYzNlYmU2YmM5ZGNhY2MiLCJ1c2VySWQiOiIyODk1ODk1NjYifQ==</vt:lpwstr>
  </property>
  <property fmtid="{D5CDD505-2E9C-101B-9397-08002B2CF9AE}" pid="3" name="KSOProductBuildVer">
    <vt:lpwstr>2052-11.8.2.8875</vt:lpwstr>
  </property>
  <property fmtid="{D5CDD505-2E9C-101B-9397-08002B2CF9AE}" pid="4" name="ICV">
    <vt:lpwstr>69245E9AD9FF41B79B30BC67ECCA73F6_13</vt:lpwstr>
  </property>
</Properties>
</file>