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36"/>
          <w:szCs w:val="36"/>
          <w:highlight w:val="none"/>
          <w:lang w:val="en-US" w:eastAsia="zh-CN"/>
        </w:rPr>
      </w:pPr>
      <w:r>
        <w:rPr>
          <w:rFonts w:hint="default" w:ascii="Times New Roman" w:hAnsi="Times New Roman" w:cs="Times New Roman"/>
          <w:color w:val="auto"/>
          <w:sz w:val="36"/>
          <w:szCs w:val="36"/>
          <w:highlight w:val="none"/>
          <w:lang w:val="en-US" w:eastAsia="zh-CN"/>
        </w:rPr>
        <w:t xml:space="preserve">                                                            </w:t>
      </w:r>
    </w:p>
    <w:p>
      <w:pPr>
        <w:rPr>
          <w:rFonts w:hint="default" w:ascii="Times New Roman" w:hAnsi="Times New Roman" w:cs="Times New Roman"/>
          <w:color w:val="auto"/>
          <w:sz w:val="36"/>
          <w:szCs w:val="36"/>
          <w:highlight w:val="none"/>
        </w:rPr>
      </w:pPr>
    </w:p>
    <w:p>
      <w:pPr>
        <w:rPr>
          <w:rFonts w:hint="default" w:ascii="Times New Roman" w:hAnsi="Times New Roman" w:cs="Times New Roman"/>
          <w:color w:val="auto"/>
          <w:sz w:val="36"/>
          <w:szCs w:val="36"/>
          <w:highlight w:val="none"/>
        </w:rPr>
      </w:pPr>
    </w:p>
    <w:p>
      <w:pPr>
        <w:adjustRightInd w:val="0"/>
        <w:snapToGrid w:val="0"/>
        <w:jc w:val="center"/>
        <w:outlineLvl w:val="0"/>
        <w:rPr>
          <w:rFonts w:hint="default" w:ascii="Times New Roman" w:hAnsi="Times New Roman" w:cs="Times New Roman"/>
          <w:b/>
          <w:bCs w:val="0"/>
          <w:color w:val="auto"/>
          <w:sz w:val="72"/>
          <w:szCs w:val="72"/>
          <w:highlight w:val="none"/>
        </w:rPr>
      </w:pPr>
      <w:bookmarkStart w:id="0" w:name="_Toc32417"/>
      <w:bookmarkStart w:id="1" w:name="_Toc77"/>
      <w:bookmarkStart w:id="2" w:name="_Toc32196"/>
      <w:r>
        <w:rPr>
          <w:rFonts w:hint="default" w:ascii="Times New Roman" w:hAnsi="Times New Roman" w:cs="Times New Roman"/>
          <w:b/>
          <w:bCs w:val="0"/>
          <w:color w:val="auto"/>
          <w:sz w:val="72"/>
          <w:szCs w:val="72"/>
          <w:highlight w:val="none"/>
        </w:rPr>
        <w:t>建设项目环境影响报告表</w:t>
      </w:r>
      <w:bookmarkEnd w:id="0"/>
      <w:bookmarkEnd w:id="1"/>
      <w:bookmarkEnd w:id="2"/>
    </w:p>
    <w:p>
      <w:pPr>
        <w:adjustRightInd w:val="0"/>
        <w:snapToGrid w:val="0"/>
        <w:spacing w:before="192" w:beforeLines="80"/>
        <w:jc w:val="center"/>
        <w:rPr>
          <w:rFonts w:hint="default" w:ascii="Times New Roman" w:hAnsi="Times New Roman" w:cs="Times New Roman"/>
          <w:b/>
          <w:bCs w:val="0"/>
          <w:color w:val="auto"/>
          <w:sz w:val="48"/>
          <w:szCs w:val="48"/>
          <w:highlight w:val="none"/>
        </w:rPr>
      </w:pPr>
      <w:r>
        <w:rPr>
          <w:rFonts w:hint="default" w:ascii="Times New Roman" w:hAnsi="Times New Roman" w:cs="Times New Roman"/>
          <w:b/>
          <w:bCs w:val="0"/>
          <w:color w:val="auto"/>
          <w:sz w:val="48"/>
          <w:szCs w:val="48"/>
          <w:highlight w:val="none"/>
        </w:rPr>
        <w:t>（污染影响类）</w:t>
      </w:r>
    </w:p>
    <w:p>
      <w:pPr>
        <w:adjustRightInd w:val="0"/>
        <w:snapToGrid w:val="0"/>
        <w:spacing w:line="288" w:lineRule="auto"/>
        <w:jc w:val="center"/>
        <w:outlineLvl w:val="9"/>
        <w:rPr>
          <w:rFonts w:hint="default" w:ascii="Times New Roman" w:hAnsi="Times New Roman" w:cs="Times New Roman"/>
          <w:b/>
          <w:bCs w:val="0"/>
          <w:color w:val="auto"/>
          <w:kern w:val="44"/>
          <w:sz w:val="44"/>
          <w:szCs w:val="44"/>
          <w:highlight w:val="none"/>
        </w:rPr>
      </w:pPr>
    </w:p>
    <w:p>
      <w:pPr>
        <w:ind w:firstLine="1040"/>
        <w:rPr>
          <w:rFonts w:hint="default" w:ascii="Times New Roman" w:hAnsi="Times New Roman" w:cs="Times New Roman"/>
          <w:b/>
          <w:bCs w:val="0"/>
          <w:color w:val="auto"/>
          <w:sz w:val="44"/>
          <w:szCs w:val="44"/>
          <w:highlight w:val="none"/>
        </w:rPr>
      </w:pPr>
    </w:p>
    <w:p>
      <w:pPr>
        <w:pStyle w:val="10"/>
        <w:rPr>
          <w:rFonts w:hint="default" w:ascii="Times New Roman" w:hAnsi="Times New Roman" w:cs="Times New Roman"/>
          <w:b/>
          <w:bCs w:val="0"/>
          <w:color w:val="auto"/>
          <w:sz w:val="44"/>
          <w:szCs w:val="44"/>
          <w:highlight w:val="none"/>
        </w:rPr>
      </w:pPr>
    </w:p>
    <w:p>
      <w:pPr>
        <w:rPr>
          <w:rFonts w:hint="default" w:ascii="Times New Roman" w:hAnsi="Times New Roman" w:cs="Times New Roman"/>
          <w:b/>
          <w:bCs w:val="0"/>
          <w:color w:val="auto"/>
          <w:highlight w:val="none"/>
        </w:rPr>
      </w:pPr>
    </w:p>
    <w:p>
      <w:pPr>
        <w:pStyle w:val="6"/>
        <w:rPr>
          <w:rFonts w:hint="default" w:ascii="Times New Roman" w:hAnsi="Times New Roman" w:cs="Times New Roman"/>
          <w:b/>
          <w:bCs w:val="0"/>
          <w:color w:val="auto"/>
          <w:sz w:val="44"/>
          <w:szCs w:val="44"/>
          <w:highlight w:val="none"/>
        </w:rPr>
      </w:pPr>
    </w:p>
    <w:p>
      <w:pPr>
        <w:pStyle w:val="15"/>
        <w:rPr>
          <w:rFonts w:hint="default" w:ascii="Times New Roman" w:hAnsi="Times New Roman" w:cs="Times New Roman"/>
          <w:b/>
          <w:bCs w:val="0"/>
          <w:color w:val="auto"/>
          <w:sz w:val="44"/>
          <w:szCs w:val="44"/>
          <w:highlight w:val="none"/>
        </w:rPr>
      </w:pPr>
    </w:p>
    <w:p>
      <w:pPr>
        <w:rPr>
          <w:rFonts w:hint="default" w:ascii="Times New Roman" w:hAnsi="Times New Roman" w:cs="Times New Roman"/>
          <w:b/>
          <w:bCs w:val="0"/>
          <w:color w:val="auto"/>
          <w:sz w:val="44"/>
          <w:szCs w:val="44"/>
          <w:highlight w:val="none"/>
        </w:rPr>
      </w:pPr>
    </w:p>
    <w:p>
      <w:pPr>
        <w:pStyle w:val="28"/>
        <w:rPr>
          <w:rFonts w:hint="default" w:ascii="Times New Roman" w:hAnsi="Times New Roman" w:cs="Times New Roman"/>
          <w:b/>
          <w:bCs w:val="0"/>
          <w:color w:val="auto"/>
          <w:sz w:val="44"/>
          <w:szCs w:val="44"/>
          <w:highlight w:val="none"/>
        </w:rPr>
      </w:pPr>
    </w:p>
    <w:p>
      <w:pPr>
        <w:pStyle w:val="28"/>
        <w:rPr>
          <w:rFonts w:hint="default" w:ascii="Times New Roman" w:hAnsi="Times New Roman" w:cs="Times New Roman"/>
          <w:b/>
          <w:bCs w:val="0"/>
          <w:color w:val="auto"/>
          <w:sz w:val="44"/>
          <w:szCs w:val="44"/>
          <w:highlight w:val="none"/>
        </w:rPr>
      </w:pPr>
    </w:p>
    <w:p>
      <w:pPr>
        <w:pStyle w:val="28"/>
        <w:rPr>
          <w:rFonts w:hint="default" w:ascii="Times New Roman" w:hAnsi="Times New Roman" w:cs="Times New Roman"/>
          <w:b/>
          <w:bCs w:val="0"/>
          <w:color w:val="auto"/>
          <w:sz w:val="44"/>
          <w:szCs w:val="44"/>
          <w:highlight w:val="none"/>
        </w:rPr>
      </w:pPr>
    </w:p>
    <w:p>
      <w:pPr>
        <w:rPr>
          <w:rFonts w:hint="default" w:ascii="Times New Roman" w:hAnsi="Times New Roman" w:cs="Times New Roman"/>
          <w:b/>
          <w:bCs w:val="0"/>
          <w:color w:val="auto"/>
          <w:highlight w:val="none"/>
        </w:rPr>
      </w:pPr>
    </w:p>
    <w:p>
      <w:pPr>
        <w:pStyle w:val="6"/>
        <w:rPr>
          <w:rFonts w:hint="default" w:ascii="Times New Roman" w:hAnsi="Times New Roman" w:cs="Times New Roman"/>
          <w:b/>
          <w:bCs w:val="0"/>
          <w:color w:val="auto"/>
          <w:highlight w:val="none"/>
        </w:rPr>
      </w:pPr>
    </w:p>
    <w:p>
      <w:pPr>
        <w:adjustRightInd w:val="0"/>
        <w:snapToGrid w:val="0"/>
        <w:spacing w:line="288" w:lineRule="auto"/>
        <w:jc w:val="left"/>
        <w:rPr>
          <w:rFonts w:hint="default" w:ascii="Times New Roman" w:hAnsi="Times New Roman" w:cs="Times New Roman"/>
          <w:b/>
          <w:bCs w:val="0"/>
          <w:color w:val="auto"/>
          <w:sz w:val="36"/>
          <w:szCs w:val="36"/>
          <w:highlight w:val="none"/>
        </w:rPr>
      </w:pPr>
    </w:p>
    <w:p>
      <w:pPr>
        <w:adjustRightInd w:val="0"/>
        <w:snapToGrid w:val="0"/>
        <w:spacing w:line="288" w:lineRule="auto"/>
        <w:jc w:val="center"/>
        <w:rPr>
          <w:rFonts w:hint="default" w:ascii="Times New Roman" w:hAnsi="Times New Roman" w:cs="Times New Roman"/>
          <w:b/>
          <w:bCs w:val="0"/>
          <w:color w:val="auto"/>
          <w:sz w:val="32"/>
          <w:szCs w:val="32"/>
          <w:highlight w:val="none"/>
          <w:u w:val="none"/>
          <w:lang w:val="en-US" w:eastAsia="zh-CN"/>
        </w:rPr>
      </w:pPr>
      <w:r>
        <w:rPr>
          <w:rFonts w:hint="default" w:ascii="Times New Roman" w:hAnsi="Times New Roman" w:cs="Times New Roman"/>
          <w:b/>
          <w:bCs w:val="0"/>
          <w:color w:val="auto"/>
          <w:sz w:val="32"/>
          <w:szCs w:val="32"/>
          <w:highlight w:val="none"/>
          <w:u w:val="none"/>
        </w:rPr>
        <w:t>项目名称：</w:t>
      </w:r>
      <w:bookmarkStart w:id="3" w:name="OLE_LINK2"/>
      <w:r>
        <w:rPr>
          <w:rFonts w:hint="eastAsia" w:cs="Times New Roman"/>
          <w:b/>
          <w:bCs w:val="0"/>
          <w:color w:val="auto"/>
          <w:sz w:val="32"/>
          <w:szCs w:val="32"/>
          <w:highlight w:val="none"/>
          <w:u w:val="none"/>
          <w:lang w:val="en-US" w:eastAsia="zh-CN"/>
        </w:rPr>
        <w:t>唐山市开平区云兴陶瓷制品有限公司</w:t>
      </w:r>
    </w:p>
    <w:p>
      <w:pPr>
        <w:adjustRightInd w:val="0"/>
        <w:snapToGrid w:val="0"/>
        <w:spacing w:line="288" w:lineRule="auto"/>
        <w:jc w:val="center"/>
        <w:rPr>
          <w:rFonts w:hint="default" w:ascii="Times New Roman" w:hAnsi="Times New Roman" w:cs="Times New Roman"/>
          <w:b/>
          <w:bCs w:val="0"/>
          <w:color w:val="auto"/>
          <w:sz w:val="32"/>
          <w:szCs w:val="32"/>
          <w:highlight w:val="none"/>
          <w:u w:val="none"/>
          <w:lang w:val="en-US"/>
        </w:rPr>
      </w:pPr>
      <w:r>
        <w:rPr>
          <w:rFonts w:hint="eastAsia" w:cs="Times New Roman"/>
          <w:b/>
          <w:bCs w:val="0"/>
          <w:color w:val="auto"/>
          <w:sz w:val="32"/>
          <w:szCs w:val="32"/>
          <w:highlight w:val="none"/>
          <w:u w:val="none"/>
          <w:lang w:val="en-US" w:eastAsia="zh-CN"/>
        </w:rPr>
        <w:t>年产2500吨陶瓷原料生产线项目</w:t>
      </w:r>
    </w:p>
    <w:bookmarkEnd w:id="3"/>
    <w:p>
      <w:pPr>
        <w:adjustRightInd w:val="0"/>
        <w:snapToGrid w:val="0"/>
        <w:spacing w:line="288" w:lineRule="auto"/>
        <w:jc w:val="center"/>
        <w:rPr>
          <w:rFonts w:hint="default" w:ascii="Times New Roman" w:hAnsi="Times New Roman" w:eastAsia="宋体" w:cs="Times New Roman"/>
          <w:b/>
          <w:bCs w:val="0"/>
          <w:color w:val="auto"/>
          <w:sz w:val="32"/>
          <w:szCs w:val="32"/>
          <w:highlight w:val="none"/>
          <w:u w:val="none"/>
          <w:lang w:val="en-US" w:eastAsia="zh-CN"/>
        </w:rPr>
      </w:pPr>
      <w:r>
        <w:rPr>
          <w:rFonts w:hint="default" w:ascii="Times New Roman" w:hAnsi="Times New Roman" w:cs="Times New Roman"/>
          <w:b/>
          <w:bCs w:val="0"/>
          <w:color w:val="auto"/>
          <w:sz w:val="32"/>
          <w:szCs w:val="32"/>
          <w:highlight w:val="none"/>
          <w:u w:val="none"/>
        </w:rPr>
        <w:t>建设单位（盖章）：</w:t>
      </w:r>
      <w:bookmarkStart w:id="4" w:name="OLE_LINK1"/>
      <w:r>
        <w:rPr>
          <w:rFonts w:hint="eastAsia" w:cs="Times New Roman"/>
          <w:b/>
          <w:bCs w:val="0"/>
          <w:color w:val="auto"/>
          <w:sz w:val="32"/>
          <w:szCs w:val="32"/>
          <w:highlight w:val="none"/>
          <w:u w:val="none"/>
          <w:lang w:val="en-US" w:eastAsia="zh-CN"/>
        </w:rPr>
        <w:t>唐山市开平区云兴陶瓷制品有限公司</w:t>
      </w:r>
      <w:bookmarkEnd w:id="4"/>
    </w:p>
    <w:p>
      <w:pPr>
        <w:adjustRightInd w:val="0"/>
        <w:snapToGrid w:val="0"/>
        <w:spacing w:line="288" w:lineRule="auto"/>
        <w:jc w:val="center"/>
        <w:rPr>
          <w:rFonts w:hint="default" w:ascii="Times New Roman" w:hAnsi="Times New Roman" w:cs="Times New Roman"/>
          <w:b/>
          <w:bCs w:val="0"/>
          <w:color w:val="auto"/>
          <w:sz w:val="32"/>
          <w:szCs w:val="32"/>
          <w:highlight w:val="none"/>
          <w:u w:val="none"/>
          <w:lang w:val="en-US" w:eastAsia="zh-CN"/>
        </w:rPr>
      </w:pPr>
      <w:r>
        <w:rPr>
          <w:rFonts w:hint="default" w:ascii="Times New Roman" w:hAnsi="Times New Roman" w:cs="Times New Roman"/>
          <w:b/>
          <w:bCs w:val="0"/>
          <w:color w:val="auto"/>
          <w:sz w:val="32"/>
          <w:szCs w:val="32"/>
          <w:highlight w:val="none"/>
          <w:u w:val="none"/>
        </w:rPr>
        <w:t>编制日期：202</w:t>
      </w:r>
      <w:r>
        <w:rPr>
          <w:rFonts w:hint="eastAsia" w:cs="Times New Roman"/>
          <w:b/>
          <w:bCs w:val="0"/>
          <w:color w:val="auto"/>
          <w:sz w:val="32"/>
          <w:szCs w:val="32"/>
          <w:highlight w:val="none"/>
          <w:u w:val="none"/>
          <w:lang w:val="en-US" w:eastAsia="zh-CN"/>
        </w:rPr>
        <w:t>5</w:t>
      </w:r>
      <w:r>
        <w:rPr>
          <w:rFonts w:hint="default" w:ascii="Times New Roman" w:hAnsi="Times New Roman" w:cs="Times New Roman"/>
          <w:b/>
          <w:bCs w:val="0"/>
          <w:color w:val="auto"/>
          <w:sz w:val="32"/>
          <w:szCs w:val="32"/>
          <w:highlight w:val="none"/>
          <w:u w:val="none"/>
        </w:rPr>
        <w:t>年</w:t>
      </w:r>
      <w:r>
        <w:rPr>
          <w:rFonts w:hint="eastAsia" w:cs="Times New Roman"/>
          <w:b/>
          <w:bCs w:val="0"/>
          <w:color w:val="auto"/>
          <w:sz w:val="32"/>
          <w:szCs w:val="32"/>
          <w:highlight w:val="none"/>
          <w:u w:val="none"/>
          <w:lang w:val="en-US" w:eastAsia="zh-CN"/>
        </w:rPr>
        <w:t>1</w:t>
      </w:r>
      <w:r>
        <w:rPr>
          <w:rFonts w:hint="default" w:ascii="Times New Roman" w:hAnsi="Times New Roman" w:cs="Times New Roman"/>
          <w:b/>
          <w:bCs w:val="0"/>
          <w:color w:val="auto"/>
          <w:sz w:val="32"/>
          <w:szCs w:val="32"/>
          <w:highlight w:val="none"/>
          <w:u w:val="none"/>
        </w:rPr>
        <w:t>月</w:t>
      </w:r>
    </w:p>
    <w:p>
      <w:pPr>
        <w:adjustRightInd w:val="0"/>
        <w:snapToGrid w:val="0"/>
        <w:spacing w:line="288" w:lineRule="auto"/>
        <w:ind w:firstLine="1040"/>
        <w:jc w:val="center"/>
        <w:rPr>
          <w:rFonts w:hint="default" w:ascii="Times New Roman" w:hAnsi="Times New Roman" w:cs="Times New Roman"/>
          <w:b/>
          <w:bCs w:val="0"/>
          <w:color w:val="auto"/>
          <w:sz w:val="36"/>
          <w:szCs w:val="36"/>
          <w:highlight w:val="none"/>
          <w:u w:val="single"/>
        </w:rPr>
      </w:pPr>
      <w:bookmarkStart w:id="5" w:name="_Hlk57884087"/>
    </w:p>
    <w:bookmarkEnd w:id="5"/>
    <w:p>
      <w:pPr>
        <w:adjustRightInd w:val="0"/>
        <w:snapToGrid w:val="0"/>
        <w:spacing w:line="288" w:lineRule="auto"/>
        <w:jc w:val="center"/>
        <w:rPr>
          <w:rFonts w:hint="default" w:ascii="Times New Roman" w:hAnsi="Times New Roman" w:cs="Times New Roman"/>
          <w:b/>
          <w:bCs w:val="0"/>
          <w:color w:val="auto"/>
          <w:sz w:val="36"/>
          <w:szCs w:val="36"/>
          <w:highlight w:val="none"/>
        </w:rPr>
      </w:pPr>
    </w:p>
    <w:p>
      <w:pPr>
        <w:adjustRightInd w:val="0"/>
        <w:snapToGrid w:val="0"/>
        <w:spacing w:line="288" w:lineRule="auto"/>
        <w:jc w:val="center"/>
        <w:rPr>
          <w:rFonts w:hint="default" w:ascii="Times New Roman" w:hAnsi="Times New Roman" w:cs="Times New Roman"/>
          <w:b/>
          <w:bCs w:val="0"/>
          <w:color w:val="auto"/>
          <w:sz w:val="36"/>
          <w:szCs w:val="36"/>
          <w:highlight w:val="none"/>
        </w:rPr>
      </w:pPr>
      <w:r>
        <w:rPr>
          <w:rFonts w:hint="default" w:ascii="Times New Roman" w:hAnsi="Times New Roman" w:cs="Times New Roman"/>
          <w:b/>
          <w:bCs w:val="0"/>
          <w:color w:val="auto"/>
          <w:sz w:val="36"/>
          <w:szCs w:val="36"/>
          <w:highlight w:val="none"/>
        </w:rPr>
        <w:t>中华人民共和国生态环境部制</w:t>
      </w:r>
    </w:p>
    <w:p>
      <w:pPr>
        <w:adjustRightInd w:val="0"/>
        <w:snapToGrid w:val="0"/>
        <w:spacing w:line="288" w:lineRule="auto"/>
        <w:ind w:firstLine="1040"/>
        <w:rPr>
          <w:rFonts w:hint="default" w:ascii="Times New Roman" w:hAnsi="Times New Roman" w:cs="Times New Roman"/>
          <w:b/>
          <w:bCs w:val="0"/>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adjustRightInd w:val="0"/>
        <w:snapToGrid w:val="0"/>
        <w:spacing w:line="288" w:lineRule="auto"/>
        <w:ind w:firstLine="1040"/>
        <w:rPr>
          <w:rFonts w:hint="default" w:ascii="Times New Roman" w:hAnsi="Times New Roman" w:cs="Times New Roman"/>
          <w:b/>
          <w:bCs w:val="0"/>
          <w:color w:val="auto"/>
          <w:sz w:val="36"/>
          <w:szCs w:val="36"/>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sdt>
      <w:sdtPr>
        <w:rPr>
          <w:rFonts w:hint="default" w:ascii="Times New Roman" w:hAnsi="Times New Roman" w:eastAsia="宋体" w:cs="Times New Roman"/>
          <w:b/>
          <w:bCs/>
          <w:color w:val="auto"/>
          <w:kern w:val="2"/>
          <w:sz w:val="24"/>
          <w:szCs w:val="32"/>
          <w:highlight w:val="none"/>
          <w:lang w:val="en-US" w:eastAsia="zh-CN" w:bidi="ar-SA"/>
        </w:rPr>
        <w:id w:val="147453942"/>
        <w15:color w:val="DBDBDB"/>
        <w:docPartObj>
          <w:docPartGallery w:val="Table of Contents"/>
          <w:docPartUnique/>
        </w:docPartObj>
      </w:sdtPr>
      <w:sdtEndPr>
        <w:rPr>
          <w:rFonts w:hint="default" w:ascii="Times New Roman" w:hAnsi="Times New Roman" w:eastAsia="宋体" w:cs="Times New Roman"/>
          <w:b/>
          <w:bCs/>
          <w:snapToGrid w:val="0"/>
          <w:color w:val="auto"/>
          <w:kern w:val="0"/>
          <w:sz w:val="24"/>
          <w:szCs w:val="30"/>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color w:val="auto"/>
              <w:sz w:val="24"/>
              <w:szCs w:val="32"/>
              <w:highlight w:val="none"/>
            </w:rPr>
          </w:pPr>
          <w:r>
            <w:rPr>
              <w:rFonts w:hint="default" w:ascii="Times New Roman" w:hAnsi="Times New Roman" w:cs="Times New Roman"/>
              <w:color w:val="auto"/>
              <w:sz w:val="30"/>
              <w:szCs w:val="30"/>
              <w:highlight w:val="none"/>
            </w:rPr>
            <w:t>目</w:t>
          </w:r>
          <w:r>
            <w:rPr>
              <w:rFonts w:hint="default" w:ascii="Times New Roman" w:hAnsi="Times New Roman" w:cs="Times New Roman"/>
              <w:color w:val="auto"/>
              <w:sz w:val="30"/>
              <w:szCs w:val="30"/>
              <w:highlight w:val="none"/>
              <w:lang w:val="en-US" w:eastAsia="zh-CN"/>
            </w:rPr>
            <w:t xml:space="preserve">  </w:t>
          </w:r>
          <w:r>
            <w:rPr>
              <w:rFonts w:hint="default" w:ascii="Times New Roman" w:hAnsi="Times New Roman" w:cs="Times New Roman"/>
              <w:color w:val="auto"/>
              <w:sz w:val="30"/>
              <w:szCs w:val="30"/>
              <w:highlight w:val="none"/>
            </w:rPr>
            <w:t>录</w:t>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TOC \o "1-3" \h \u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_Toc10241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bCs/>
              <w:snapToGrid w:val="0"/>
              <w:color w:val="auto"/>
              <w:sz w:val="24"/>
              <w:szCs w:val="24"/>
              <w:highlight w:val="none"/>
            </w:rPr>
            <w:t>一、建设项目基本情况</w:t>
          </w:r>
          <w:r>
            <w:rPr>
              <w:color w:val="auto"/>
              <w:sz w:val="24"/>
              <w:szCs w:val="24"/>
            </w:rPr>
            <w:tab/>
          </w:r>
          <w:r>
            <w:rPr>
              <w:color w:val="auto"/>
              <w:sz w:val="24"/>
              <w:szCs w:val="24"/>
            </w:rPr>
            <w:fldChar w:fldCharType="begin"/>
          </w:r>
          <w:r>
            <w:rPr>
              <w:color w:val="auto"/>
              <w:sz w:val="24"/>
              <w:szCs w:val="24"/>
            </w:rPr>
            <w:instrText xml:space="preserve"> PAGEREF _Toc10241 \h </w:instrText>
          </w:r>
          <w:r>
            <w:rPr>
              <w:color w:val="auto"/>
              <w:sz w:val="24"/>
              <w:szCs w:val="24"/>
            </w:rPr>
            <w:fldChar w:fldCharType="separate"/>
          </w:r>
          <w:r>
            <w:rPr>
              <w:color w:val="auto"/>
              <w:sz w:val="24"/>
              <w:szCs w:val="24"/>
            </w:rPr>
            <w:t>1</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_Toc1981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bCs/>
              <w:snapToGrid w:val="0"/>
              <w:color w:val="auto"/>
              <w:sz w:val="24"/>
              <w:szCs w:val="24"/>
              <w:highlight w:val="none"/>
            </w:rPr>
            <w:t>二、建设项目工程分析</w:t>
          </w:r>
          <w:r>
            <w:rPr>
              <w:color w:val="auto"/>
              <w:sz w:val="24"/>
              <w:szCs w:val="24"/>
            </w:rPr>
            <w:tab/>
          </w:r>
          <w:r>
            <w:rPr>
              <w:color w:val="auto"/>
              <w:sz w:val="24"/>
              <w:szCs w:val="24"/>
            </w:rPr>
            <w:fldChar w:fldCharType="begin"/>
          </w:r>
          <w:r>
            <w:rPr>
              <w:color w:val="auto"/>
              <w:sz w:val="24"/>
              <w:szCs w:val="24"/>
            </w:rPr>
            <w:instrText xml:space="preserve"> PAGEREF _Toc1981 \h </w:instrText>
          </w:r>
          <w:r>
            <w:rPr>
              <w:color w:val="auto"/>
              <w:sz w:val="24"/>
              <w:szCs w:val="24"/>
            </w:rPr>
            <w:fldChar w:fldCharType="separate"/>
          </w:r>
          <w:r>
            <w:rPr>
              <w:color w:val="auto"/>
              <w:sz w:val="24"/>
              <w:szCs w:val="24"/>
            </w:rPr>
            <w:t>21</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_Toc9442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bCs/>
              <w:snapToGrid w:val="0"/>
              <w:color w:val="auto"/>
              <w:sz w:val="24"/>
              <w:szCs w:val="24"/>
              <w:highlight w:val="none"/>
            </w:rPr>
            <w:t>三、区域环境质量现状、环境保护目标及评价标准</w:t>
          </w:r>
          <w:r>
            <w:rPr>
              <w:color w:val="auto"/>
              <w:sz w:val="24"/>
              <w:szCs w:val="24"/>
            </w:rPr>
            <w:tab/>
          </w:r>
          <w:r>
            <w:rPr>
              <w:color w:val="auto"/>
              <w:sz w:val="24"/>
              <w:szCs w:val="24"/>
            </w:rPr>
            <w:fldChar w:fldCharType="begin"/>
          </w:r>
          <w:r>
            <w:rPr>
              <w:color w:val="auto"/>
              <w:sz w:val="24"/>
              <w:szCs w:val="24"/>
            </w:rPr>
            <w:instrText xml:space="preserve"> PAGEREF _Toc9442 \h </w:instrText>
          </w:r>
          <w:r>
            <w:rPr>
              <w:color w:val="auto"/>
              <w:sz w:val="24"/>
              <w:szCs w:val="24"/>
            </w:rPr>
            <w:fldChar w:fldCharType="separate"/>
          </w:r>
          <w:r>
            <w:rPr>
              <w:color w:val="auto"/>
              <w:sz w:val="24"/>
              <w:szCs w:val="24"/>
            </w:rPr>
            <w:t>32</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_Toc20821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bCs/>
              <w:snapToGrid w:val="0"/>
              <w:color w:val="auto"/>
              <w:sz w:val="24"/>
              <w:szCs w:val="24"/>
              <w:highlight w:val="none"/>
            </w:rPr>
            <w:t>四、主要环境影响和保护措施</w:t>
          </w:r>
          <w:r>
            <w:rPr>
              <w:color w:val="auto"/>
              <w:sz w:val="24"/>
              <w:szCs w:val="24"/>
            </w:rPr>
            <w:tab/>
          </w:r>
          <w:r>
            <w:rPr>
              <w:color w:val="auto"/>
              <w:sz w:val="24"/>
              <w:szCs w:val="24"/>
            </w:rPr>
            <w:fldChar w:fldCharType="begin"/>
          </w:r>
          <w:r>
            <w:rPr>
              <w:color w:val="auto"/>
              <w:sz w:val="24"/>
              <w:szCs w:val="24"/>
            </w:rPr>
            <w:instrText xml:space="preserve"> PAGEREF _Toc20821 \h </w:instrText>
          </w:r>
          <w:r>
            <w:rPr>
              <w:color w:val="auto"/>
              <w:sz w:val="24"/>
              <w:szCs w:val="24"/>
            </w:rPr>
            <w:fldChar w:fldCharType="separate"/>
          </w:r>
          <w:r>
            <w:rPr>
              <w:color w:val="auto"/>
              <w:sz w:val="24"/>
              <w:szCs w:val="24"/>
            </w:rPr>
            <w:t>38</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_Toc21891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bCs/>
              <w:snapToGrid w:val="0"/>
              <w:color w:val="auto"/>
              <w:sz w:val="24"/>
              <w:szCs w:val="24"/>
              <w:highlight w:val="none"/>
            </w:rPr>
            <w:t>五、环境保护措施监督检查清单</w:t>
          </w:r>
          <w:r>
            <w:rPr>
              <w:color w:val="auto"/>
              <w:sz w:val="24"/>
              <w:szCs w:val="24"/>
            </w:rPr>
            <w:tab/>
          </w:r>
          <w:r>
            <w:rPr>
              <w:color w:val="auto"/>
              <w:sz w:val="24"/>
              <w:szCs w:val="24"/>
            </w:rPr>
            <w:fldChar w:fldCharType="begin"/>
          </w:r>
          <w:r>
            <w:rPr>
              <w:color w:val="auto"/>
              <w:sz w:val="24"/>
              <w:szCs w:val="24"/>
            </w:rPr>
            <w:instrText xml:space="preserve"> PAGEREF _Toc21891 \h </w:instrText>
          </w:r>
          <w:r>
            <w:rPr>
              <w:color w:val="auto"/>
              <w:sz w:val="24"/>
              <w:szCs w:val="24"/>
            </w:rPr>
            <w:fldChar w:fldCharType="separate"/>
          </w:r>
          <w:r>
            <w:rPr>
              <w:color w:val="auto"/>
              <w:sz w:val="24"/>
              <w:szCs w:val="24"/>
            </w:rPr>
            <w:t>60</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_Toc11481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snapToGrid w:val="0"/>
              <w:color w:val="auto"/>
              <w:sz w:val="24"/>
              <w:szCs w:val="24"/>
              <w:highlight w:val="none"/>
            </w:rPr>
            <w:t>六、结论</w:t>
          </w:r>
          <w:r>
            <w:rPr>
              <w:color w:val="auto"/>
              <w:sz w:val="24"/>
              <w:szCs w:val="24"/>
            </w:rPr>
            <w:tab/>
          </w:r>
          <w:r>
            <w:rPr>
              <w:color w:val="auto"/>
              <w:sz w:val="24"/>
              <w:szCs w:val="24"/>
            </w:rPr>
            <w:fldChar w:fldCharType="begin"/>
          </w:r>
          <w:r>
            <w:rPr>
              <w:color w:val="auto"/>
              <w:sz w:val="24"/>
              <w:szCs w:val="24"/>
            </w:rPr>
            <w:instrText xml:space="preserve"> PAGEREF _Toc11481 \h </w:instrText>
          </w:r>
          <w:r>
            <w:rPr>
              <w:color w:val="auto"/>
              <w:sz w:val="24"/>
              <w:szCs w:val="24"/>
            </w:rPr>
            <w:fldChar w:fldCharType="separate"/>
          </w:r>
          <w:r>
            <w:rPr>
              <w:color w:val="auto"/>
              <w:sz w:val="24"/>
              <w:szCs w:val="24"/>
            </w:rPr>
            <w:t>66</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5"/>
            <w:keepNext w:val="0"/>
            <w:keepLines w:val="0"/>
            <w:pageBreakBefore w:val="0"/>
            <w:tabs>
              <w:tab w:val="right" w:leader="dot" w:pos="8958"/>
            </w:tabs>
            <w:kinsoku/>
            <w:wordWrap/>
            <w:overflowPunct/>
            <w:topLinePunct w:val="0"/>
            <w:autoSpaceDE/>
            <w:autoSpaceDN/>
            <w:bidi w:val="0"/>
            <w:adjustRightInd/>
            <w:snapToGrid/>
            <w:spacing w:line="480" w:lineRule="exact"/>
            <w:textAlignment w:val="auto"/>
            <w:rPr>
              <w:color w:val="auto"/>
              <w:sz w:val="24"/>
              <w:szCs w:val="24"/>
            </w:rPr>
          </w:pPr>
          <w:r>
            <w:rPr>
              <w:rFonts w:hint="default" w:ascii="Times New Roman" w:hAnsi="Times New Roman" w:eastAsia="宋体" w:cs="Times New Roman"/>
              <w:bCs/>
              <w:snapToGrid w:val="0"/>
              <w:color w:val="auto"/>
              <w:kern w:val="0"/>
              <w:sz w:val="24"/>
              <w:szCs w:val="24"/>
              <w:highlight w:val="none"/>
              <w:lang w:val="en-US" w:eastAsia="zh-CN" w:bidi="ar-SA"/>
            </w:rPr>
            <w:fldChar w:fldCharType="begin"/>
          </w:r>
          <w:r>
            <w:rPr>
              <w:rFonts w:hint="default" w:ascii="Times New Roman" w:hAnsi="Times New Roman" w:eastAsia="宋体" w:cs="Times New Roman"/>
              <w:bCs/>
              <w:snapToGrid w:val="0"/>
              <w:color w:val="auto"/>
              <w:kern w:val="0"/>
              <w:sz w:val="24"/>
              <w:szCs w:val="24"/>
              <w:highlight w:val="none"/>
              <w:lang w:val="en-US" w:eastAsia="zh-CN" w:bidi="ar-SA"/>
            </w:rPr>
            <w:instrText xml:space="preserve"> HYPERLINK \l _Toc14822 </w:instrText>
          </w:r>
          <w:r>
            <w:rPr>
              <w:rFonts w:hint="default" w:ascii="Times New Roman" w:hAnsi="Times New Roman" w:eastAsia="宋体" w:cs="Times New Roman"/>
              <w:bCs/>
              <w:snapToGrid w:val="0"/>
              <w:color w:val="auto"/>
              <w:kern w:val="0"/>
              <w:sz w:val="24"/>
              <w:szCs w:val="24"/>
              <w:highlight w:val="none"/>
              <w:lang w:val="en-US" w:eastAsia="zh-CN" w:bidi="ar-SA"/>
            </w:rPr>
            <w:fldChar w:fldCharType="separate"/>
          </w:r>
          <w:r>
            <w:rPr>
              <w:rFonts w:hint="default" w:ascii="Times New Roman" w:hAnsi="Times New Roman" w:cs="Times New Roman"/>
              <w:snapToGrid w:val="0"/>
              <w:color w:val="auto"/>
              <w:sz w:val="24"/>
              <w:szCs w:val="24"/>
              <w:highlight w:val="none"/>
            </w:rPr>
            <w:t>附表</w:t>
          </w:r>
          <w:r>
            <w:rPr>
              <w:color w:val="auto"/>
              <w:sz w:val="24"/>
              <w:szCs w:val="24"/>
            </w:rPr>
            <w:tab/>
          </w:r>
          <w:r>
            <w:rPr>
              <w:color w:val="auto"/>
              <w:sz w:val="24"/>
              <w:szCs w:val="24"/>
            </w:rPr>
            <w:fldChar w:fldCharType="begin"/>
          </w:r>
          <w:r>
            <w:rPr>
              <w:color w:val="auto"/>
              <w:sz w:val="24"/>
              <w:szCs w:val="24"/>
            </w:rPr>
            <w:instrText xml:space="preserve"> PAGEREF _Toc14822 \h </w:instrText>
          </w:r>
          <w:r>
            <w:rPr>
              <w:color w:val="auto"/>
              <w:sz w:val="24"/>
              <w:szCs w:val="24"/>
            </w:rPr>
            <w:fldChar w:fldCharType="separate"/>
          </w:r>
          <w:r>
            <w:rPr>
              <w:color w:val="auto"/>
              <w:sz w:val="24"/>
              <w:szCs w:val="24"/>
            </w:rPr>
            <w:t>67</w:t>
          </w:r>
          <w:r>
            <w:rPr>
              <w:color w:val="auto"/>
              <w:sz w:val="24"/>
              <w:szCs w:val="24"/>
            </w:rPr>
            <w:fldChar w:fldCharType="end"/>
          </w: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9"/>
            <w:rPr>
              <w:rFonts w:hint="default" w:ascii="Times New Roman" w:hAnsi="Times New Roman" w:eastAsia="宋体" w:cs="Times New Roman"/>
              <w:bCs/>
              <w:snapToGrid w:val="0"/>
              <w:color w:val="auto"/>
              <w:kern w:val="0"/>
              <w:sz w:val="24"/>
              <w:szCs w:val="30"/>
              <w:highlight w:val="none"/>
              <w:lang w:val="en-US" w:eastAsia="zh-CN" w:bidi="ar-SA"/>
            </w:rPr>
            <w:sectPr>
              <w:footerReference r:id="rId5" w:type="default"/>
              <w:pgSz w:w="11906" w:h="16838"/>
              <w:pgMar w:top="1587" w:right="1474" w:bottom="1587" w:left="1474" w:header="851" w:footer="1077"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bCs/>
              <w:snapToGrid w:val="0"/>
              <w:color w:val="auto"/>
              <w:kern w:val="0"/>
              <w:sz w:val="24"/>
              <w:szCs w:val="24"/>
              <w:highlight w:val="none"/>
              <w:lang w:val="en-US" w:eastAsia="zh-CN" w:bidi="ar-SA"/>
            </w:rPr>
            <w:fldChar w:fldCharType="end"/>
          </w:r>
        </w:p>
      </w:sdtContent>
    </w:sdt>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9"/>
        <w:rPr>
          <w:rFonts w:hint="default" w:ascii="Times New Roman" w:hAnsi="Times New Roman" w:eastAsia="宋体" w:cs="Times New Roman"/>
          <w:bCs/>
          <w:snapToGrid w:val="0"/>
          <w:color w:val="auto"/>
          <w:kern w:val="0"/>
          <w:sz w:val="24"/>
          <w:szCs w:val="30"/>
          <w:highlight w:val="none"/>
          <w:lang w:val="en-US" w:eastAsia="zh-CN" w:bidi="ar-SA"/>
        </w:rPr>
        <w:sectPr>
          <w:pgSz w:w="11906" w:h="16838"/>
          <w:pgMar w:top="1587" w:right="1474" w:bottom="1587" w:left="1474"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default" w:ascii="Times New Roman" w:hAnsi="Times New Roman" w:cs="Times New Roman"/>
          <w:b/>
          <w:bCs/>
          <w:snapToGrid w:val="0"/>
          <w:color w:val="auto"/>
          <w:sz w:val="30"/>
          <w:szCs w:val="30"/>
          <w:highlight w:val="none"/>
        </w:rPr>
      </w:pPr>
      <w:bookmarkStart w:id="6" w:name="_Toc10241"/>
      <w:bookmarkStart w:id="7" w:name="_Toc22829"/>
      <w:r>
        <w:rPr>
          <w:rFonts w:hint="default" w:ascii="Times New Roman" w:hAnsi="Times New Roman" w:cs="Times New Roman"/>
          <w:b/>
          <w:bCs/>
          <w:snapToGrid w:val="0"/>
          <w:color w:val="auto"/>
          <w:sz w:val="30"/>
          <w:szCs w:val="30"/>
          <w:highlight w:val="none"/>
        </w:rPr>
        <w:t>一、建设项目基本情况</w:t>
      </w:r>
      <w:bookmarkEnd w:id="6"/>
      <w:bookmarkEnd w:id="7"/>
    </w:p>
    <w:tbl>
      <w:tblPr>
        <w:tblStyle w:val="20"/>
        <w:tblW w:w="49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54"/>
        <w:gridCol w:w="2332"/>
        <w:gridCol w:w="1469"/>
        <w:gridCol w:w="3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建设项目名称</w:t>
            </w:r>
          </w:p>
        </w:tc>
        <w:tc>
          <w:tcPr>
            <w:tcW w:w="4151" w:type="pct"/>
            <w:gridSpan w:val="3"/>
            <w:noWrap w:val="0"/>
            <w:vAlign w:val="center"/>
          </w:tcPr>
          <w:p>
            <w:pPr>
              <w:adjustRightInd w:val="0"/>
              <w:snapToGrid w:val="0"/>
              <w:jc w:val="center"/>
              <w:rPr>
                <w:rFonts w:hint="default"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唐山市开平区云兴陶瓷制品有限公司年产2500吨陶瓷原料生产线项目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项目代码</w:t>
            </w:r>
          </w:p>
        </w:tc>
        <w:tc>
          <w:tcPr>
            <w:tcW w:w="4151" w:type="pct"/>
            <w:gridSpan w:val="3"/>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24</w:t>
            </w:r>
            <w:r>
              <w:rPr>
                <w:rFonts w:hint="eastAsia" w:cs="Times New Roman"/>
                <w:color w:val="auto"/>
                <w:sz w:val="24"/>
                <w:highlight w:val="none"/>
                <w:lang w:val="en-US" w:eastAsia="zh-CN"/>
              </w:rPr>
              <w:t>11</w:t>
            </w:r>
            <w:bookmarkStart w:id="29" w:name="_GoBack"/>
            <w:r>
              <w:rPr>
                <w:rFonts w:hint="default" w:ascii="Times New Roman" w:hAnsi="Times New Roman" w:cs="Times New Roman"/>
                <w:color w:val="auto"/>
                <w:sz w:val="24"/>
                <w:highlight w:val="none"/>
                <w:lang w:val="en-US" w:eastAsia="zh-CN"/>
              </w:rPr>
              <w:t>-13</w:t>
            </w:r>
            <w:bookmarkEnd w:id="29"/>
            <w:r>
              <w:rPr>
                <w:rFonts w:hint="default" w:ascii="Times New Roman" w:hAnsi="Times New Roman" w:cs="Times New Roman"/>
                <w:color w:val="auto"/>
                <w:sz w:val="24"/>
                <w:highlight w:val="none"/>
                <w:lang w:val="en-US" w:eastAsia="zh-CN"/>
              </w:rPr>
              <w:t>0205-89-0</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650704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建设单位联系人</w:t>
            </w:r>
          </w:p>
        </w:tc>
        <w:tc>
          <w:tcPr>
            <w:tcW w:w="1297" w:type="pct"/>
            <w:noWrap w:val="0"/>
            <w:vAlign w:val="center"/>
          </w:tcPr>
          <w:p>
            <w:pPr>
              <w:adjustRightInd w:val="0"/>
              <w:snapToGrid w:val="0"/>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王建金</w:t>
            </w:r>
          </w:p>
        </w:tc>
        <w:tc>
          <w:tcPr>
            <w:tcW w:w="817" w:type="pct"/>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联系方式</w:t>
            </w:r>
          </w:p>
        </w:tc>
        <w:tc>
          <w:tcPr>
            <w:tcW w:w="2036"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13292535444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建设地点</w:t>
            </w:r>
          </w:p>
        </w:tc>
        <w:tc>
          <w:tcPr>
            <w:tcW w:w="4151" w:type="pct"/>
            <w:gridSpan w:val="3"/>
            <w:noWrap w:val="0"/>
            <w:vAlign w:val="center"/>
          </w:tcPr>
          <w:p>
            <w:pPr>
              <w:adjustRightInd w:val="0"/>
              <w:snapToGrid w:val="0"/>
              <w:jc w:val="center"/>
              <w:rPr>
                <w:rFonts w:hint="default" w:ascii="Times New Roman" w:hAnsi="Times New Roman" w:cs="Times New Roman"/>
                <w:color w:val="auto"/>
                <w:sz w:val="24"/>
                <w:highlight w:val="none"/>
                <w:lang w:val="en-US" w:eastAsia="zh-CN"/>
              </w:rPr>
            </w:pPr>
            <w:bookmarkStart w:id="8" w:name="OLE_LINK3"/>
            <w:r>
              <w:rPr>
                <w:rFonts w:hint="eastAsia" w:cs="Times New Roman"/>
                <w:color w:val="auto"/>
                <w:sz w:val="24"/>
                <w:highlight w:val="none"/>
                <w:lang w:val="en-US" w:eastAsia="zh-CN"/>
              </w:rPr>
              <w:t>唐山市开平区栗园镇荆各庄村西南，唐山市开平云鹏陶瓷材料有限公司东侧</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地理坐标</w:t>
            </w:r>
          </w:p>
        </w:tc>
        <w:tc>
          <w:tcPr>
            <w:tcW w:w="4151" w:type="pct"/>
            <w:gridSpan w:val="3"/>
            <w:noWrap w:val="0"/>
            <w:vAlign w:val="center"/>
          </w:tcPr>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东经118度1</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分</w:t>
            </w:r>
            <w:r>
              <w:rPr>
                <w:rFonts w:hint="eastAsia" w:cs="Times New Roman"/>
                <w:color w:val="auto"/>
                <w:sz w:val="24"/>
                <w:highlight w:val="none"/>
                <w:lang w:val="en-US" w:eastAsia="zh-CN"/>
              </w:rPr>
              <w:t>47.431</w:t>
            </w:r>
            <w:r>
              <w:rPr>
                <w:rFonts w:hint="default" w:ascii="Times New Roman" w:hAnsi="Times New Roman" w:cs="Times New Roman"/>
                <w:color w:val="auto"/>
                <w:sz w:val="24"/>
                <w:highlight w:val="none"/>
                <w:lang w:val="en-US" w:eastAsia="zh-CN"/>
              </w:rPr>
              <w:t>秒，北纬39度</w:t>
            </w:r>
            <w:r>
              <w:rPr>
                <w:rFonts w:hint="eastAsia" w:cs="Times New Roman"/>
                <w:color w:val="auto"/>
                <w:sz w:val="24"/>
                <w:highlight w:val="none"/>
                <w:lang w:val="en-US" w:eastAsia="zh-CN"/>
              </w:rPr>
              <w:t>44</w:t>
            </w:r>
            <w:r>
              <w:rPr>
                <w:rFonts w:hint="default" w:ascii="Times New Roman" w:hAnsi="Times New Roman" w:cs="Times New Roman"/>
                <w:color w:val="auto"/>
                <w:sz w:val="24"/>
                <w:highlight w:val="none"/>
                <w:lang w:val="en-US" w:eastAsia="zh-CN"/>
              </w:rPr>
              <w:t>分</w:t>
            </w:r>
            <w:r>
              <w:rPr>
                <w:rFonts w:hint="eastAsia" w:cs="Times New Roman"/>
                <w:color w:val="auto"/>
                <w:sz w:val="24"/>
                <w:highlight w:val="none"/>
                <w:lang w:val="en-US" w:eastAsia="zh-CN"/>
              </w:rPr>
              <w:t>30.044</w:t>
            </w:r>
            <w:r>
              <w:rPr>
                <w:rFonts w:hint="default" w:ascii="Times New Roman" w:hAnsi="Times New Roman" w:cs="Times New Roman"/>
                <w:color w:val="auto"/>
                <w:sz w:val="24"/>
                <w:highlight w:val="none"/>
                <w:lang w:val="en-US" w:eastAsia="zh-CN"/>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国民经济</w:t>
            </w:r>
          </w:p>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行业类别</w:t>
            </w:r>
          </w:p>
        </w:tc>
        <w:tc>
          <w:tcPr>
            <w:tcW w:w="1297" w:type="pct"/>
            <w:noWrap w:val="0"/>
            <w:vAlign w:val="center"/>
          </w:tcPr>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C4220 非金属废料和碎屑加工处理</w:t>
            </w:r>
          </w:p>
        </w:tc>
        <w:tc>
          <w:tcPr>
            <w:tcW w:w="817" w:type="pct"/>
            <w:noWrap w:val="0"/>
            <w:vAlign w:val="center"/>
          </w:tcPr>
          <w:p>
            <w:pPr>
              <w:adjustRightInd w:val="0"/>
              <w:snapToGrid w:val="0"/>
              <w:jc w:val="center"/>
              <w:rPr>
                <w:rFonts w:hint="default" w:ascii="Times New Roman" w:hAnsi="Times New Roman" w:cs="Times New Roman"/>
                <w:color w:val="auto"/>
                <w:sz w:val="24"/>
                <w:highlight w:val="none"/>
                <w:lang w:val="en-US" w:eastAsia="zh-CN"/>
              </w:rPr>
            </w:pPr>
            <w:bookmarkStart w:id="9" w:name="_Hlk49843745"/>
            <w:r>
              <w:rPr>
                <w:rFonts w:hint="default" w:ascii="Times New Roman" w:hAnsi="Times New Roman" w:cs="Times New Roman"/>
                <w:color w:val="auto"/>
                <w:sz w:val="24"/>
                <w:highlight w:val="none"/>
                <w:lang w:val="en-US" w:eastAsia="zh-CN"/>
              </w:rPr>
              <w:t>建设项目</w:t>
            </w:r>
          </w:p>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行业类别</w:t>
            </w:r>
            <w:bookmarkEnd w:id="9"/>
          </w:p>
        </w:tc>
        <w:tc>
          <w:tcPr>
            <w:tcW w:w="2036" w:type="pct"/>
            <w:noWrap w:val="0"/>
            <w:vAlign w:val="center"/>
          </w:tcPr>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三十九、废弃资源综合利用业 </w:t>
            </w:r>
          </w:p>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42--85.非金属废料和碎屑加工 </w:t>
            </w:r>
          </w:p>
          <w:p>
            <w:pPr>
              <w:adjustRightInd w:val="0"/>
              <w:snapToGrid w:val="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处理 422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建设性质</w:t>
            </w:r>
          </w:p>
        </w:tc>
        <w:tc>
          <w:tcPr>
            <w:tcW w:w="1297" w:type="pct"/>
            <w:noWrap w:val="0"/>
            <w:vAlign w:val="center"/>
          </w:tcPr>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新建（迁建）</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改建</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扩建</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技术改造</w:t>
            </w:r>
          </w:p>
        </w:tc>
        <w:tc>
          <w:tcPr>
            <w:tcW w:w="817" w:type="pct"/>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申报情形</w:t>
            </w:r>
          </w:p>
        </w:tc>
        <w:tc>
          <w:tcPr>
            <w:tcW w:w="2036" w:type="pct"/>
            <w:noWrap w:val="0"/>
            <w:vAlign w:val="center"/>
          </w:tcPr>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 xml:space="preserve">首次申报项目             </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不予批准后再次申报项目</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 xml:space="preserve">超五年重新审核项目     </w:t>
            </w:r>
          </w:p>
          <w:p>
            <w:pPr>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项目审批（核准/备案）部门</w:t>
            </w:r>
          </w:p>
        </w:tc>
        <w:tc>
          <w:tcPr>
            <w:tcW w:w="1297"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唐山市开平区发展改革局</w:t>
            </w:r>
          </w:p>
        </w:tc>
        <w:tc>
          <w:tcPr>
            <w:tcW w:w="817" w:type="pct"/>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项目审批（核准/备案）文号</w:t>
            </w:r>
          </w:p>
        </w:tc>
        <w:tc>
          <w:tcPr>
            <w:tcW w:w="2036" w:type="pct"/>
            <w:noWrap w:val="0"/>
            <w:vAlign w:val="center"/>
          </w:tcPr>
          <w:p>
            <w:pPr>
              <w:adjustRightInd w:val="0"/>
              <w:snapToGrid w:val="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开发改备字〔2024〕</w:t>
            </w:r>
            <w:r>
              <w:rPr>
                <w:rFonts w:hint="eastAsia" w:cs="Times New Roman"/>
                <w:color w:val="auto"/>
                <w:sz w:val="24"/>
                <w:highlight w:val="none"/>
                <w:lang w:val="en-US" w:eastAsia="zh-CN"/>
              </w:rPr>
              <w:t>342号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总投资（万元）</w:t>
            </w:r>
          </w:p>
        </w:tc>
        <w:tc>
          <w:tcPr>
            <w:tcW w:w="1297"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400</w:t>
            </w:r>
          </w:p>
        </w:tc>
        <w:tc>
          <w:tcPr>
            <w:tcW w:w="817" w:type="pct"/>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2036"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环保投资占比</w:t>
            </w:r>
          </w:p>
        </w:tc>
        <w:tc>
          <w:tcPr>
            <w:tcW w:w="1297"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10%</w:t>
            </w:r>
          </w:p>
        </w:tc>
        <w:tc>
          <w:tcPr>
            <w:tcW w:w="817" w:type="pct"/>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施工工期</w:t>
            </w:r>
          </w:p>
        </w:tc>
        <w:tc>
          <w:tcPr>
            <w:tcW w:w="2036" w:type="pct"/>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3个</w:t>
            </w:r>
            <w:r>
              <w:rPr>
                <w:rFonts w:hint="default" w:ascii="Times New Roman" w:hAnsi="Times New Roman" w:cs="Times New Roman"/>
                <w:color w:val="auto"/>
                <w:sz w:val="24"/>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48" w:type="pct"/>
            <w:noWrap w:val="0"/>
            <w:tcMar>
              <w:top w:w="16" w:type="dxa"/>
              <w:left w:w="16" w:type="dxa"/>
              <w:right w:w="16" w:type="dxa"/>
            </w:tcMar>
            <w:vAlign w:val="center"/>
          </w:tcPr>
          <w:p>
            <w:pPr>
              <w:adjustRightInd w:val="0"/>
              <w:snapToGrid w:val="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是否开工建设</w:t>
            </w:r>
          </w:p>
        </w:tc>
        <w:tc>
          <w:tcPr>
            <w:tcW w:w="1297" w:type="pct"/>
            <w:noWrap w:val="0"/>
            <w:vAlign w:val="center"/>
          </w:tcPr>
          <w:p>
            <w:pPr>
              <w:adjustRightInd w:val="0"/>
              <w:snapToGrid w:val="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否</w:t>
            </w:r>
          </w:p>
          <w:p>
            <w:pPr>
              <w:adjustRightInd w:val="0"/>
              <w:snapToGrid w:val="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是：</w:t>
            </w:r>
            <w:r>
              <w:rPr>
                <w:rFonts w:hint="default" w:ascii="Times New Roman" w:hAnsi="Times New Roman" w:cs="Times New Roman"/>
                <w:color w:val="auto"/>
                <w:sz w:val="24"/>
                <w:highlight w:val="none"/>
                <w:u w:val="single"/>
              </w:rPr>
              <w:t xml:space="preserve">             </w:t>
            </w:r>
          </w:p>
        </w:tc>
        <w:tc>
          <w:tcPr>
            <w:tcW w:w="817" w:type="pct"/>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用地（用海）</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pacing w:val="-6"/>
                <w:sz w:val="24"/>
                <w:highlight w:val="none"/>
              </w:rPr>
              <w:t>面积（m</w:t>
            </w:r>
            <w:r>
              <w:rPr>
                <w:rFonts w:hint="default" w:ascii="Times New Roman" w:hAnsi="Times New Roman" w:cs="Times New Roman"/>
                <w:color w:val="auto"/>
                <w:spacing w:val="-6"/>
                <w:sz w:val="24"/>
                <w:highlight w:val="none"/>
                <w:vertAlign w:val="superscript"/>
              </w:rPr>
              <w:t>2</w:t>
            </w:r>
            <w:r>
              <w:rPr>
                <w:rFonts w:hint="default" w:ascii="Times New Roman" w:hAnsi="Times New Roman" w:cs="Times New Roman"/>
                <w:color w:val="auto"/>
                <w:spacing w:val="-6"/>
                <w:sz w:val="24"/>
                <w:highlight w:val="none"/>
              </w:rPr>
              <w:t>）</w:t>
            </w:r>
          </w:p>
        </w:tc>
        <w:tc>
          <w:tcPr>
            <w:tcW w:w="2036" w:type="pct"/>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6666.7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48" w:type="pct"/>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rPr>
            </w:pPr>
            <w:r>
              <w:rPr>
                <w:rFonts w:hint="default" w:ascii="Times New Roman" w:hAnsi="Times New Roman" w:cs="Times New Roman"/>
                <w:b w:val="0"/>
                <w:bCs w:val="0"/>
                <w:color w:val="auto"/>
                <w:kern w:val="0"/>
                <w:sz w:val="24"/>
                <w:highlight w:val="none"/>
              </w:rPr>
              <w:t>专项评价设置情况</w:t>
            </w:r>
          </w:p>
        </w:tc>
        <w:tc>
          <w:tcPr>
            <w:tcW w:w="4151"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规划情况</w:t>
            </w:r>
          </w:p>
        </w:tc>
        <w:tc>
          <w:tcPr>
            <w:tcW w:w="4151"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48" w:type="pct"/>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规划环境影响评价情况</w:t>
            </w:r>
          </w:p>
        </w:tc>
        <w:tc>
          <w:tcPr>
            <w:tcW w:w="4151" w:type="pct"/>
            <w:gridSpan w:val="3"/>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48" w:type="pct"/>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规划及规划环境影响评价符合性分析</w:t>
            </w:r>
          </w:p>
        </w:tc>
        <w:tc>
          <w:tcPr>
            <w:tcW w:w="4151" w:type="pct"/>
            <w:gridSpan w:val="3"/>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8" w:type="pct"/>
            <w:noWrap w:val="0"/>
            <w:vAlign w:val="center"/>
          </w:tcPr>
          <w:p>
            <w:pPr>
              <w:autoSpaceDE w:val="0"/>
              <w:autoSpaceDN w:val="0"/>
              <w:adjustRightInd w:val="0"/>
              <w:snapToGrid w:val="0"/>
              <w:jc w:val="center"/>
              <w:rPr>
                <w:rFonts w:hint="default" w:ascii="Times New Roman" w:hAnsi="Times New Roman" w:cs="Times New Roman"/>
                <w:b w:val="0"/>
                <w:bCs w:val="0"/>
                <w:color w:val="auto"/>
                <w:kern w:val="0"/>
                <w:sz w:val="24"/>
                <w:highlight w:val="none"/>
              </w:rPr>
            </w:pPr>
            <w:r>
              <w:rPr>
                <w:rFonts w:hint="default" w:ascii="Times New Roman" w:hAnsi="Times New Roman" w:cs="Times New Roman"/>
                <w:b w:val="0"/>
                <w:bCs w:val="0"/>
                <w:color w:val="auto"/>
                <w:kern w:val="0"/>
                <w:sz w:val="24"/>
                <w:highlight w:val="none"/>
              </w:rPr>
              <w:t>其他符合性分析</w:t>
            </w:r>
          </w:p>
        </w:tc>
        <w:tc>
          <w:tcPr>
            <w:tcW w:w="4151"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产业政策</w:t>
            </w:r>
            <w:r>
              <w:rPr>
                <w:rFonts w:hint="default" w:ascii="Times New Roman" w:hAnsi="Times New Roman" w:cs="Times New Roman"/>
                <w:b/>
                <w:bCs/>
                <w:color w:val="auto"/>
                <w:sz w:val="24"/>
                <w:szCs w:val="24"/>
                <w:highlight w:val="none"/>
                <w:lang w:val="en-US" w:eastAsia="zh-CN"/>
              </w:rPr>
              <w:t>符合性分析</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eastAsia" w:cs="Times New Roman"/>
                <w:color w:val="auto"/>
                <w:sz w:val="24"/>
                <w:highlight w:val="none"/>
                <w:lang w:val="en-US" w:eastAsia="zh-CN"/>
              </w:rPr>
              <w:t>唐山市开平区云兴陶瓷制品有限公司年产2500吨陶瓷原料生产线项目</w:t>
            </w:r>
            <w:r>
              <w:rPr>
                <w:rFonts w:hint="default" w:ascii="Times New Roman" w:hAnsi="Times New Roman" w:cs="Times New Roman"/>
                <w:color w:val="auto"/>
                <w:sz w:val="24"/>
                <w:szCs w:val="24"/>
                <w:highlight w:val="none"/>
                <w:lang w:val="en-US" w:eastAsia="zh-CN"/>
              </w:rPr>
              <w:t>已于2024年</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16</w:t>
            </w:r>
            <w:r>
              <w:rPr>
                <w:rFonts w:hint="default" w:ascii="Times New Roman" w:hAnsi="Times New Roman" w:cs="Times New Roman"/>
                <w:color w:val="auto"/>
                <w:sz w:val="24"/>
                <w:szCs w:val="24"/>
                <w:highlight w:val="none"/>
                <w:lang w:val="en-US" w:eastAsia="zh-CN"/>
              </w:rPr>
              <w:t>日在</w:t>
            </w:r>
            <w:r>
              <w:rPr>
                <w:rFonts w:hint="default" w:ascii="Times New Roman" w:hAnsi="Times New Roman" w:cs="Times New Roman"/>
                <w:color w:val="auto"/>
                <w:sz w:val="24"/>
                <w:highlight w:val="none"/>
                <w:lang w:eastAsia="zh-CN"/>
              </w:rPr>
              <w:t>唐山市开平区发展改革局</w:t>
            </w:r>
            <w:r>
              <w:rPr>
                <w:rFonts w:hint="default" w:ascii="Times New Roman" w:hAnsi="Times New Roman" w:cs="Times New Roman"/>
                <w:color w:val="auto"/>
                <w:sz w:val="24"/>
                <w:highlight w:val="none"/>
                <w:lang w:val="en-US" w:eastAsia="zh-CN"/>
              </w:rPr>
              <w:t>取得了备案</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备案文号为</w:t>
            </w:r>
            <w:r>
              <w:rPr>
                <w:rFonts w:hint="default" w:ascii="Times New Roman" w:hAnsi="Times New Roman" w:cs="Times New Roman"/>
                <w:color w:val="auto"/>
                <w:sz w:val="24"/>
                <w:highlight w:val="none"/>
                <w:lang w:val="en-US" w:eastAsia="zh-CN"/>
              </w:rPr>
              <w:t>开发改备字〔2024〕</w:t>
            </w:r>
            <w:r>
              <w:rPr>
                <w:rFonts w:hint="eastAsia" w:cs="Times New Roman"/>
                <w:color w:val="auto"/>
                <w:sz w:val="24"/>
                <w:highlight w:val="none"/>
                <w:lang w:val="en-US" w:eastAsia="zh-CN"/>
              </w:rPr>
              <w:t>342号</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eastAsia="zh-CN"/>
              </w:rPr>
              <w:t>不</w:t>
            </w:r>
            <w:r>
              <w:rPr>
                <w:rFonts w:hint="default" w:ascii="Times New Roman" w:hAnsi="Times New Roman" w:cs="Times New Roman"/>
                <w:color w:val="auto"/>
                <w:sz w:val="24"/>
                <w:szCs w:val="24"/>
                <w:highlight w:val="none"/>
                <w:lang w:val="en-US" w:eastAsia="zh-CN"/>
              </w:rPr>
              <w:t>属于</w:t>
            </w:r>
            <w:r>
              <w:rPr>
                <w:rFonts w:hint="default" w:ascii="Times New Roman" w:hAnsi="Times New Roman" w:eastAsia="宋体" w:cs="Times New Roman"/>
                <w:color w:val="auto"/>
                <w:kern w:val="0"/>
                <w:sz w:val="24"/>
                <w:szCs w:val="24"/>
                <w:lang w:val="en-US" w:eastAsia="zh-CN" w:bidi="ar"/>
              </w:rPr>
              <w:t>《产业结构调整指导目录（2024年本）》 （发展改革委 2023年第7号令）</w:t>
            </w:r>
            <w:r>
              <w:rPr>
                <w:rFonts w:hint="default" w:ascii="Times New Roman" w:hAnsi="Times New Roman" w:cs="Times New Roman"/>
                <w:color w:val="auto"/>
                <w:sz w:val="24"/>
                <w:szCs w:val="24"/>
                <w:highlight w:val="none"/>
                <w:lang w:eastAsia="zh-CN"/>
              </w:rPr>
              <w:t>中限制、淘汰、鼓励类，属于允许类</w:t>
            </w:r>
            <w:r>
              <w:rPr>
                <w:rFonts w:hint="default" w:ascii="Times New Roman" w:hAnsi="Times New Roman" w:cs="Times New Roman"/>
                <w:color w:val="auto"/>
                <w:sz w:val="24"/>
                <w:szCs w:val="24"/>
                <w:highlight w:val="none"/>
              </w:rPr>
              <w:t>；不属于《市场准入负面清单（2022年版）》中禁止准入类及许可准入类。</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kern w:val="0"/>
                <w:sz w:val="24"/>
                <w:highlight w:val="none"/>
                <w:lang w:val="zh-CN" w:eastAsia="zh-TW"/>
              </w:rPr>
              <w:t>综上所述，</w:t>
            </w:r>
            <w:r>
              <w:rPr>
                <w:rFonts w:hint="default" w:ascii="Times New Roman" w:hAnsi="Times New Roman" w:cs="Times New Roman"/>
                <w:color w:val="auto"/>
                <w:sz w:val="24"/>
                <w:szCs w:val="24"/>
                <w:highlight w:val="none"/>
                <w:lang w:eastAsia="zh-CN"/>
              </w:rPr>
              <w:t>本项目符合相关产业政策。</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2、选址合理性分析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szCs w:val="24"/>
                <w:highlight w:val="none"/>
                <w:lang w:val="en-US" w:eastAsia="zh-CN"/>
              </w:rPr>
              <w:t>本项目选址位于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sz w:val="24"/>
                <w:szCs w:val="24"/>
                <w:highlight w:val="none"/>
                <w:lang w:val="en-US" w:eastAsia="zh-CN"/>
              </w:rPr>
              <w:t>，本项目厂区东侧为空地，南侧为</w:t>
            </w:r>
            <w:r>
              <w:rPr>
                <w:rFonts w:hint="eastAsia" w:cs="Times New Roman"/>
                <w:color w:val="auto"/>
                <w:sz w:val="24"/>
                <w:szCs w:val="24"/>
                <w:highlight w:val="none"/>
                <w:lang w:val="en-US" w:eastAsia="zh-CN"/>
              </w:rPr>
              <w:t>空地</w:t>
            </w:r>
            <w:r>
              <w:rPr>
                <w:rFonts w:hint="default" w:ascii="Times New Roman" w:hAnsi="Times New Roman" w:cs="Times New Roman"/>
                <w:color w:val="auto"/>
                <w:sz w:val="24"/>
                <w:szCs w:val="24"/>
                <w:highlight w:val="none"/>
                <w:lang w:val="en-US" w:eastAsia="zh-CN"/>
              </w:rPr>
              <w:t>，西侧为</w:t>
            </w:r>
            <w:r>
              <w:rPr>
                <w:rFonts w:hint="eastAsia" w:cs="Times New Roman"/>
                <w:color w:val="auto"/>
                <w:sz w:val="24"/>
                <w:highlight w:val="none"/>
                <w:lang w:val="en-US" w:eastAsia="zh-CN"/>
              </w:rPr>
              <w:t>唐山市开平云鹏陶瓷材料有限公司</w:t>
            </w:r>
            <w:r>
              <w:rPr>
                <w:rFonts w:hint="default" w:ascii="Times New Roman" w:hAnsi="Times New Roman" w:cs="Times New Roman"/>
                <w:color w:val="auto"/>
                <w:sz w:val="24"/>
                <w:szCs w:val="24"/>
                <w:highlight w:val="none"/>
                <w:lang w:val="en-US" w:eastAsia="zh-CN"/>
              </w:rPr>
              <w:t>，北侧为空地</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根据开平区栗园镇人民政府</w:t>
            </w:r>
            <w:r>
              <w:rPr>
                <w:rFonts w:hint="default" w:ascii="Times New Roman" w:hAnsi="Times New Roman" w:cs="Times New Roman"/>
                <w:color w:val="auto"/>
                <w:sz w:val="24"/>
                <w:szCs w:val="24"/>
                <w:highlight w:val="none"/>
                <w:lang w:val="zh-TW" w:eastAsia="zh-CN"/>
              </w:rPr>
              <w:t>提供的证明可知（见附件）</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zh-TW" w:eastAsia="zh-CN"/>
              </w:rPr>
              <w:t>本项目占地符合当地总体利用规划。且</w:t>
            </w:r>
            <w:r>
              <w:rPr>
                <w:rFonts w:hint="default" w:ascii="Times New Roman" w:hAnsi="Times New Roman" w:cs="Times New Roman"/>
                <w:color w:val="auto"/>
                <w:sz w:val="24"/>
                <w:highlight w:val="none"/>
              </w:rPr>
              <w:t>本项目评价范围内无自然保护区、风景名胜区、生态功能保护区、文物保护地等法律、法规规定的环境敏感区</w:t>
            </w:r>
            <w:r>
              <w:rPr>
                <w:rFonts w:hint="eastAsia" w:cs="Times New Roman"/>
                <w:color w:val="auto"/>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主导风向对本项目周边环境影响分析</w:t>
            </w:r>
            <w:r>
              <w:rPr>
                <w:rFonts w:hint="eastAsia" w:cs="Times New Roman"/>
                <w:color w:val="auto"/>
                <w:kern w:val="0"/>
                <w:sz w:val="24"/>
                <w:szCs w:val="24"/>
                <w:highlight w:val="none"/>
                <w:lang w:val="en-US" w:eastAsia="zh-CN" w:bidi="ar"/>
              </w:rPr>
              <w:t>：</w:t>
            </w:r>
          </w:p>
          <w:p>
            <w:pPr>
              <w:keepNext w:val="0"/>
              <w:keepLines w:val="0"/>
              <w:pageBreakBefore w:val="0"/>
              <w:widowControl w:val="0"/>
              <w:kinsoku/>
              <w:wordWrap/>
              <w:overflowPunct/>
              <w:topLinePunct w:val="0"/>
              <w:bidi w:val="0"/>
              <w:adjustRightInd w:val="0"/>
              <w:snapToGrid w:val="0"/>
              <w:spacing w:line="480" w:lineRule="exact"/>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本项目所在地主导风向为西南风，</w:t>
            </w:r>
            <w:r>
              <w:rPr>
                <w:rFonts w:hint="eastAsia" w:cs="Times New Roman"/>
                <w:color w:val="auto"/>
                <w:kern w:val="0"/>
                <w:sz w:val="24"/>
                <w:szCs w:val="24"/>
                <w:highlight w:val="none"/>
                <w:lang w:val="en-US" w:eastAsia="zh-CN" w:bidi="ar"/>
              </w:rPr>
              <w:t>本项目作为位置</w:t>
            </w:r>
            <w:r>
              <w:rPr>
                <w:rFonts w:hint="eastAsia" w:ascii="Times New Roman" w:hAnsi="Times New Roman" w:eastAsia="宋体" w:cs="Times New Roman"/>
                <w:color w:val="auto"/>
                <w:kern w:val="0"/>
                <w:sz w:val="24"/>
                <w:szCs w:val="24"/>
                <w:highlight w:val="none"/>
                <w:lang w:val="en-US" w:eastAsia="zh-CN" w:bidi="ar"/>
              </w:rPr>
              <w:t>主导风向的下游500m范围内无敏感点分布</w:t>
            </w:r>
            <w:r>
              <w:rPr>
                <w:rFonts w:hint="eastAsia" w:cs="Times New Roman"/>
                <w:color w:val="auto"/>
                <w:kern w:val="0"/>
                <w:sz w:val="24"/>
                <w:szCs w:val="24"/>
                <w:highlight w:val="none"/>
                <w:lang w:val="en-US" w:eastAsia="zh-CN" w:bidi="ar"/>
              </w:rPr>
              <w:t>，同时</w:t>
            </w:r>
            <w:r>
              <w:rPr>
                <w:rFonts w:hint="default" w:ascii="Times New Roman" w:hAnsi="Times New Roman" w:cs="Times New Roman"/>
                <w:color w:val="auto"/>
                <w:kern w:val="0"/>
                <w:sz w:val="24"/>
                <w:szCs w:val="24"/>
                <w:highlight w:val="none"/>
              </w:rPr>
              <w:t>项目厂界外500米范围内</w:t>
            </w:r>
            <w:r>
              <w:rPr>
                <w:rFonts w:hint="eastAsia" w:ascii="Times New Roman" w:hAnsi="Times New Roman" w:eastAsia="宋体" w:cs="Times New Roman"/>
                <w:color w:val="auto"/>
                <w:kern w:val="0"/>
                <w:sz w:val="24"/>
                <w:szCs w:val="24"/>
                <w:highlight w:val="none"/>
                <w:lang w:val="en-US" w:eastAsia="zh-CN" w:bidi="ar"/>
              </w:rPr>
              <w:t>无敏感点分布，故对周边环境影响较小</w:t>
            </w:r>
            <w:r>
              <w:rPr>
                <w:rFonts w:hint="eastAsia" w:cs="Times New Roman"/>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b/>
                <w:bCs/>
                <w:color w:val="auto"/>
                <w:sz w:val="24"/>
                <w:szCs w:val="24"/>
                <w:highlight w:val="none"/>
                <w:lang w:val="en-US" w:eastAsia="zh-CN"/>
              </w:rPr>
            </w:pPr>
            <w:r>
              <w:rPr>
                <w:rFonts w:hint="eastAsia" w:cs="Times New Roman"/>
                <w:color w:val="auto"/>
                <w:kern w:val="0"/>
                <w:sz w:val="24"/>
                <w:highlight w:val="none"/>
                <w:lang w:val="zh-CN" w:eastAsia="zh-TW"/>
              </w:rPr>
              <w:t>综上所述，</w:t>
            </w:r>
            <w:r>
              <w:rPr>
                <w:rFonts w:hint="default" w:ascii="Times New Roman" w:hAnsi="Times New Roman" w:cs="Times New Roman"/>
                <w:color w:val="auto"/>
                <w:kern w:val="0"/>
                <w:sz w:val="24"/>
                <w:highlight w:val="none"/>
                <w:lang w:val="zh-CN" w:eastAsia="zh-TW"/>
              </w:rPr>
              <w:t>项目选址合理</w:t>
            </w:r>
            <w:r>
              <w:rPr>
                <w:rFonts w:hint="default" w:ascii="Times New Roman" w:hAnsi="Times New Roman"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rPr>
                <w:rFonts w:hint="default" w:ascii="Times New Roman" w:hAnsi="Times New Roman" w:cs="Times New Roman"/>
                <w:b/>
                <w:bCs/>
                <w:color w:val="auto"/>
                <w:sz w:val="24"/>
                <w:szCs w:val="24"/>
                <w:highlight w:val="none"/>
                <w:lang w:val="zh-TW" w:eastAsia="zh-TW"/>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zh-TW" w:eastAsia="zh-CN"/>
              </w:rPr>
              <w:t>“</w:t>
            </w:r>
            <w:r>
              <w:rPr>
                <w:rFonts w:hint="default" w:ascii="Times New Roman" w:hAnsi="Times New Roman" w:cs="Times New Roman"/>
                <w:b/>
                <w:bCs/>
                <w:color w:val="auto"/>
                <w:sz w:val="24"/>
                <w:szCs w:val="24"/>
                <w:highlight w:val="none"/>
                <w:lang w:val="zh-TW" w:eastAsia="zh-TW"/>
              </w:rPr>
              <w:t>三线一单</w:t>
            </w:r>
            <w:r>
              <w:rPr>
                <w:rFonts w:hint="default" w:ascii="Times New Roman" w:hAnsi="Times New Roman" w:cs="Times New Roman"/>
                <w:b/>
                <w:bCs/>
                <w:color w:val="auto"/>
                <w:sz w:val="24"/>
                <w:szCs w:val="24"/>
                <w:highlight w:val="none"/>
                <w:lang w:val="zh-TW" w:eastAsia="zh-CN"/>
              </w:rPr>
              <w:t>”</w:t>
            </w:r>
            <w:r>
              <w:rPr>
                <w:rFonts w:hint="default" w:ascii="Times New Roman" w:hAnsi="Times New Roman" w:cs="Times New Roman"/>
                <w:b/>
                <w:bCs/>
                <w:color w:val="auto"/>
                <w:sz w:val="24"/>
                <w:szCs w:val="24"/>
                <w:highlight w:val="none"/>
                <w:lang w:val="zh-TW" w:eastAsia="zh-TW"/>
              </w:rPr>
              <w:t>符合性分析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zh-TW"/>
              </w:rPr>
            </w:pPr>
            <w:r>
              <w:rPr>
                <w:rFonts w:hint="default" w:ascii="Times New Roman" w:hAnsi="Times New Roman" w:cs="Times New Roman"/>
                <w:color w:val="auto"/>
                <w:sz w:val="24"/>
                <w:szCs w:val="24"/>
                <w:highlight w:val="none"/>
                <w:lang w:val="zh-TW"/>
              </w:rPr>
              <w:t>根据《关于以改善环境质量为核心加强环境影响评价管理的通知》</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zh-TW"/>
              </w:rPr>
              <w:t>环环评[2016]150号</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以及</w:t>
            </w:r>
            <w:r>
              <w:rPr>
                <w:rFonts w:hint="default" w:ascii="Times New Roman" w:hAnsi="Times New Roman" w:eastAsia="宋体" w:cs="Times New Roman"/>
                <w:color w:val="auto"/>
                <w:kern w:val="24"/>
                <w:sz w:val="24"/>
                <w:szCs w:val="24"/>
                <w:lang w:eastAsia="zh-CN"/>
              </w:rPr>
              <w:t>《唐山市人民政府关于实施“三线一单”生态环境分区管控的意见》（唐政字〔2021〕48号）及</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唐山市生态环境准入清单动态更新成果</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szCs w:val="24"/>
                <w:highlight w:val="none"/>
                <w:lang w:eastAsia="zh-CN"/>
              </w:rPr>
              <w:t>，加快实施“生态保护红线、环境质量底线、资源利用上线和生态环境准入清单”（</w:t>
            </w:r>
            <w:r>
              <w:rPr>
                <w:rFonts w:hint="default" w:ascii="Times New Roman" w:hAnsi="Times New Roman" w:cs="Times New Roman"/>
                <w:color w:val="auto"/>
                <w:sz w:val="24"/>
                <w:szCs w:val="24"/>
                <w:highlight w:val="none"/>
                <w:lang w:val="zh-TW"/>
              </w:rPr>
              <w:t>以下简称</w:t>
            </w:r>
            <w:r>
              <w:rPr>
                <w:rFonts w:hint="default" w:ascii="Times New Roman" w:hAnsi="Times New Roman" w:cs="Times New Roman"/>
                <w:color w:val="auto"/>
                <w:sz w:val="24"/>
                <w:szCs w:val="24"/>
                <w:highlight w:val="none"/>
                <w:lang w:val="zh-TW" w:eastAsia="zh-CN"/>
              </w:rPr>
              <w:t>“</w:t>
            </w:r>
            <w:r>
              <w:rPr>
                <w:rFonts w:hint="default" w:ascii="Times New Roman" w:hAnsi="Times New Roman" w:cs="Times New Roman"/>
                <w:color w:val="auto"/>
                <w:sz w:val="24"/>
                <w:szCs w:val="24"/>
                <w:highlight w:val="none"/>
                <w:lang w:val="zh-TW"/>
              </w:rPr>
              <w:t>三线一单</w:t>
            </w:r>
            <w:r>
              <w:rPr>
                <w:rFonts w:hint="default" w:ascii="Times New Roman" w:hAnsi="Times New Roman" w:cs="Times New Roman"/>
                <w:color w:val="auto"/>
                <w:sz w:val="24"/>
                <w:szCs w:val="24"/>
                <w:highlight w:val="none"/>
                <w:lang w:val="zh-TW" w:eastAsia="zh-CN"/>
              </w:rPr>
              <w:t>”</w:t>
            </w:r>
            <w:r>
              <w:rPr>
                <w:rFonts w:hint="default" w:ascii="Times New Roman" w:hAnsi="Times New Roman" w:cs="Times New Roman"/>
                <w:color w:val="auto"/>
                <w:sz w:val="24"/>
                <w:szCs w:val="24"/>
                <w:highlight w:val="none"/>
                <w:lang w:eastAsia="zh-CN"/>
              </w:rPr>
              <w:t>），构建生态环境分区管控体系，推动经济高质量发展和生态环境高水平保护协同并进。</w:t>
            </w:r>
            <w:r>
              <w:rPr>
                <w:rFonts w:hint="default" w:ascii="Times New Roman" w:hAnsi="Times New Roman" w:cs="Times New Roman"/>
                <w:color w:val="auto"/>
                <w:sz w:val="24"/>
                <w:szCs w:val="24"/>
                <w:highlight w:val="none"/>
                <w:lang w:val="zh-TW"/>
              </w:rPr>
              <w:t>本项目</w:t>
            </w:r>
            <w:r>
              <w:rPr>
                <w:rFonts w:hint="default" w:ascii="Times New Roman" w:hAnsi="Times New Roman" w:cs="Times New Roman"/>
                <w:color w:val="auto"/>
                <w:sz w:val="24"/>
                <w:szCs w:val="24"/>
                <w:highlight w:val="none"/>
              </w:rPr>
              <w:t>建设与</w:t>
            </w:r>
            <w:r>
              <w:rPr>
                <w:rFonts w:hint="default" w:ascii="Times New Roman" w:hAnsi="Times New Roman" w:cs="Times New Roman"/>
                <w:color w:val="auto"/>
                <w:sz w:val="24"/>
                <w:szCs w:val="24"/>
                <w:highlight w:val="none"/>
                <w:lang w:val="zh-TW"/>
              </w:rPr>
              <w:t>上述要求的</w:t>
            </w:r>
            <w:r>
              <w:rPr>
                <w:rFonts w:hint="default" w:ascii="Times New Roman" w:hAnsi="Times New Roman" w:cs="Times New Roman"/>
                <w:color w:val="auto"/>
                <w:sz w:val="24"/>
                <w:szCs w:val="24"/>
                <w:highlight w:val="none"/>
              </w:rPr>
              <w:t>符合性</w:t>
            </w:r>
            <w:r>
              <w:rPr>
                <w:rFonts w:hint="default" w:ascii="Times New Roman" w:hAnsi="Times New Roman" w:cs="Times New Roman"/>
                <w:color w:val="auto"/>
                <w:sz w:val="24"/>
                <w:szCs w:val="24"/>
                <w:highlight w:val="none"/>
                <w:lang w:val="zh-TW"/>
              </w:rPr>
              <w:t>分析</w:t>
            </w:r>
            <w:r>
              <w:rPr>
                <w:rFonts w:hint="default" w:ascii="Times New Roman" w:hAnsi="Times New Roman" w:eastAsia="宋体" w:cs="Times New Roman"/>
                <w:color w:val="auto"/>
                <w:sz w:val="24"/>
                <w:szCs w:val="24"/>
                <w:highlight w:val="none"/>
                <w:lang w:val="zh-TW"/>
              </w:rPr>
              <w:t>如下：</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）生态保护红线</w:t>
            </w:r>
          </w:p>
          <w:p>
            <w:pPr>
              <w:autoSpaceDE w:val="0"/>
              <w:autoSpaceDN w:val="0"/>
              <w:adjustRightInd w:val="0"/>
              <w:snapToGrid w:val="0"/>
              <w:spacing w:line="46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生态保护红线包括禁止开发区生态红线、重要生态功能区生态红线和生态环境敏感区、脆弱区生态红线。纳入的区域，禁止进行工业化和城镇化开发，从而有效保护我国珍稀、濒危并具代表性的动植物物种及生态系统，维护我国重要生态系统的主导功能。禁止开发区红线范围可包括自然保护区、森林公园、风景名胜区、世界文化自然遗产、地质公园等。</w:t>
            </w:r>
          </w:p>
          <w:p>
            <w:pPr>
              <w:autoSpaceDE w:val="0"/>
              <w:autoSpaceDN w:val="0"/>
              <w:adjustRightInd w:val="0"/>
              <w:snapToGrid w:val="0"/>
              <w:spacing w:line="4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根据《河北省生态保护红线》，唐山市生态保护红线总面积1383.02km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剔除重叠面积）。红线区分布在开平区、古冶区、丰南区、丰润区、滦县、滦南县、玉田县、遵化市、迁西县、迁安市、曹妃甸区，包括重点生态功能区（主要为水源涵养、土壤保持、洪水调蓄和生物多样性保护区）、生态环境敏感脆弱区（主要为河湖滨岸带）、禁止开发区（自然保护区、饮用水水源保护区、森林公园、湿地公园、地质公园、水产种质资源保护区、风景名胜区）。</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eastAsia="宋体" w:cs="Times New Roman"/>
                <w:color w:val="auto"/>
                <w:kern w:val="0"/>
                <w:sz w:val="24"/>
                <w:szCs w:val="24"/>
                <w:highlight w:val="none"/>
                <w:lang w:val="en-US" w:eastAsia="zh-CN" w:bidi="ar"/>
              </w:rPr>
              <w:t>，距离最近的生态保护红线</w:t>
            </w:r>
            <w:r>
              <w:rPr>
                <w:rFonts w:hint="default" w:ascii="Times New Roman" w:hAnsi="Times New Roman" w:cs="Times New Roman"/>
                <w:color w:val="auto"/>
                <w:kern w:val="0"/>
                <w:sz w:val="24"/>
                <w:szCs w:val="24"/>
                <w:highlight w:val="none"/>
                <w:lang w:val="en-US" w:eastAsia="zh-CN" w:bidi="ar"/>
              </w:rPr>
              <w:t>区5130</w:t>
            </w:r>
            <w:r>
              <w:rPr>
                <w:rFonts w:hint="default" w:ascii="Times New Roman" w:hAnsi="Times New Roman" w:eastAsia="宋体" w:cs="Times New Roman"/>
                <w:color w:val="auto"/>
                <w:kern w:val="0"/>
                <w:sz w:val="24"/>
                <w:szCs w:val="24"/>
                <w:highlight w:val="none"/>
                <w:lang w:val="en-US" w:eastAsia="zh-CN" w:bidi="ar"/>
              </w:rPr>
              <w:t>m。本项目与唐山市生态保护红线位置关系图见</w:t>
            </w:r>
            <w:r>
              <w:rPr>
                <w:rFonts w:hint="default" w:ascii="Times New Roman" w:hAnsi="Times New Roman" w:cs="Times New Roman"/>
                <w:color w:val="auto"/>
                <w:kern w:val="0"/>
                <w:sz w:val="24"/>
                <w:szCs w:val="24"/>
                <w:highlight w:val="none"/>
                <w:lang w:val="en-US" w:eastAsia="zh-CN" w:bidi="ar"/>
              </w:rPr>
              <w:t>附图</w:t>
            </w:r>
            <w:r>
              <w:rPr>
                <w:rFonts w:hint="eastAsia" w:cs="Times New Roman"/>
                <w:color w:val="auto"/>
                <w:kern w:val="0"/>
                <w:sz w:val="24"/>
                <w:szCs w:val="24"/>
                <w:highlight w:val="none"/>
                <w:lang w:val="en-US" w:eastAsia="zh-CN" w:bidi="ar"/>
              </w:rPr>
              <w:t>4</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环境质量底线管控要求</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本项目所属区域</w:t>
            </w:r>
            <w:r>
              <w:rPr>
                <w:rFonts w:hint="default" w:ascii="Times New Roman" w:hAnsi="Times New Roman" w:cs="Times New Roman"/>
                <w:color w:val="auto"/>
                <w:sz w:val="24"/>
                <w:szCs w:val="24"/>
                <w:highlight w:val="none"/>
              </w:rPr>
              <w:t>环境质量底线分别为：区域地下水环境质量目标为《地下水质量标准》（GB/T14848-2017）中Ⅲ类标准；区域大气环境质量目标为《环境空气质量标准》（GB3095-2012）及其修改单中的二级标准</w:t>
            </w:r>
            <w:r>
              <w:rPr>
                <w:rFonts w:hint="default" w:ascii="Times New Roman" w:hAnsi="Times New Roman" w:eastAsia="宋体" w:cs="Times New Roman"/>
                <w:color w:val="auto"/>
                <w:sz w:val="24"/>
                <w:szCs w:val="24"/>
                <w:highlight w:val="none"/>
                <w:lang w:eastAsia="zh-CN"/>
              </w:rPr>
              <w:t>；区域声环境质量目标为《声环境质量标准》(GB3096-2008)中的</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类标准；</w:t>
            </w:r>
            <w:r>
              <w:rPr>
                <w:rFonts w:hint="default" w:ascii="Times New Roman" w:hAnsi="Times New Roman" w:eastAsia="宋体" w:cs="Times New Roman"/>
                <w:color w:val="auto"/>
                <w:sz w:val="24"/>
                <w:szCs w:val="24"/>
                <w:highlight w:val="none"/>
                <w:lang w:val="zh-CN" w:eastAsia="zh-CN"/>
              </w:rPr>
              <w:t>土壤环境</w:t>
            </w:r>
            <w:r>
              <w:rPr>
                <w:rFonts w:hint="default" w:ascii="Times New Roman" w:hAnsi="Times New Roman" w:eastAsia="宋体" w:cs="Times New Roman"/>
                <w:color w:val="auto"/>
                <w:sz w:val="24"/>
                <w:szCs w:val="24"/>
                <w:highlight w:val="none"/>
                <w:lang w:eastAsia="zh-CN"/>
              </w:rPr>
              <w:t>质量目标为《土壤环境质量 建设用地土壤污染风险管控标准》（GB36600-2018）第二类用地筛选值标准。</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根据唐山市生态环境局公开发布的《202</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年唐山市生态环境状况 公报》中唐山市空气质量数据可知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区域O</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lang w:eastAsia="zh-CN"/>
              </w:rPr>
              <w:t>和</w:t>
            </w:r>
            <w:r>
              <w:rPr>
                <w:rFonts w:hint="default" w:ascii="Times New Roman" w:hAnsi="Times New Roman" w:cs="Times New Roman"/>
                <w:color w:val="auto"/>
                <w:sz w:val="24"/>
                <w:szCs w:val="24"/>
                <w:highlight w:val="none"/>
              </w:rPr>
              <w:t>PM</w:t>
            </w:r>
            <w:r>
              <w:rPr>
                <w:rFonts w:hint="default" w:ascii="Times New Roman" w:hAnsi="Times New Roman" w:cs="Times New Roman"/>
                <w:color w:val="auto"/>
                <w:sz w:val="24"/>
                <w:szCs w:val="24"/>
                <w:highlight w:val="none"/>
                <w:vertAlign w:val="subscript"/>
                <w:lang w:val="en-US" w:eastAsia="zh-CN"/>
              </w:rPr>
              <w:t>2.5</w:t>
            </w:r>
            <w:r>
              <w:rPr>
                <w:rFonts w:hint="default" w:ascii="Times New Roman" w:hAnsi="Times New Roman" w:cs="Times New Roman"/>
                <w:color w:val="auto"/>
                <w:sz w:val="24"/>
                <w:szCs w:val="24"/>
                <w:highlight w:val="none"/>
              </w:rPr>
              <w:t>存在一定程度污染，NO</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SO</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、CO</w:t>
            </w:r>
            <w:r>
              <w:rPr>
                <w:rFonts w:hint="default" w:ascii="Times New Roman" w:hAnsi="Times New Roman" w:cs="Times New Roman"/>
                <w:color w:val="auto"/>
                <w:sz w:val="24"/>
                <w:szCs w:val="24"/>
                <w:highlight w:val="none"/>
                <w:lang w:eastAsia="zh-CN"/>
              </w:rPr>
              <w:t>和</w:t>
            </w:r>
            <w:r>
              <w:rPr>
                <w:rFonts w:hint="default" w:ascii="Times New Roman" w:hAnsi="Times New Roman" w:cs="Times New Roman"/>
                <w:color w:val="auto"/>
                <w:sz w:val="24"/>
                <w:szCs w:val="24"/>
                <w:highlight w:val="none"/>
              </w:rPr>
              <w:t>PM</w:t>
            </w:r>
            <w:r>
              <w:rPr>
                <w:rFonts w:hint="default" w:ascii="Times New Roman" w:hAnsi="Times New Roman" w:cs="Times New Roman"/>
                <w:color w:val="auto"/>
                <w:sz w:val="24"/>
                <w:szCs w:val="24"/>
                <w:highlight w:val="none"/>
                <w:vertAlign w:val="subscript"/>
                <w:lang w:val="en-US" w:eastAsia="zh-CN"/>
              </w:rPr>
              <w:t>10</w:t>
            </w:r>
            <w:r>
              <w:rPr>
                <w:rFonts w:hint="default" w:ascii="Times New Roman" w:hAnsi="Times New Roman" w:cs="Times New Roman"/>
                <w:color w:val="auto"/>
                <w:sz w:val="24"/>
                <w:szCs w:val="24"/>
                <w:highlight w:val="none"/>
              </w:rPr>
              <w:t>满足《环境空气质量标准》（GB3095-2012）及其修改单中二级标准要求。故项目所在区域环境空气质量属于不达标区。唐山市属于大气污染重点区域，监测数据客观的反映了唐山市环境空气质量的现状。根据《唐山市2022年大气污染综合治理暨稳定</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退后十</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工作方案》的通知可知，通过调整优化产业结构、能源结构，深入开展大气污染治理攻坚行动，重点区域、 重点时段、重点因子、重点问题综合治理攻坚，项目所在区域空气质量将会逐步得到改善</w:t>
            </w:r>
            <w:r>
              <w:rPr>
                <w:rFonts w:hint="default" w:ascii="Times New Roman" w:hAnsi="Times New Roman"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项目对产生的废气、废水、噪声、固废等污染物均采取了严格的治理和处理、处置措施，在一定程度上减少了污染物的排放，污染物均能达标排放。</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综上，本项目建设对环境质量的影响基本可以保持现有水平，符合环境质量底线要求。</w:t>
            </w:r>
          </w:p>
          <w:p>
            <w:pPr>
              <w:keepNext w:val="0"/>
              <w:keepLines w:val="0"/>
              <w:pageBreakBefore w:val="0"/>
              <w:kinsoku/>
              <w:wordWrap/>
              <w:overflowPunct/>
              <w:topLinePunct w:val="0"/>
              <w:bidi w:val="0"/>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资源利用上线管控要求</w:t>
            </w:r>
          </w:p>
          <w:p>
            <w:pPr>
              <w:autoSpaceDE w:val="0"/>
              <w:autoSpaceDN w:val="0"/>
              <w:adjustRightInd w:val="0"/>
              <w:snapToGrid w:val="0"/>
              <w:spacing w:line="46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资源是环境的载体，资源利用上线是各地区能源、水、土地等资源消耗不得突破的“天花板”。</w:t>
            </w:r>
          </w:p>
          <w:p>
            <w:pPr>
              <w:autoSpaceDE w:val="0"/>
              <w:autoSpaceDN w:val="0"/>
              <w:adjustRightInd w:val="0"/>
              <w:snapToGrid w:val="0"/>
              <w:spacing w:line="46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本项目用水取自</w:t>
            </w:r>
            <w:r>
              <w:rPr>
                <w:rFonts w:hint="default" w:ascii="Times New Roman" w:hAnsi="Times New Roman" w:cs="Times New Roman"/>
                <w:color w:val="auto"/>
                <w:sz w:val="24"/>
                <w:lang w:eastAsia="zh-CN"/>
              </w:rPr>
              <w:t>当地自来水管网</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用电由当地电网供给。</w:t>
            </w:r>
          </w:p>
          <w:p>
            <w:pPr>
              <w:keepNext w:val="0"/>
              <w:keepLines w:val="0"/>
              <w:pageBreakBefore w:val="0"/>
              <w:kinsoku/>
              <w:wordWrap/>
              <w:overflowPunct/>
              <w:topLinePunct w:val="0"/>
              <w:bidi w:val="0"/>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环境准入负面清单</w:t>
            </w:r>
          </w:p>
          <w:p>
            <w:pPr>
              <w:keepNext w:val="0"/>
              <w:keepLines w:val="0"/>
              <w:pageBreakBefore w:val="0"/>
              <w:widowControl w:val="0"/>
              <w:kinsoku/>
              <w:wordWrap/>
              <w:overflowPunct/>
              <w:topLinePunct w:val="0"/>
              <w:bidi w:val="0"/>
              <w:adjustRightInd w:val="0"/>
              <w:snapToGrid w:val="0"/>
              <w:spacing w:line="480" w:lineRule="exact"/>
              <w:ind w:firstLine="480" w:firstLineChars="200"/>
              <w:rPr>
                <w:rFonts w:hint="default" w:ascii="Times New Roman" w:hAnsi="Times New Roman" w:eastAsia="宋体" w:cs="Times New Roman"/>
                <w:color w:val="auto"/>
                <w:sz w:val="24"/>
                <w:szCs w:val="24"/>
                <w:highlight w:val="none"/>
                <w:lang w:val="zh-TW" w:eastAsia="zh-TW"/>
              </w:rPr>
            </w:pPr>
            <w:r>
              <w:rPr>
                <w:rFonts w:hint="default" w:ascii="Times New Roman" w:hAnsi="Times New Roman" w:cs="Times New Roman"/>
                <w:color w:val="auto"/>
                <w:sz w:val="24"/>
                <w:szCs w:val="24"/>
                <w:highlight w:val="none"/>
                <w:lang w:eastAsia="zh-CN"/>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w:t>
            </w:r>
            <w:r>
              <w:rPr>
                <w:rFonts w:hint="default" w:ascii="Times New Roman" w:hAnsi="Times New Roman" w:eastAsia="宋体" w:cs="Times New Roman"/>
                <w:color w:val="auto"/>
                <w:sz w:val="24"/>
                <w:szCs w:val="24"/>
                <w:highlight w:val="none"/>
                <w:lang w:eastAsia="zh-CN"/>
              </w:rPr>
              <w:t>约束作用</w:t>
            </w:r>
            <w:r>
              <w:rPr>
                <w:rFonts w:hint="default" w:ascii="Times New Roman" w:hAnsi="Times New Roman" w:eastAsia="宋体" w:cs="Times New Roman"/>
                <w:color w:val="auto"/>
                <w:sz w:val="24"/>
                <w:szCs w:val="24"/>
                <w:highlight w:val="none"/>
                <w:lang w:val="zh-TW" w:eastAsia="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hint="default" w:ascii="Times New Roman" w:hAnsi="Times New Roman" w:cs="Times New Roman"/>
                <w:color w:val="auto"/>
                <w:sz w:val="24"/>
                <w:szCs w:val="24"/>
                <w:highlight w:val="none"/>
                <w:lang w:val="zh-TW" w:eastAsia="zh-CN"/>
              </w:rPr>
            </w:pPr>
            <w:r>
              <w:rPr>
                <w:rFonts w:hint="default" w:ascii="Times New Roman" w:hAnsi="Times New Roman" w:cs="Times New Roman"/>
                <w:color w:val="auto"/>
                <w:sz w:val="24"/>
                <w:szCs w:val="24"/>
                <w:highlight w:val="none"/>
                <w:lang w:val="zh-TW" w:eastAsia="zh-CN"/>
              </w:rPr>
              <w:t>本项目不属于</w:t>
            </w:r>
            <w:r>
              <w:rPr>
                <w:rFonts w:hint="default" w:ascii="Times New Roman" w:hAnsi="Times New Roman" w:eastAsia="宋体" w:cs="Times New Roman"/>
                <w:color w:val="auto"/>
                <w:kern w:val="0"/>
                <w:sz w:val="24"/>
                <w:szCs w:val="24"/>
                <w:lang w:val="en-US" w:eastAsia="zh-CN" w:bidi="ar"/>
              </w:rPr>
              <w:t>《产业结构调整指导目录（2024年本）》 （发展改革委 2023年第7号令）</w:t>
            </w:r>
            <w:r>
              <w:rPr>
                <w:rFonts w:hint="default" w:ascii="Times New Roman" w:hAnsi="Times New Roman" w:cs="Times New Roman"/>
                <w:color w:val="auto"/>
                <w:sz w:val="24"/>
                <w:szCs w:val="24"/>
                <w:highlight w:val="none"/>
                <w:lang w:val="zh-TW" w:eastAsia="zh-CN"/>
              </w:rPr>
              <w:t>中的鼓励、限制、淘汰类，属于允许类；不属于《市场准入负面清单（2022年版）》中禁止准入类及许可准入类，属于市场准入负面清单以外的行业、领域、业务等，市场主体可依法平等进入。</w:t>
            </w: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lang w:val="zh-TW" w:eastAsia="zh-CN"/>
              </w:rPr>
              <w:t>项目</w:t>
            </w:r>
            <w:r>
              <w:rPr>
                <w:rFonts w:hint="default" w:ascii="Times New Roman" w:hAnsi="Times New Roman" w:cs="Times New Roman"/>
                <w:color w:val="auto"/>
                <w:sz w:val="24"/>
                <w:szCs w:val="24"/>
                <w:highlight w:val="none"/>
                <w:lang w:val="en-US" w:eastAsia="zh-CN"/>
              </w:rPr>
              <w:t>已于2024年</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16</w:t>
            </w:r>
            <w:r>
              <w:rPr>
                <w:rFonts w:hint="default" w:ascii="Times New Roman" w:hAnsi="Times New Roman" w:cs="Times New Roman"/>
                <w:color w:val="auto"/>
                <w:sz w:val="24"/>
                <w:szCs w:val="24"/>
                <w:highlight w:val="none"/>
                <w:lang w:val="en-US" w:eastAsia="zh-CN"/>
              </w:rPr>
              <w:t>日在</w:t>
            </w:r>
            <w:r>
              <w:rPr>
                <w:rFonts w:hint="default" w:ascii="Times New Roman" w:hAnsi="Times New Roman" w:cs="Times New Roman"/>
                <w:color w:val="auto"/>
                <w:sz w:val="24"/>
                <w:highlight w:val="none"/>
                <w:lang w:eastAsia="zh-CN"/>
              </w:rPr>
              <w:t>唐山市开平区发展改革局</w:t>
            </w:r>
            <w:r>
              <w:rPr>
                <w:rFonts w:hint="default" w:ascii="Times New Roman" w:hAnsi="Times New Roman" w:cs="Times New Roman"/>
                <w:color w:val="auto"/>
                <w:sz w:val="24"/>
                <w:highlight w:val="none"/>
                <w:lang w:val="en-US" w:eastAsia="zh-CN"/>
              </w:rPr>
              <w:t>取得了备案</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备案文号为</w:t>
            </w:r>
            <w:r>
              <w:rPr>
                <w:rFonts w:hint="default" w:ascii="Times New Roman" w:hAnsi="Times New Roman" w:cs="Times New Roman"/>
                <w:color w:val="auto"/>
                <w:sz w:val="24"/>
                <w:highlight w:val="none"/>
                <w:lang w:val="en-US" w:eastAsia="zh-CN"/>
              </w:rPr>
              <w:t>开发改备字〔2024〕</w:t>
            </w:r>
            <w:r>
              <w:rPr>
                <w:rFonts w:hint="eastAsia" w:cs="Times New Roman"/>
                <w:color w:val="auto"/>
                <w:sz w:val="24"/>
                <w:highlight w:val="none"/>
                <w:lang w:val="en-US" w:eastAsia="zh-CN"/>
              </w:rPr>
              <w:t>342号</w:t>
            </w:r>
            <w:r>
              <w:rPr>
                <w:rFonts w:hint="default" w:ascii="Times New Roman" w:hAnsi="Times New Roman" w:cs="Times New Roman"/>
                <w:color w:val="auto"/>
                <w:sz w:val="24"/>
                <w:szCs w:val="24"/>
                <w:highlight w:val="none"/>
                <w:lang w:val="zh-TW" w:eastAsia="zh-CN"/>
              </w:rPr>
              <w:t>（详见附件）</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zh-TW" w:eastAsia="zh-CN"/>
              </w:rPr>
              <w:t>项目的建设符合相关国家及地方产业政策要求。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（5）本项目与</w:t>
            </w:r>
            <w:r>
              <w:rPr>
                <w:rFonts w:hint="eastAsia" w:ascii="Times New Roman" w:hAnsi="Times New Roman" w:eastAsia="宋体" w:cs="Times New Roman"/>
                <w:color w:val="auto"/>
                <w:sz w:val="24"/>
                <w:szCs w:val="24"/>
                <w:highlight w:val="none"/>
                <w:lang w:val="en-US" w:eastAsia="zh-CN"/>
              </w:rPr>
              <w:t>《唐山市生态环境准入清单》（2023年版）</w:t>
            </w:r>
            <w:r>
              <w:rPr>
                <w:rFonts w:hint="default" w:ascii="Times New Roman" w:hAnsi="Times New Roman" w:eastAsia="宋体" w:cs="Times New Roman"/>
                <w:color w:val="auto"/>
                <w:sz w:val="24"/>
                <w:szCs w:val="24"/>
                <w:highlight w:val="none"/>
                <w:lang w:val="en-US" w:eastAsia="zh-CN"/>
              </w:rPr>
              <w:t>符合性分析</w:t>
            </w:r>
          </w:p>
          <w:p>
            <w:pPr>
              <w:keepNext w:val="0"/>
              <w:keepLines w:val="0"/>
              <w:pageBreakBefore w:val="0"/>
              <w:widowControl w:val="0"/>
              <w:kinsoku/>
              <w:wordWrap/>
              <w:overflowPunct/>
              <w:topLinePunct w:val="0"/>
              <w:bidi w:val="0"/>
              <w:adjustRightInd w:val="0"/>
              <w:snapToGrid w:val="0"/>
              <w:spacing w:line="480" w:lineRule="exact"/>
              <w:ind w:firstLine="480" w:firstLineChars="200"/>
              <w:rPr>
                <w:rFonts w:hint="default" w:ascii="Times New Roman" w:hAnsi="Times New Roman" w:cs="Times New Roman"/>
                <w:b/>
                <w:bCs/>
                <w:color w:val="auto"/>
                <w:kern w:val="0"/>
                <w:szCs w:val="21"/>
              </w:rPr>
            </w:pPr>
            <w:r>
              <w:rPr>
                <w:rFonts w:hint="default" w:ascii="Times New Roman" w:hAnsi="Times New Roman" w:eastAsia="宋体" w:cs="Times New Roman"/>
                <w:b w:val="0"/>
                <w:bCs w:val="0"/>
                <w:color w:val="auto"/>
                <w:sz w:val="24"/>
                <w:szCs w:val="24"/>
                <w:highlight w:val="none"/>
                <w:lang w:val="en-US" w:eastAsia="zh-CN"/>
              </w:rPr>
              <w:t>本项目位于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eastAsia="宋体" w:cs="Times New Roman"/>
                <w:b w:val="0"/>
                <w:bCs w:val="0"/>
                <w:color w:val="auto"/>
                <w:sz w:val="24"/>
                <w:szCs w:val="24"/>
                <w:highlight w:val="none"/>
                <w:lang w:val="en-US" w:eastAsia="zh-CN"/>
              </w:rPr>
              <w:t>，属于</w:t>
            </w:r>
            <w:r>
              <w:rPr>
                <w:rFonts w:hint="default" w:ascii="Times New Roman" w:hAnsi="Times New Roman" w:cs="Times New Roman"/>
                <w:color w:val="auto"/>
                <w:sz w:val="24"/>
                <w:szCs w:val="24"/>
                <w:highlight w:val="none"/>
                <w:lang w:val="en-US" w:eastAsia="zh-CN"/>
              </w:rPr>
              <w:t>重点</w:t>
            </w:r>
            <w:r>
              <w:rPr>
                <w:rFonts w:hint="default" w:ascii="Times New Roman" w:hAnsi="Times New Roman" w:eastAsia="宋体" w:cs="Times New Roman"/>
                <w:color w:val="auto"/>
                <w:sz w:val="24"/>
                <w:szCs w:val="24"/>
                <w:highlight w:val="none"/>
                <w:lang w:val="en-US" w:eastAsia="zh-CN"/>
              </w:rPr>
              <w:t>管</w:t>
            </w:r>
            <w:r>
              <w:rPr>
                <w:rFonts w:hint="default" w:ascii="Times New Roman" w:hAnsi="Times New Roman" w:eastAsia="宋体" w:cs="Times New Roman"/>
                <w:b w:val="0"/>
                <w:bCs w:val="0"/>
                <w:color w:val="auto"/>
                <w:sz w:val="24"/>
                <w:szCs w:val="24"/>
                <w:highlight w:val="none"/>
                <w:lang w:val="en-US" w:eastAsia="zh-CN"/>
              </w:rPr>
              <w:t>控单元，本项目与其管控措施符合性分析，</w:t>
            </w:r>
            <w:r>
              <w:rPr>
                <w:rFonts w:hint="default" w:ascii="Times New Roman" w:hAnsi="Times New Roman" w:eastAsia="宋体" w:cs="Times New Roman"/>
                <w:b w:val="0"/>
                <w:bCs w:val="0"/>
                <w:color w:val="auto"/>
                <w:sz w:val="24"/>
                <w:szCs w:val="24"/>
                <w:lang w:val="en-US" w:eastAsia="zh-CN"/>
              </w:rPr>
              <w:t>具体见下表</w:t>
            </w:r>
            <w:r>
              <w:rPr>
                <w:rFonts w:hint="default" w:ascii="Times New Roman" w:hAnsi="Times New Roman" w:cs="Times New Roman"/>
                <w:b w:val="0"/>
                <w:bCs w:val="0"/>
                <w:color w:val="auto"/>
                <w:sz w:val="24"/>
                <w:szCs w:val="24"/>
                <w:highlight w:val="none"/>
                <w:lang w:val="en-US" w:eastAsia="zh-CN"/>
              </w:rPr>
              <w:t>。与唐山市环境管控单元分布图见附图五。</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 xml:space="preserve">1 </w:t>
            </w:r>
            <w:r>
              <w:rPr>
                <w:rFonts w:hint="eastAsia" w:cs="宋体"/>
                <w:b/>
                <w:bCs/>
                <w:color w:val="auto"/>
                <w:sz w:val="24"/>
                <w:szCs w:val="24"/>
                <w:highlight w:val="none"/>
                <w:lang w:val="en-US" w:eastAsia="zh-CN"/>
              </w:rPr>
              <w:t>本项</w:t>
            </w:r>
            <w:r>
              <w:rPr>
                <w:rFonts w:hint="eastAsia" w:ascii="Times New Roman" w:hAnsi="Times New Roman" w:eastAsia="宋体" w:cs="宋体"/>
                <w:b/>
                <w:bCs/>
                <w:color w:val="auto"/>
                <w:sz w:val="24"/>
                <w:szCs w:val="24"/>
                <w:highlight w:val="none"/>
                <w:lang w:val="en-US" w:eastAsia="zh-CN"/>
              </w:rPr>
              <w:t>目与《唐山市生态环境准入清单》（2023年版）符合性分析</w:t>
            </w:r>
          </w:p>
          <w:tbl>
            <w:tblPr>
              <w:tblStyle w:val="20"/>
              <w:tblW w:w="4997" w:type="pct"/>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5"/>
              <w:gridCol w:w="544"/>
              <w:gridCol w:w="634"/>
              <w:gridCol w:w="3671"/>
              <w:gridCol w:w="1049"/>
              <w:gridCol w:w="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要素属性</w:t>
                  </w: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管控类别</w:t>
                  </w:r>
                </w:p>
              </w:tc>
              <w:tc>
                <w:tcPr>
                  <w:tcW w:w="2982" w:type="pct"/>
                  <w:gridSpan w:val="2"/>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管控要求</w:t>
                  </w:r>
                </w:p>
              </w:tc>
              <w:tc>
                <w:tcPr>
                  <w:tcW w:w="72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项目情况</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0" w:hRule="atLeast"/>
              </w:trPr>
              <w:tc>
                <w:tcPr>
                  <w:tcW w:w="585" w:type="pct"/>
                  <w:vMerge w:val="restar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生态保护红线区</w:t>
                  </w:r>
                </w:p>
              </w:tc>
              <w:tc>
                <w:tcPr>
                  <w:tcW w:w="377" w:type="pct"/>
                  <w:vMerge w:val="restar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空</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间</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布</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局</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约</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束</w:t>
                  </w:r>
                </w:p>
              </w:tc>
              <w:tc>
                <w:tcPr>
                  <w:tcW w:w="439"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禁止</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类管</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控要</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求</w:t>
                  </w:r>
                </w:p>
              </w:tc>
              <w:tc>
                <w:tcPr>
                  <w:tcW w:w="2542"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生态保护红线原则上按禁止开发区域的要求进行管理。严禁不符合主体功能定位的各类开发活动，严禁任意改变用途。生态保护红线一经划定，未经批准，严禁擅自调整。根据资源环境承载能力监测、生态保护重要性评价和国土空间规划实施“五年一评估”情况，可由省级人民政府 编制生态保护红线局部调整方案，纳入国土空间规划修改方案报国务院批准，并抄送生态环境部。 自然保护地边界发生调整的，省级自然资源主管部门依据批准文件，对生态保护红线作相应调整，更新国土空间规划“一张图”。已依法设立的油气探矿权拟转采矿权的，按有关规定由省级自然资源主管部门会同相关部门明确开采拟占用地表或海域范围，并对生态保护红线作相应调整，更新国土空间规划“一张图”。更新后的国土空间规划“一张图”，与省级生态环境部门信息共享</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本项目占地为建设</w:t>
                  </w:r>
                  <w:r>
                    <w:rPr>
                      <w:rFonts w:hint="eastAsia" w:cs="Times New Roman"/>
                      <w:color w:val="auto"/>
                      <w:szCs w:val="21"/>
                      <w:lang w:val="en-US" w:eastAsia="zh-CN"/>
                    </w:rPr>
                    <w:t>用地</w:t>
                  </w:r>
                  <w:r>
                    <w:rPr>
                      <w:rFonts w:hint="eastAsia" w:ascii="Times New Roman" w:hAnsi="Times New Roman" w:eastAsia="宋体" w:cs="Times New Roman"/>
                      <w:color w:val="auto"/>
                      <w:szCs w:val="21"/>
                      <w:lang w:val="en-US" w:eastAsia="zh-CN"/>
                    </w:rPr>
                    <w:t>，不涉及生态保护红线区</w:t>
                  </w: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vMerge w:val="continue"/>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p>
              </w:tc>
              <w:tc>
                <w:tcPr>
                  <w:tcW w:w="439"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限制类管控要求</w:t>
                  </w:r>
                </w:p>
              </w:tc>
              <w:tc>
                <w:tcPr>
                  <w:tcW w:w="2542"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生态保护红线内自然保护地核心保护区外，禁止开发性、生产性建设活动，在符合法律法规的前提下，仅允许以下 </w:t>
                  </w:r>
                  <w:r>
                    <w:rPr>
                      <w:rFonts w:hint="default" w:ascii="Times New Roman" w:hAnsi="Times New Roman" w:eastAsia="宋体" w:cs="Times New Roman"/>
                      <w:color w:val="auto"/>
                      <w:szCs w:val="21"/>
                      <w:lang w:val="en-US" w:eastAsia="zh-CN"/>
                    </w:rPr>
                    <w:t xml:space="preserve">10 </w:t>
                  </w:r>
                  <w:r>
                    <w:rPr>
                      <w:rFonts w:hint="eastAsia" w:ascii="Times New Roman" w:hAnsi="Times New Roman" w:eastAsia="宋体" w:cs="Times New Roman"/>
                      <w:color w:val="auto"/>
                      <w:szCs w:val="21"/>
                      <w:lang w:val="en-US" w:eastAsia="zh-CN"/>
                    </w:rPr>
                    <w:t>类对生态功能不造成破坏的有限人为活动。生态保护红线内自然保护区、风景名胜区、饮用水水源保护区等区域，依照法律法规执行。（</w:t>
                  </w: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）管护巡护、保护执法、科学研究、调查监测、测绘导航、防灾减灾救灾、军事国防、疫情防控等活动及相关的必要设施修筑。 （</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 xml:space="preserve">）原住居民和其他合法权益主体，允许在不扩大现有建设用地、用海用岛、耕地、水产养殖规模和放牧强度（符合草畜平衡管理规定）的前提下，开展种植、放牧、捕捞、养殖（不包 </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括投礁型海洋牧场、围海养殖）等活动，修筑生产生活设施。（</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）经依法批准的考古调查发掘、古生物化石调查发掘、标本采集和文物保护活动离带等为目的的树种更新，依法开展的竹林采伐经营。（</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）不破坏生态功能的适度参观旅游、科普宣教及符合相关规划的配套性服务设施和相关的必要公共设施建设及维护。（</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 xml:space="preserve">）必须且无法避让、符合县级以上国土空间规划的线性基础设施、通讯和防洪、供水设 </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施建设和船舶航行、航道疏浚清淤等活动；已有的合法水利、交通运输等设施运行维护改造。（</w:t>
                  </w:r>
                  <w:r>
                    <w:rPr>
                      <w:rFonts w:hint="default"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lang w:val="en-US" w:eastAsia="zh-CN"/>
                    </w:rPr>
                    <w:t>）地质调查与矿产资源勘查开采。</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具体开采活动，详见《自然资源部 生态环境部 国家林业和草原局关于加强生态保护红线管理的通知（试行）》（自然资发〔</w:t>
                  </w:r>
                  <w:r>
                    <w:rPr>
                      <w:rFonts w:hint="default" w:ascii="Times New Roman" w:hAnsi="Times New Roman" w:eastAsia="宋体" w:cs="Times New Roman"/>
                      <w:color w:val="auto"/>
                      <w:szCs w:val="21"/>
                      <w:lang w:val="en-US" w:eastAsia="zh-CN"/>
                    </w:rPr>
                    <w:t>2022</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 xml:space="preserve">142 </w:t>
                  </w:r>
                  <w:r>
                    <w:rPr>
                      <w:rFonts w:hint="eastAsia" w:ascii="Times New Roman" w:hAnsi="Times New Roman" w:eastAsia="宋体" w:cs="Times New Roman"/>
                      <w:color w:val="auto"/>
                      <w:szCs w:val="21"/>
                      <w:lang w:val="en-US" w:eastAsia="zh-CN"/>
                    </w:rPr>
                    <w:t>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。上述勘查开采活动，应落实减缓生态环境影响措施，严格执行绿色勘查、开采及矿山环境生态修复相关要求。（</w:t>
                  </w:r>
                  <w:r>
                    <w:rPr>
                      <w:rFonts w:hint="default"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lang w:val="en-US" w:eastAsia="zh-CN"/>
                    </w:rPr>
                    <w:t>）依据县级以上国土空间规划和生态保护修复专项规划开展的生态修复。（</w:t>
                  </w:r>
                  <w:r>
                    <w:rPr>
                      <w:rFonts w:hint="default"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lang w:val="en-US" w:eastAsia="zh-CN"/>
                    </w:rPr>
                    <w:t>）根据我国相关法律法规和与邻国签署的国界管理制度协定（条约）开展的边界边境通视道清理以及界务工程的修建、维护和拆除工作。（</w:t>
                  </w:r>
                  <w:r>
                    <w:rPr>
                      <w:rFonts w:hint="default" w:ascii="Times New Roman" w:hAnsi="Times New Roman" w:eastAsia="宋体" w:cs="Times New Roman"/>
                      <w:color w:val="auto"/>
                      <w:szCs w:val="21"/>
                      <w:lang w:val="en-US" w:eastAsia="zh-CN"/>
                    </w:rPr>
                    <w:t>10</w:t>
                  </w:r>
                  <w:r>
                    <w:rPr>
                      <w:rFonts w:hint="eastAsia" w:ascii="Times New Roman" w:hAnsi="Times New Roman" w:eastAsia="宋体" w:cs="Times New Roman"/>
                      <w:color w:val="auto"/>
                      <w:szCs w:val="21"/>
                      <w:lang w:val="en-US" w:eastAsia="zh-CN"/>
                    </w:rPr>
                    <w:t>）法律法规规定允许的其他人为活动。开展上述活动时禁止新增填海造地和新增围海。上述活动涉及利用无居民海岛的，原则上仅允许按照相关规定对海岛自然岸线、表面积、岛体、植被改变轻微的低影响利用方式。上述允许的有限人为活动之外，确需占用生态保护红线的国家重大项目，按照《自然资源部 生态环境部 国家林业和草原局关于加强生态保护红线管理的通知（试行）》（自然资发〔</w:t>
                  </w:r>
                  <w:r>
                    <w:rPr>
                      <w:rFonts w:hint="default" w:ascii="Times New Roman" w:hAnsi="Times New Roman" w:eastAsia="宋体" w:cs="Times New Roman"/>
                      <w:color w:val="auto"/>
                      <w:szCs w:val="21"/>
                      <w:lang w:val="en-US" w:eastAsia="zh-CN"/>
                    </w:rPr>
                    <w:t>2022</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 xml:space="preserve">142 </w:t>
                  </w:r>
                  <w:r>
                    <w:rPr>
                      <w:rFonts w:hint="eastAsia" w:ascii="Times New Roman" w:hAnsi="Times New Roman" w:eastAsia="宋体" w:cs="Times New Roman"/>
                      <w:color w:val="auto"/>
                      <w:szCs w:val="21"/>
                      <w:lang w:val="en-US" w:eastAsia="zh-CN"/>
                    </w:rPr>
                    <w:t>号）规定办理用地用海用岛审批</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本项目不涉及生态保护红线区</w:t>
                  </w: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一般生态空间</w:t>
                  </w: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总体要求</w:t>
                  </w:r>
                </w:p>
              </w:tc>
              <w:tc>
                <w:tcPr>
                  <w:tcW w:w="439"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空间布局约束</w:t>
                  </w:r>
                </w:p>
              </w:tc>
              <w:tc>
                <w:tcPr>
                  <w:tcW w:w="2542"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根据生态功能保护区的资源禀赋、环境容量，合理确定区域产业发展方向，限制高污染、高能耗、高物耗产业的发展。要依法淘汰严重污染环境、严重破坏区域生态、严重浪费资源能源的产业，要依法关闭破坏资源、污染环境和损害生态系统功能的企业。</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应当按照限制性开发区域管理，限制进行大规模高强度工业化城镇化开发，以保持并提高生态产品供给能力。形成点状开发、面上保护的空间结构。开发强度得到有效控制，保有大片开敞生态空间，水面、湿地、林地、草地等绿色生态空间扩大，人类活动水平的空间控制在目前水平。</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、区域内要严格开发区管理，原则上不再新建各类开发区和扩大现有工业开发区的面积，已有的工业开发区要逐步改造成低消耗、可循环、少排放、“零污染”的生态型工业区。</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 xml:space="preserve">、严格控制矿产资源开发。禁止在生态保护红线内、永久基本农田、城镇开发边界内、自然保护区、风景名胜区、饮用水水源保护区、地质遗迹保护区、文物保护单位的保护范围内和铁路高速公路国道两侧各 </w:t>
                  </w:r>
                  <w:r>
                    <w:rPr>
                      <w:rFonts w:hint="default" w:ascii="Times New Roman" w:hAnsi="Times New Roman" w:eastAsia="宋体" w:cs="Times New Roman"/>
                      <w:color w:val="auto"/>
                      <w:szCs w:val="21"/>
                      <w:lang w:val="en-US" w:eastAsia="zh-CN"/>
                    </w:rPr>
                    <w:t xml:space="preserve">1000 </w:t>
                  </w:r>
                  <w:r>
                    <w:rPr>
                      <w:rFonts w:hint="eastAsia" w:ascii="Times New Roman" w:hAnsi="Times New Roman" w:eastAsia="宋体" w:cs="Times New Roman"/>
                      <w:color w:val="auto"/>
                      <w:szCs w:val="21"/>
                      <w:lang w:val="en-US" w:eastAsia="zh-CN"/>
                    </w:rPr>
                    <w:t>米范围内新批固体矿产资源开发项目，严格控制新批液体、气体矿产资源开发项目。</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、新建非煤矿山，应当按照绿色矿山建设规范建设。已有非煤矿山，应当按照绿色矿山建设规范升级改造，逐步达到绿色矿山建设标准。</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 xml:space="preserve">、严格控制新增建设占用生态保护红线外的生态空间。符合区域准入条件的建设项目，涉及占用生态空间中的林地、草原等，按有关法律法规规定办理；涉及占用生态空间中其他未作明确规定的用地，应当加强论证和管理。 </w:t>
                  </w:r>
                  <w:r>
                    <w:rPr>
                      <w:rFonts w:hint="default"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lang w:val="en-US" w:eastAsia="zh-CN"/>
                    </w:rPr>
                    <w:t xml:space="preserve">、严格限制农业开发占用生态保护红线外的生态空间，符合条件的农业开发项目，须依法 </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由市县级及以上地方人民政府统筹安排。生态保护红线外的耕地，除符合国家生态退耕条件，并纳入国家生态退耕总体安排，或因国家重大生态工程建设需要外，不得随意转用。</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本项目占地为建设</w:t>
                  </w:r>
                  <w:r>
                    <w:rPr>
                      <w:rFonts w:hint="eastAsia" w:cs="Times New Roman"/>
                      <w:color w:val="auto"/>
                      <w:szCs w:val="21"/>
                      <w:lang w:val="en-US" w:eastAsia="zh-CN"/>
                    </w:rPr>
                    <w:t>用地</w:t>
                  </w:r>
                  <w:r>
                    <w:rPr>
                      <w:rFonts w:hint="eastAsia" w:ascii="Times New Roman" w:hAnsi="Times New Roman" w:eastAsia="宋体" w:cs="Times New Roman"/>
                      <w:color w:val="auto"/>
                      <w:szCs w:val="21"/>
                      <w:lang w:val="en-US" w:eastAsia="zh-CN"/>
                    </w:rPr>
                    <w:t>，不涉及生态保护红线区</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restar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大气环境</w:t>
                  </w: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空间布局约束</w:t>
                  </w:r>
                </w:p>
              </w:tc>
              <w:tc>
                <w:tcPr>
                  <w:tcW w:w="2982" w:type="pct"/>
                  <w:gridSpan w:val="2"/>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、全面推进沿海、迁安、滦州、迁西（遵化）</w:t>
                  </w:r>
                  <w:r>
                    <w:rPr>
                      <w:rFonts w:hint="default" w:ascii="Times New Roman" w:hAnsi="Times New Roman" w:eastAsia="宋体" w:cs="Times New Roman"/>
                      <w:color w:val="auto"/>
                      <w:szCs w:val="21"/>
                      <w:lang w:val="en-US" w:eastAsia="zh-CN"/>
                    </w:rPr>
                    <w:t xml:space="preserve">4 </w:t>
                  </w:r>
                  <w:r>
                    <w:rPr>
                      <w:rFonts w:hint="eastAsia" w:ascii="Times New Roman" w:hAnsi="Times New Roman" w:eastAsia="宋体" w:cs="Times New Roman"/>
                      <w:color w:val="auto"/>
                      <w:szCs w:val="21"/>
                      <w:lang w:val="en-US" w:eastAsia="zh-CN"/>
                    </w:rPr>
                    <w:t xml:space="preserve">大片区规划建设，加快推进钢铁企业整合搬 </w:t>
                  </w:r>
                </w:p>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迁项目建设，推进“公转铁”、“公转水”和物料集中输送管廊项目建设，形成“沿海临港、铁 </w:t>
                  </w:r>
                </w:p>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路沿线”产业新布局。</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、严禁违规新增钢铁、焦化、水泥、平板玻璃等产能，依法推动独立焦化、独立石灰、独立球团逐步退出。</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、新（改、扩）建项目严格执行产能置换、煤炭替代和污染物倍量削减替代制度，当地有相关园区规划的，原则上要进入园区并配套建设高效环保治理设施，符合园区规划环评、建设项目环评要求。</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、基本取缔燃煤热风炉和钢铁行业燃煤供热锅炉，基本淘汰热电联产供热管网覆盖范围内的燃煤加热、烘干炉（窑）。</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、企业事业单位和其他生产经营者应当在规定期限内，淘汰列入河北省淘汰落后生产工艺、设备和产品名录的生产工艺、设备和产品。</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 xml:space="preserve">、全面取缔 </w:t>
                  </w:r>
                  <w:r>
                    <w:rPr>
                      <w:rFonts w:hint="default" w:ascii="Times New Roman" w:hAnsi="Times New Roman" w:eastAsia="宋体" w:cs="Times New Roman"/>
                      <w:color w:val="auto"/>
                      <w:szCs w:val="21"/>
                      <w:lang w:val="en-US" w:eastAsia="zh-CN"/>
                    </w:rPr>
                    <w:t xml:space="preserve">35 </w:t>
                  </w:r>
                  <w:r>
                    <w:rPr>
                      <w:rFonts w:hint="eastAsia" w:ascii="Times New Roman" w:hAnsi="Times New Roman" w:eastAsia="宋体" w:cs="Times New Roman"/>
                      <w:color w:val="auto"/>
                      <w:szCs w:val="21"/>
                      <w:lang w:val="en-US" w:eastAsia="zh-CN"/>
                    </w:rPr>
                    <w:t xml:space="preserve">蒸吨及以下燃煤锅炉，发现一台，拆除一台，确保实现动态“清零”；严禁新增 </w:t>
                  </w:r>
                  <w:r>
                    <w:rPr>
                      <w:rFonts w:hint="default" w:ascii="Times New Roman" w:hAnsi="Times New Roman" w:eastAsia="宋体" w:cs="Times New Roman"/>
                      <w:color w:val="auto"/>
                      <w:szCs w:val="21"/>
                      <w:lang w:val="en-US" w:eastAsia="zh-CN"/>
                    </w:rPr>
                    <w:t xml:space="preserve">35 </w:t>
                  </w:r>
                  <w:r>
                    <w:rPr>
                      <w:rFonts w:hint="eastAsia" w:ascii="Times New Roman" w:hAnsi="Times New Roman" w:eastAsia="宋体" w:cs="Times New Roman"/>
                      <w:color w:val="auto"/>
                      <w:szCs w:val="21"/>
                      <w:lang w:val="en-US" w:eastAsia="zh-CN"/>
                    </w:rPr>
                    <w:t xml:space="preserve">蒸吨及以下燃煤锅炉。路南区、路北区、高新区、开平区、古冶区、丰润区、丰南区、曹妃甸区全面取缔燃生物质燃料、燃油（醇基燃料）锅炉，建成区范围内改为电锅炉，其他区域改 </w:t>
                  </w:r>
                </w:p>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为燃气锅炉或电锅炉。其他县（市）、开发区（管理区）全面取缔燃用生物质燃料非专用锅炉， </w:t>
                  </w:r>
                </w:p>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改为燃气锅炉或电锅炉。</w:t>
                  </w:r>
                </w:p>
              </w:tc>
              <w:tc>
                <w:tcPr>
                  <w:tcW w:w="727" w:type="pct"/>
                  <w:tcBorders>
                    <w:tl2br w:val="nil"/>
                    <w:tr2bl w:val="nil"/>
                  </w:tcBorders>
                  <w:noWrap w:val="0"/>
                  <w:vAlign w:val="center"/>
                </w:tcPr>
                <w:p>
                  <w:pPr>
                    <w:numPr>
                      <w:ilvl w:val="0"/>
                      <w:numId w:val="1"/>
                    </w:num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本项目不涉及钢铁企业整合搬迁项目建设。</w:t>
                  </w:r>
                </w:p>
                <w:p>
                  <w:pPr>
                    <w:numPr>
                      <w:ilvl w:val="0"/>
                      <w:numId w:val="1"/>
                    </w:num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钢铁、焦化、水泥、平板玻璃产能新增。3、部项目不涉及产能置换、煤炭替代和污染物倍量削减替代制度。4、本项目不涉及燃煤热风炉、钢铁行业燃煤供热锅炉、热电联产供热管网覆盖范围内的燃煤加热、烘干炉（窑）。5、本项目不涉及河北省淘汰落后生产工艺、设备和产品名录的生产工艺、设备和产品。</w:t>
                  </w:r>
                </w:p>
                <w:p>
                  <w:pPr>
                    <w:numPr>
                      <w:ilvl w:val="0"/>
                      <w:numId w:val="0"/>
                    </w:numPr>
                    <w:spacing w:line="360" w:lineRule="exact"/>
                    <w:ind w:right="-105" w:rightChars="-50"/>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6、本项目不涉及燃煤锅炉</w:t>
                  </w:r>
                  <w:r>
                    <w:rPr>
                      <w:rFonts w:hint="eastAsia" w:ascii="Times New Roman" w:hAnsi="Times New Roman" w:eastAsia="宋体" w:cs="Times New Roman"/>
                      <w:color w:val="auto"/>
                      <w:szCs w:val="21"/>
                    </w:rPr>
                    <w:t>。</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污染物排放管控</w:t>
                  </w:r>
                </w:p>
              </w:tc>
              <w:tc>
                <w:tcPr>
                  <w:tcW w:w="2982" w:type="pct"/>
                  <w:gridSpan w:val="2"/>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、细颗粒物（</w:t>
                  </w:r>
                  <w:r>
                    <w:rPr>
                      <w:rFonts w:hint="default" w:ascii="Times New Roman" w:hAnsi="Times New Roman" w:eastAsia="宋体" w:cs="Times New Roman"/>
                      <w:color w:val="auto"/>
                      <w:szCs w:val="21"/>
                      <w:lang w:val="en-US" w:eastAsia="zh-CN"/>
                    </w:rPr>
                    <w:t>PM</w:t>
                  </w:r>
                  <w:r>
                    <w:rPr>
                      <w:rFonts w:hint="default" w:ascii="Times New Roman" w:hAnsi="Times New Roman" w:eastAsia="宋体" w:cs="Times New Roman"/>
                      <w:color w:val="auto"/>
                      <w:szCs w:val="21"/>
                      <w:vertAlign w:val="subscript"/>
                      <w:lang w:val="en-US" w:eastAsia="zh-CN"/>
                    </w:rPr>
                    <w:t>2.5</w:t>
                  </w:r>
                  <w:r>
                    <w:rPr>
                      <w:rFonts w:hint="eastAsia" w:ascii="Times New Roman" w:hAnsi="Times New Roman" w:eastAsia="宋体" w:cs="Times New Roman"/>
                      <w:color w:val="auto"/>
                      <w:szCs w:val="21"/>
                      <w:lang w:val="en-US" w:eastAsia="zh-CN"/>
                    </w:rPr>
                    <w:t xml:space="preserve">）年平均浓度不达标的城市，二氧化硫、氮氧化物、烟粉尘、挥发性有机 </w:t>
                  </w:r>
                </w:p>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物四项污染物均需进行 </w:t>
                  </w:r>
                  <w:r>
                    <w:rPr>
                      <w:rFonts w:hint="default" w:ascii="Times New Roman" w:hAnsi="Times New Roman" w:eastAsia="宋体" w:cs="Times New Roman"/>
                      <w:color w:val="auto"/>
                      <w:szCs w:val="21"/>
                      <w:lang w:val="en-US" w:eastAsia="zh-CN"/>
                    </w:rPr>
                    <w:t xml:space="preserve">2 </w:t>
                  </w:r>
                  <w:r>
                    <w:rPr>
                      <w:rFonts w:hint="eastAsia" w:ascii="Times New Roman" w:hAnsi="Times New Roman" w:eastAsia="宋体" w:cs="Times New Roman"/>
                      <w:color w:val="auto"/>
                      <w:szCs w:val="21"/>
                      <w:lang w:val="en-US" w:eastAsia="zh-CN"/>
                    </w:rPr>
                    <w:t>倍削减替代（燃煤发电机组大气污染物排放浓度基本达到燃气轮机组排放限值的除外）。</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 xml:space="preserve">35 </w:t>
                  </w:r>
                  <w:r>
                    <w:rPr>
                      <w:rFonts w:hint="eastAsia" w:ascii="Times New Roman" w:hAnsi="Times New Roman" w:eastAsia="宋体" w:cs="Times New Roman"/>
                      <w:color w:val="auto"/>
                      <w:szCs w:val="21"/>
                      <w:lang w:val="en-US" w:eastAsia="zh-CN"/>
                    </w:rPr>
                    <w:t>蒸吨以上燃煤锅炉、燃油（醇基燃料）锅炉、燃用生物质专用锅炉各污染物排放浓度达到《河北省锅炉大气污染物排放标准（</w:t>
                  </w:r>
                  <w:r>
                    <w:rPr>
                      <w:rFonts w:hint="default" w:ascii="Times New Roman" w:hAnsi="Times New Roman" w:eastAsia="宋体" w:cs="Times New Roman"/>
                      <w:color w:val="auto"/>
                      <w:szCs w:val="21"/>
                      <w:lang w:val="en-US" w:eastAsia="zh-CN"/>
                    </w:rPr>
                    <w:t>DB13/5161</w:t>
                  </w:r>
                  <w:r>
                    <w:rPr>
                      <w:rFonts w:hint="eastAsia" w:ascii="Times New Roman" w:hAnsi="Times New Roman" w:eastAsia="宋体" w:cs="Times New Roman"/>
                      <w:color w:val="auto"/>
                      <w:szCs w:val="21"/>
                      <w:lang w:val="en-US" w:eastAsia="zh-CN"/>
                    </w:rPr>
                    <w:t>）》要求；燃煤气、天然气锅炉各污染物排放浓度达到《唐山市锅炉治理专项实施方案》（唐气领办〔</w:t>
                  </w:r>
                  <w:r>
                    <w:rPr>
                      <w:rFonts w:hint="default" w:ascii="Times New Roman" w:hAnsi="Times New Roman" w:eastAsia="宋体" w:cs="Times New Roman"/>
                      <w:color w:val="auto"/>
                      <w:szCs w:val="21"/>
                      <w:lang w:val="en-US" w:eastAsia="zh-CN"/>
                    </w:rPr>
                    <w:t>2019</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 xml:space="preserve">10 </w:t>
                  </w:r>
                  <w:r>
                    <w:rPr>
                      <w:rFonts w:hint="eastAsia" w:ascii="Times New Roman" w:hAnsi="Times New Roman" w:eastAsia="宋体" w:cs="Times New Roman"/>
                      <w:color w:val="auto"/>
                      <w:szCs w:val="21"/>
                      <w:lang w:val="en-US" w:eastAsia="zh-CN"/>
                    </w:rPr>
                    <w:t>号）要求</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加强农村燃煤污染治理：（一）推广使用民用清洁燃烧炉具，加快淘汰低效直燃式高污染炉具，严禁生产、销售、使用不符合环保要求的炉具；（二）加强洁净型煤、优质煤炭的推广使用，实现农村地区洁净型煤配送网点建设全覆盖，严禁使用高硫分和劣质煤炭；（三）推广太阳能、电能、燃气、沼气、地热等使用，加强农作物秸秆能源化，推进农村清洁能源的替代和开发利用。</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对标行业先进，持续推动污染物排放总量降低。</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推广新能源机动车，建设相应的充电站（桩）、加气站等基础设施，新建居民住宅小区停车位应当建设相应的充电设施；鼓励和支持公共交通、出租车、环境卫生、邮政、快递等行业用车和公务用车率先使用新能源机动车。加强城市步行和自行车交通系统建设，引导公众绿色、低碳出行。船舶靠港后应当优先使用岸电。新建码头应当规划、设计和建设岸基供电设施；已建成的码头应当逐步实施岸基供电设施改造。</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、加快油品质量升级。停止销售低于国</w:t>
                  </w:r>
                  <w:r>
                    <w:rPr>
                      <w:rFonts w:hint="default" w:ascii="Times New Roman" w:hAnsi="Times New Roman" w:eastAsia="宋体" w:cs="Times New Roman"/>
                      <w:color w:val="auto"/>
                      <w:szCs w:val="21"/>
                      <w:lang w:val="en-US" w:eastAsia="zh-CN"/>
                    </w:rPr>
                    <w:t>Ⅵ</w:t>
                  </w:r>
                  <w:r>
                    <w:rPr>
                      <w:rFonts w:hint="eastAsia" w:ascii="Times New Roman" w:hAnsi="Times New Roman" w:eastAsia="宋体" w:cs="Times New Roman"/>
                      <w:color w:val="auto"/>
                      <w:szCs w:val="21"/>
                      <w:lang w:val="en-US" w:eastAsia="zh-CN"/>
                    </w:rPr>
                    <w:t>标准的汽柴油，实现车用柴油、普通柴油、部分船舶用油“三油并轨”。</w:t>
                  </w:r>
                  <w:r>
                    <w:rPr>
                      <w:rFonts w:hint="default"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lang w:val="en-US" w:eastAsia="zh-CN"/>
                    </w:rPr>
                    <w:t>、推进矿山综合整治。按照“能关则关、应合尽合、能转则转”的原则，对违反法律法规、列入关闭计划、整改不达标、乱采滥挖的矿山，依法依规坚决关闭取缔。</w:t>
                  </w:r>
                  <w:r>
                    <w:rPr>
                      <w:rFonts w:hint="default"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lang w:val="en-US" w:eastAsia="zh-CN"/>
                    </w:rPr>
                    <w:t>、强化建筑施工扬尘污染防治，严格落实《河北省扬尘污染防治办法》，对城市建成区、县城建筑施工工地实施全面监管。强化道路扬尘综合治理，按照《河北省城市精细化管理标准》有关要求，全面巩固洁净城市创建成果。</w:t>
                  </w:r>
                  <w:r>
                    <w:rPr>
                      <w:rFonts w:hint="default"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lang w:val="en-US" w:eastAsia="zh-CN"/>
                    </w:rPr>
                    <w:t>、深化重点行业深度治理。巩固钢铁、焦化、煤电、水泥、平板玻璃等重点行业超低排放改造成效，实施工艺全流程深度治理，推进全过程无组织排放管控。</w:t>
                  </w:r>
                  <w:r>
                    <w:rPr>
                      <w:rFonts w:hint="default" w:ascii="Times New Roman" w:hAnsi="Times New Roman" w:eastAsia="宋体" w:cs="Times New Roman"/>
                      <w:color w:val="auto"/>
                      <w:szCs w:val="21"/>
                      <w:lang w:val="en-US" w:eastAsia="zh-CN"/>
                    </w:rPr>
                    <w:t>10</w:t>
                  </w:r>
                  <w:r>
                    <w:rPr>
                      <w:rFonts w:hint="eastAsia" w:ascii="Times New Roman" w:hAnsi="Times New Roman" w:eastAsia="宋体" w:cs="Times New Roman"/>
                      <w:color w:val="auto"/>
                      <w:szCs w:val="21"/>
                      <w:lang w:val="en-US" w:eastAsia="zh-CN"/>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r>
                    <w:rPr>
                      <w:rFonts w:hint="default"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lang w:val="en-US" w:eastAsia="zh-CN"/>
                    </w:rPr>
                    <w:t>、强化柴油货车污染防治。加快柴油货车治理，推动货运经营整合升级、提质增效，加快规模化发展、连锁化经营。实施清洁柴油车、清洁运输和清洁油品行动，降低污染排放总量。</w:t>
                  </w:r>
                  <w:r>
                    <w:rPr>
                      <w:rFonts w:hint="default"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lang w:val="en-US" w:eastAsia="zh-CN"/>
                    </w:rPr>
                    <w:t>、禁止露天焚烧秸秆、落叶、枯草等产生烟尘污染的物质，以及电子废弃物、油毡、橡胶、塑料、皮革、沥青、垃圾等产生有毒有害、恶臭或者强烈异味气体的物质。</w:t>
                  </w:r>
                  <w:r>
                    <w:rPr>
                      <w:rFonts w:hint="default" w:ascii="Times New Roman" w:hAnsi="Times New Roman" w:eastAsia="宋体" w:cs="Times New Roman"/>
                      <w:color w:val="auto"/>
                      <w:szCs w:val="21"/>
                      <w:lang w:val="en-US" w:eastAsia="zh-CN"/>
                    </w:rPr>
                    <w:t>13</w:t>
                  </w:r>
                  <w:r>
                    <w:rPr>
                      <w:rFonts w:hint="eastAsia" w:ascii="Times New Roman" w:hAnsi="Times New Roman" w:eastAsia="宋体" w:cs="Times New Roman"/>
                      <w:color w:val="auto"/>
                      <w:szCs w:val="21"/>
                      <w:lang w:val="en-US" w:eastAsia="zh-CN"/>
                    </w:rPr>
                    <w:t xml:space="preserve">、以化工、工业涂装、包装印刷、油品储运销等行业领域为重点，安全高效推进挥发性有机物综合治理，无组织排放和末端深度治理等提升改造工程。 </w:t>
                  </w:r>
                </w:p>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14</w:t>
                  </w:r>
                  <w:r>
                    <w:rPr>
                      <w:rFonts w:hint="eastAsia" w:ascii="Times New Roman" w:hAnsi="Times New Roman" w:eastAsia="宋体" w:cs="Times New Roman"/>
                      <w:color w:val="auto"/>
                      <w:szCs w:val="21"/>
                      <w:lang w:val="en-US" w:eastAsia="zh-CN"/>
                    </w:rPr>
                    <w:t>、推动大气氨排放控制。加强烟气脱硝和氨法脱硫氨逃逸控制。推进种植业、养殖业大气氨减排，加强源头防控，优化肥料、饲料结构。</w:t>
                  </w:r>
                  <w:r>
                    <w:rPr>
                      <w:rFonts w:hint="default" w:ascii="Times New Roman" w:hAnsi="Times New Roman" w:eastAsia="宋体" w:cs="Times New Roman"/>
                      <w:color w:val="auto"/>
                      <w:szCs w:val="21"/>
                      <w:lang w:val="en-US" w:eastAsia="zh-CN"/>
                    </w:rPr>
                    <w:t>15</w:t>
                  </w:r>
                  <w:r>
                    <w:rPr>
                      <w:rFonts w:hint="eastAsia" w:ascii="Times New Roman" w:hAnsi="Times New Roman" w:eastAsia="宋体" w:cs="Times New Roman"/>
                      <w:color w:val="auto"/>
                      <w:szCs w:val="21"/>
                      <w:lang w:val="en-US" w:eastAsia="zh-CN"/>
                    </w:rPr>
                    <w:t>、严格控制二氧化碳排放强度。加强甲烷等非二氧化碳温室气体管控。</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kern w:val="2"/>
                      <w:sz w:val="21"/>
                      <w:szCs w:val="21"/>
                      <w:lang w:val="zh-TW" w:eastAsia="zh-CN" w:bidi="zh-TW"/>
                    </w:rPr>
                  </w:pPr>
                  <w:r>
                    <w:rPr>
                      <w:rFonts w:hint="eastAsia" w:ascii="Times New Roman" w:hAnsi="Times New Roman" w:eastAsia="宋体" w:cs="Times New Roman"/>
                      <w:color w:val="auto"/>
                      <w:kern w:val="2"/>
                      <w:sz w:val="21"/>
                      <w:szCs w:val="21"/>
                      <w:lang w:val="en-US" w:eastAsia="zh-CN" w:bidi="zh-TW"/>
                    </w:rPr>
                    <w:t>1、</w:t>
                  </w:r>
                  <w:r>
                    <w:rPr>
                      <w:rFonts w:hint="default" w:ascii="Times New Roman" w:hAnsi="Times New Roman" w:eastAsia="宋体" w:cs="Times New Roman"/>
                      <w:color w:val="auto"/>
                      <w:kern w:val="2"/>
                      <w:sz w:val="21"/>
                      <w:szCs w:val="21"/>
                      <w:lang w:val="zh-TW" w:eastAsia="zh-TW" w:bidi="zh-TW"/>
                    </w:rPr>
                    <w:t>本项目</w:t>
                  </w:r>
                  <w:r>
                    <w:rPr>
                      <w:rFonts w:hint="eastAsia" w:cs="Times New Roman"/>
                      <w:color w:val="auto"/>
                      <w:kern w:val="2"/>
                      <w:sz w:val="21"/>
                      <w:szCs w:val="21"/>
                      <w:lang w:val="zh-TW" w:eastAsia="zh-CN" w:bidi="zh-TW"/>
                    </w:rPr>
                    <w:t>非六大重点行业，</w:t>
                  </w:r>
                  <w:r>
                    <w:rPr>
                      <w:rFonts w:hint="eastAsia" w:ascii="Times New Roman" w:hAnsi="Times New Roman" w:eastAsia="宋体" w:cs="Times New Roman"/>
                      <w:color w:val="auto"/>
                      <w:kern w:val="2"/>
                      <w:sz w:val="21"/>
                      <w:szCs w:val="21"/>
                      <w:lang w:val="zh-TW" w:eastAsia="zh-CN" w:bidi="zh-TW"/>
                    </w:rPr>
                    <w:t>无需进行</w:t>
                  </w:r>
                  <w:r>
                    <w:rPr>
                      <w:rFonts w:ascii="Times New Roman" w:hAnsi="Times New Roman" w:eastAsia="宋体" w:cs="Times New Roman"/>
                      <w:color w:val="auto"/>
                      <w:kern w:val="2"/>
                      <w:sz w:val="21"/>
                      <w:szCs w:val="21"/>
                      <w:lang w:val="zh-TW" w:eastAsia="zh-TW" w:bidi="zh-TW"/>
                    </w:rPr>
                    <w:t>污染物2倍削减</w:t>
                  </w:r>
                  <w:r>
                    <w:rPr>
                      <w:rFonts w:hint="eastAsia" w:ascii="Times New Roman" w:hAnsi="Times New Roman" w:eastAsia="宋体" w:cs="Times New Roman"/>
                      <w:color w:val="auto"/>
                      <w:kern w:val="2"/>
                      <w:sz w:val="21"/>
                      <w:szCs w:val="21"/>
                      <w:lang w:val="zh-TW" w:eastAsia="zh-CN" w:bidi="zh-TW"/>
                    </w:rPr>
                    <w:t>替代。</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kern w:val="2"/>
                      <w:sz w:val="21"/>
                      <w:szCs w:val="21"/>
                      <w:lang w:val="en-US" w:eastAsia="zh-CN" w:bidi="zh-TW"/>
                    </w:rPr>
                    <w:t>2、</w:t>
                  </w:r>
                  <w:r>
                    <w:rPr>
                      <w:rFonts w:hint="eastAsia" w:ascii="Times New Roman" w:hAnsi="Times New Roman" w:eastAsia="宋体" w:cs="Times New Roman"/>
                      <w:color w:val="auto"/>
                      <w:szCs w:val="21"/>
                      <w:lang w:val="en-US" w:eastAsia="zh-CN"/>
                    </w:rPr>
                    <w:t>本项目不涉及燃煤锅炉、燃油（醇基燃料）锅炉、燃用生物质专用锅炉。</w:t>
                  </w:r>
                </w:p>
                <w:p>
                  <w:pPr>
                    <w:numPr>
                      <w:ilvl w:val="0"/>
                      <w:numId w:val="1"/>
                    </w:numPr>
                    <w:spacing w:line="360" w:lineRule="exact"/>
                    <w:ind w:left="-105" w:leftChars="-50" w:right="-105" w:rightChars="-5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本项目不涉及农村燃煤。</w:t>
                  </w:r>
                </w:p>
                <w:p>
                  <w:pPr>
                    <w:numPr>
                      <w:ilvl w:val="0"/>
                      <w:numId w:val="1"/>
                    </w:numPr>
                    <w:spacing w:line="360" w:lineRule="exact"/>
                    <w:ind w:left="-105" w:leftChars="-50" w:right="-105" w:rightChars="-5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不在上述</w:t>
                  </w:r>
                  <w:r>
                    <w:rPr>
                      <w:rFonts w:hint="default" w:ascii="Times New Roman" w:hAnsi="Times New Roman" w:eastAsia="宋体" w:cs="Times New Roman"/>
                      <w:color w:val="auto"/>
                      <w:szCs w:val="21"/>
                      <w:lang w:val="en-US" w:eastAsia="zh-CN"/>
                    </w:rPr>
                    <w:t>钢铁、建材、焦化、化工等高排放行业</w:t>
                  </w:r>
                  <w:r>
                    <w:rPr>
                      <w:rFonts w:hint="eastAsia" w:ascii="Times New Roman" w:hAnsi="Times New Roman" w:eastAsia="宋体" w:cs="Times New Roman"/>
                      <w:color w:val="auto"/>
                      <w:szCs w:val="21"/>
                      <w:lang w:val="en-US" w:eastAsia="zh-CN"/>
                    </w:rPr>
                    <w:t>之列。</w:t>
                  </w:r>
                </w:p>
                <w:p>
                  <w:pPr>
                    <w:numPr>
                      <w:ilvl w:val="0"/>
                      <w:numId w:val="1"/>
                    </w:numPr>
                    <w:spacing w:line="360" w:lineRule="exact"/>
                    <w:ind w:left="-105" w:leftChars="-50" w:right="-105" w:rightChars="-5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w:t>
                  </w:r>
                </w:p>
                <w:p>
                  <w:pPr>
                    <w:numPr>
                      <w:ilvl w:val="0"/>
                      <w:numId w:val="1"/>
                    </w:numPr>
                    <w:spacing w:line="360" w:lineRule="exact"/>
                    <w:ind w:left="-105" w:leftChars="-50" w:right="-105" w:rightChars="-5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w:t>
                  </w:r>
                </w:p>
                <w:p>
                  <w:pPr>
                    <w:numPr>
                      <w:ilvl w:val="0"/>
                      <w:numId w:val="1"/>
                    </w:numPr>
                    <w:spacing w:line="360" w:lineRule="exact"/>
                    <w:ind w:left="-105" w:leftChars="-50" w:right="-105" w:rightChars="-5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w:t>
                  </w:r>
                </w:p>
                <w:p>
                  <w:pPr>
                    <w:numPr>
                      <w:ilvl w:val="0"/>
                      <w:numId w:val="1"/>
                    </w:numPr>
                    <w:spacing w:line="360" w:lineRule="exact"/>
                    <w:ind w:left="-105" w:leftChars="-50" w:right="-105" w:rightChars="-5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本项目强化建筑施工扬尘污染防治，严格落实《河北省扬尘污染防治办法》，对城市建成区、县城建筑施工工地实施全面监管。强化道路扬尘综合治理9、本项目不涉及。</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10、本项目建成后按照当地预警要求进行减排。</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11、本项目不涉及。</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12、本项目不涉及。</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13、本项目不涉及挥发性有机物产生。</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14、本项目不涉及。</w:t>
                  </w:r>
                </w:p>
                <w:p>
                  <w:pPr>
                    <w:numPr>
                      <w:ilvl w:val="0"/>
                      <w:numId w:val="0"/>
                    </w:numPr>
                    <w:spacing w:line="360" w:lineRule="exact"/>
                    <w:ind w:leftChars="-50" w:right="-105" w:rightChars="-50"/>
                    <w:jc w:val="both"/>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15、本项目不涉及。</w:t>
                  </w:r>
                </w:p>
              </w:tc>
              <w:tc>
                <w:tcPr>
                  <w:tcW w:w="326"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资源开发利用</w:t>
                  </w:r>
                </w:p>
              </w:tc>
              <w:tc>
                <w:tcPr>
                  <w:tcW w:w="2982" w:type="pct"/>
                  <w:gridSpan w:val="2"/>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1、对新增耗煤项目实施</w:t>
                  </w:r>
                  <w:r>
                    <w:rPr>
                      <w:rFonts w:hint="eastAsia" w:ascii="Times New Roman" w:hAnsi="Times New Roman" w:eastAsia="宋体" w:cs="Times New Roman"/>
                      <w:color w:val="auto"/>
                      <w:szCs w:val="21"/>
                      <w:lang w:eastAsia="zh-CN"/>
                    </w:rPr>
                    <w:t>等量或</w:t>
                  </w:r>
                  <w:r>
                    <w:rPr>
                      <w:rFonts w:ascii="Times New Roman" w:hAnsi="Times New Roman" w:eastAsia="宋体" w:cs="Times New Roman"/>
                      <w:color w:val="auto"/>
                      <w:szCs w:val="21"/>
                    </w:rPr>
                    <w:t>减量替代。</w:t>
                  </w:r>
                </w:p>
                <w:p>
                  <w:pPr>
                    <w:spacing w:line="360" w:lineRule="exact"/>
                    <w:ind w:left="-105" w:leftChars="-50" w:right="-105" w:rightChars="-5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lang w:val="en-US" w:eastAsia="zh-CN"/>
                    </w:rPr>
                    <w:t>实施能源消耗总量和强度双控行动。健全节能标准体系，大力开发、推广节能高效技术和产品，实现重点用能行业、设备节能标准全覆盖</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新（改、扩）建项目能耗达到《河北省主要产品能耗限额和设备能效限定值》准入值要求， 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标准执行</w:t>
                  </w:r>
                  <w:r>
                    <w:rPr>
                      <w:rFonts w:ascii="Times New Roman" w:hAnsi="Times New Roman" w:eastAsia="宋体" w:cs="Times New Roman"/>
                      <w:color w:val="auto"/>
                      <w:szCs w:val="21"/>
                    </w:rPr>
                    <w:t>。</w:t>
                  </w:r>
                </w:p>
              </w:tc>
              <w:tc>
                <w:tcPr>
                  <w:tcW w:w="727" w:type="pct"/>
                  <w:tcBorders>
                    <w:tl2br w:val="nil"/>
                    <w:tr2bl w:val="nil"/>
                  </w:tcBorders>
                  <w:noWrap w:val="0"/>
                  <w:vAlign w:val="center"/>
                </w:tcPr>
                <w:p>
                  <w:pPr>
                    <w:numPr>
                      <w:ilvl w:val="0"/>
                      <w:numId w:val="2"/>
                    </w:num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本项目</w:t>
                  </w:r>
                  <w:r>
                    <w:rPr>
                      <w:rFonts w:hint="eastAsia" w:ascii="Times New Roman" w:hAnsi="Times New Roman" w:eastAsia="宋体" w:cs="Times New Roman"/>
                      <w:color w:val="auto"/>
                      <w:szCs w:val="21"/>
                      <w:lang w:eastAsia="zh-CN"/>
                    </w:rPr>
                    <w:t>不涉及</w:t>
                  </w:r>
                  <w:r>
                    <w:rPr>
                      <w:rFonts w:ascii="Times New Roman" w:hAnsi="Times New Roman" w:eastAsia="宋体" w:cs="Times New Roman"/>
                      <w:color w:val="auto"/>
                      <w:szCs w:val="21"/>
                    </w:rPr>
                    <w:t>耗煤</w:t>
                  </w:r>
                  <w:r>
                    <w:rPr>
                      <w:rFonts w:hint="eastAsia" w:ascii="Times New Roman" w:hAnsi="Times New Roman" w:eastAsia="宋体" w:cs="Times New Roman"/>
                      <w:color w:val="auto"/>
                      <w:szCs w:val="21"/>
                      <w:lang w:val="en-US" w:eastAsia="zh-CN"/>
                    </w:rPr>
                    <w:t>2、本项目不涉及。</w:t>
                  </w:r>
                </w:p>
                <w:p>
                  <w:pPr>
                    <w:numPr>
                      <w:ilvl w:val="0"/>
                      <w:numId w:val="0"/>
                    </w:numPr>
                    <w:spacing w:line="360" w:lineRule="exact"/>
                    <w:ind w:right="-105" w:rightChars="-50"/>
                    <w:jc w:val="both"/>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3、本项目不涉及。</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restar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地表水环 </w:t>
                  </w:r>
                </w:p>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境</w:t>
                  </w:r>
                </w:p>
              </w:tc>
              <w:tc>
                <w:tcPr>
                  <w:tcW w:w="377"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空间布局约束</w:t>
                  </w:r>
                </w:p>
              </w:tc>
              <w:tc>
                <w:tcPr>
                  <w:tcW w:w="2982" w:type="pct"/>
                  <w:gridSpan w:val="2"/>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、涉地表水自然保护区、湿地公园、饮用水水源保护区管控参照生态环境空间总体管控要求中各类保护地总体管控要求。</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、鼓励发展节水高效现代农业、低耗水高新技术产业以及生态保护型旅游业，严格控制缺水地区、水污染严重地区和敏感区域高耗水、高污染行业发展。</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全市重点河流沿岸、重要饮用水水源地补给区，严格控制化学原料和化学制品制造、医药制造、制革、造纸、焦化、化学纤维制造、石油加工、纺织印染等项目环境风险，合理布局生产装置及危险化学品仓储等设施。重大项目原则上布局在优化开发区和重点开发区，并符合城乡规划和土地利用总体规划。</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未按照规定完成污水集中处理设施以及管网建设的工业园区（工业集聚区），暂停审批和核准其增加水污染物排放的建设项目。向污水集中处理设施排放工业废水的，应当按照国家有关规定进行预处理，达到集中处理设施处理工艺要求后方可排放。</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推进现有企业向依法合规设立、环保设施齐全、符合规划环评要求、满足水法律法规规定的工业集聚区集中，明确涉水工业企业入园时间表；确因不具备入园条件需原地保留的涉水工业企业，明确保留条件，其中直排环境企业应达到排入水体功能区标准。</w:t>
                  </w:r>
                </w:p>
              </w:tc>
              <w:tc>
                <w:tcPr>
                  <w:tcW w:w="727" w:type="pct"/>
                  <w:tcBorders>
                    <w:tl2br w:val="nil"/>
                    <w:tr2bl w:val="nil"/>
                  </w:tcBorders>
                  <w:noWrap w:val="0"/>
                  <w:vAlign w:val="center"/>
                </w:tcPr>
                <w:p>
                  <w:pPr>
                    <w:numPr>
                      <w:ilvl w:val="0"/>
                      <w:numId w:val="3"/>
                    </w:num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本项目不涉及地表水自然保护区、湿地公园、饮用水水源保护区。</w:t>
                  </w:r>
                </w:p>
                <w:p>
                  <w:pPr>
                    <w:numPr>
                      <w:ilvl w:val="0"/>
                      <w:numId w:val="3"/>
                    </w:num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本项目用水由荆各庄村提供。3、本项目不涉及。</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4本项目无废水外排。</w:t>
                  </w:r>
                </w:p>
                <w:p>
                  <w:pPr>
                    <w:numPr>
                      <w:ilvl w:val="0"/>
                      <w:numId w:val="0"/>
                    </w:numPr>
                    <w:spacing w:line="360" w:lineRule="exact"/>
                    <w:ind w:leftChars="-50" w:right="-105" w:rightChars="-5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5、本项目无废水外排。</w:t>
                  </w:r>
                </w:p>
                <w:p>
                  <w:pPr>
                    <w:numPr>
                      <w:ilvl w:val="0"/>
                      <w:numId w:val="0"/>
                    </w:numPr>
                    <w:spacing w:line="360" w:lineRule="exact"/>
                    <w:ind w:leftChars="-50" w:right="-105" w:rightChars="-50"/>
                    <w:jc w:val="both"/>
                    <w:rPr>
                      <w:rFonts w:hint="default" w:ascii="Times New Roman" w:hAnsi="Times New Roman" w:eastAsia="宋体" w:cs="Times New Roman"/>
                      <w:color w:val="auto"/>
                      <w:szCs w:val="21"/>
                      <w:lang w:val="en-US" w:eastAsia="zh-CN"/>
                    </w:rPr>
                  </w:pP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污染排放管控</w:t>
                  </w:r>
                </w:p>
              </w:tc>
              <w:tc>
                <w:tcPr>
                  <w:tcW w:w="2982" w:type="pct"/>
                  <w:gridSpan w:val="2"/>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 xml:space="preserve">、严格控制高污染、高耗水行业新增产能。产能过剩产业实行新增产能等量替代、涉水主要污染物排放同行业倍量替代。对造纸、焦化、氮肥、石油化工、印染、农副食品加工、原料药制造、制革、农药、电镀等“十大”重点行业，新建、改建、扩建项目实行新增主要污染物排放倍量替代。 </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全面加强城镇污水管网建设，提升污水收集能力。扩大城镇污水管网覆盖范围，推进新建城区、扩建新区以及城乡结合部等污水截留、收集纳管；进一步加强城区支管、毛细管等管网建设，提高污水收集率。推进城镇排水系统雨污分流建设，新建城区、扩建新区、新开发区建设排水管网一律实行雨污分流；强化各县（市、区）城区和重点城镇污水管网建设，新建污水处理设施应与配套管网同步设计、同步建设、同步投运。推进初期雨水收集、处理与资源化利用。</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强化工业污水限期达标整治。推进废水直排外环境的工业企业全面达标排放。强化入河排污口监督管理，推动入河排污口规范化建设，取缔非法入河排污口。加大超标排放整治力度，对超标和超总量的企业依法查处，对企业超标现象普遍、超标企业集中地区政府采取挂牌督办、公开约谈等措施。对整治仍不能达到要求且情节严重的企业，由所在地政府依法责令限期关闭。</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、推进农业面源污染治理。减少化肥农药使用量，严格控制高毒高风险农药使用，推进有机肥替代化肥、病虫害绿色防控替代化学防治，积极推进废旧农膜回收，完善废旧地膜和包装废弃物等回收处理制度。</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、推进养殖废弃物资源化利用。坚持种植和养殖相结合，就地就近消纳利用畜禽养殖废弃物。合理布局水产养殖空间，深入推进生态健康养殖，开展重点河流湖库及近岸海域破坏生态环境的养殖方式综合整治。</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、实施总氮排放总量控制，新建、改建、扩建涉及总氮排放的建设项目，实施总氮排放总量指标减量替代，并在相关单位排污许可证中予以明确、严格落实，严控新增总氮排放量</w:t>
                  </w:r>
                </w:p>
              </w:tc>
              <w:tc>
                <w:tcPr>
                  <w:tcW w:w="727"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本项目用水由荆各庄村提供。无废水外排</w:t>
                  </w:r>
                </w:p>
              </w:tc>
              <w:tc>
                <w:tcPr>
                  <w:tcW w:w="326"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5" w:hRule="atLeast"/>
              </w:trPr>
              <w:tc>
                <w:tcPr>
                  <w:tcW w:w="585" w:type="pct"/>
                  <w:vMerge w:val="continue"/>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环境风险管控</w:t>
                  </w:r>
                </w:p>
              </w:tc>
              <w:tc>
                <w:tcPr>
                  <w:tcW w:w="2982" w:type="pct"/>
                  <w:gridSpan w:val="2"/>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有效防控水源地环境风险。每年对集中式饮用水水源保护区开展基础调查与评估，将可能影响水源水质安全的风险源全部列入档案，加强风险应急防控，建立联防联控应急机制。推广供水水厂应急净化技术，储备应急供水专项物资，配置移动式应急净水设备，加强应急抢险专业队伍建设，及时有效处置饮用水水源突发环境事件</w:t>
                  </w:r>
                </w:p>
              </w:tc>
              <w:tc>
                <w:tcPr>
                  <w:tcW w:w="727"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建设单位待后期项目建设完成后再进行修编，以面对突发环境事件</w:t>
                  </w:r>
                </w:p>
              </w:tc>
              <w:tc>
                <w:tcPr>
                  <w:tcW w:w="326"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资源开发利用</w:t>
                  </w:r>
                </w:p>
              </w:tc>
              <w:tc>
                <w:tcPr>
                  <w:tcW w:w="2982" w:type="pct"/>
                  <w:gridSpan w:val="2"/>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 xml:space="preserve">、开展用水效率评估，建立万元工业增加值水耗指标等用水效率评估体系，把节水目标任务 </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完成情况纳入地方政府政绩考核。将再生水、雨水和微咸水等非常规水源纳入水资源统一配置。 </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发展农业节水。调整农业种植结构，发展旱作节水农业，推进田间节水设施建设，大力推广耐旱节水品种、耕作保墒、地膜覆盖、秸秆还田、水肥一体化等农业综合节水技术。推广渠道防渗、管道输水、喷灌、微灌、农作物节水抗旱等技术，完善灌溉用水计量设施，推进规模化高效节水灌溉。加快高效节水灌溉示范项目建设，粮食主产区大力推广以高标准管灌为主的节水灌溉工程，蔬菜、果品和经济种植区大力推广微滴灌技术，规模化农场、承包大户积极推广喷灌技术。地上水灌区实施续建配套与节水改造</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本项目用水取自自来水管网。无废水外排</w:t>
                  </w: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restar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土壤及地下水环境</w:t>
                  </w:r>
                </w:p>
              </w:tc>
              <w:tc>
                <w:tcPr>
                  <w:tcW w:w="37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空间布局约束</w:t>
                  </w:r>
                </w:p>
              </w:tc>
              <w:tc>
                <w:tcPr>
                  <w:tcW w:w="2982" w:type="pct"/>
                  <w:gridSpan w:val="2"/>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1、严格执行相关行业企业布局选址要求，禁止在居民区和学校、医院、疗养院、养老院等单位周边新建、改建、扩建可能造成土壤污染的建设项目。</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、禁止在集中式地下水饮用水水源地建设需要取水的地热能开发利用项目。禁止抽取难以更新的地下水用于需要取水的地热能开发利用项目。</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、地下水饮用水水源地优先保护区管控参照生态环境空间总体管控要求中地下水饮用水水源地保护区总体管控要求。</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项目污染物达标排放，不会对土壤、地下水造成污染。</w:t>
                  </w: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污染排放管控</w:t>
                  </w:r>
                </w:p>
              </w:tc>
              <w:tc>
                <w:tcPr>
                  <w:tcW w:w="2982" w:type="pct"/>
                  <w:gridSpan w:val="2"/>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 xml:space="preserve">、严禁将污泥直接用作肥料，禁止不达标污泥就地堆放，结合污泥处理设施升级改造，逐步 </w:t>
                  </w:r>
                </w:p>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取消原生污泥简易填埋等不符合环保要求的处置方式。鼓励利用水泥厂等工业窑炉，开展污泥协同焚烧处置。2、严格落实总量控制制度，减少重金属污染物排放。新、改、扩建涉重金属重点行业建设项目，污染物排放实施等量或倍量替换，排放量不降反升的地区暂停审批新增重金属污染物排放的建设项目。加大减排项目督导力度，确保项目按期实施。</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严格危险废物经营许可审批，加强危险废物处置单位规范化管理核查。统筹推进危险废物利用处置能力建设，加快补齐利用处置设施短板。积极推进重点监管源智能监控体系建设，加大危险废物产生、贮存、转运、利用、处置全流程监管力度。规范和完善医疗废物分类收集处置体系。</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建设和运行固体废物处置设施，应当采取防扬散、防流失、防渗漏等措施，依法贮存、利用、处置固体废物。处置生活垃圾，应当优先采用焚烧处理技术，有计划地实现垃圾零填埋，已有的垃圾填埋处置设施应当建设渗滤液收集和处理、处置设施，并采取相应措施防止土壤污染。</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、严格危险废物源头管控，优化利用处置结构布局，提高应急保障能力。发展生态循环农业，提升农业废弃物综合利用率。健全完善制度、技术、市场、监管四大政策体系，实现固体废物和危险废物全链条监管</w:t>
                  </w:r>
                </w:p>
              </w:tc>
              <w:tc>
                <w:tcPr>
                  <w:tcW w:w="727"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项目污染物达标排放，不会对土壤、地下水造成污染。</w:t>
                  </w:r>
                </w:p>
              </w:tc>
              <w:tc>
                <w:tcPr>
                  <w:tcW w:w="326" w:type="pct"/>
                  <w:tcBorders>
                    <w:tl2br w:val="nil"/>
                    <w:tr2bl w:val="nil"/>
                  </w:tcBorders>
                  <w:noWrap w:val="0"/>
                  <w:vAlign w:val="center"/>
                </w:tcPr>
                <w:p>
                  <w:pPr>
                    <w:spacing w:line="360" w:lineRule="exact"/>
                    <w:ind w:left="-105" w:leftChars="-50" w:right="-105" w:rightChars="-5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环境风险管控</w:t>
                  </w:r>
                </w:p>
              </w:tc>
              <w:tc>
                <w:tcPr>
                  <w:tcW w:w="2982" w:type="pct"/>
                  <w:gridSpan w:val="2"/>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 xml:space="preserve">、每年对集中式饮用水水源保护区开展基础调查与评估，将可能影响水源水质安全的风险源 </w:t>
                  </w:r>
                </w:p>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全部列入档案，实行“一源一案”，对每个风险源开展隐患排查、整改，编制风险应急方案，建立联防联控应急机制。</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、尾矿库运营、管理单位应当按照规定加强尾矿库的安全管理，采取措施防止土壤污染。危库、险库、病库以及其他需要重点监管的尾矿库运营、管理单位应当按照规定进行土壤污染状况监测和定期评估。</w:t>
                  </w:r>
                  <w:r>
                    <w:rPr>
                      <w:rFonts w:hint="default"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en-US" w:eastAsia="zh-CN"/>
                    </w:rPr>
                    <w:t>、产生、收集、贮存、运输、利用、处置危险废物的单位，应当依法制定意外事故的防范措施和应急预案，并向所在地生态环境主管部门和其他负有固体废物污染环境防治监督管理职责的部门备案。</w:t>
                  </w: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、严格落实耕地风险防范措施。对安全利用类耕地，应结合当地主要作物品种和种植习惯，采取农艺调控、低积累品种替代、轮作间作等措施，降低农产品超标风险；对严格管控类耕地， 依法划定特定农产品禁止生产区域，鼓励采取调整种植结构、退耕还林还草、退耕还湿、轮作休耕等风险管控措施。</w:t>
                  </w:r>
                  <w:r>
                    <w:rPr>
                      <w:rFonts w:hint="default"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val="en-US" w:eastAsia="zh-CN"/>
                    </w:rPr>
                    <w:t>、强化污染地块土壤环境联动监管。抓好退城搬迁工业企业工矿用地土壤环境监督管理，土壤污染重点监管单位拆除设施、设备或者建筑物、构筑物，要制定土壤污染防治工作方案并按要求备案，防范拆除活动造成土壤和地下水污染，切实保障生态环境安全。</w:t>
                  </w: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 xml:space="preserve">、严格建设用地准入管理。加强对土地征收、收回、收购的监督管理，对应当开展土壤污染状况调查而未进行调查的地块，以及列入疑似污染地块名单、污染地块名录、建设用地土壤污染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 </w:t>
                  </w:r>
                </w:p>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lang w:val="en-US" w:eastAsia="zh-CN"/>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编制修复方案并组织实施。加强治理与修复施工的环境监理，并严防治理与修复过程中产生废水、废气和固体废物二次污染。</w:t>
                  </w:r>
                  <w:r>
                    <w:rPr>
                      <w:rFonts w:hint="default"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lang w:val="en-US" w:eastAsia="zh-CN"/>
                    </w:rPr>
                    <w:t>、县级以上地方人民政府应当根据地下水水源条件和需要，建设应急备用饮用水水源，制定应急预案，确保需要时正常使用。应急备用地下水水源结束应急使用后，应当立即停止取水。</w:t>
                  </w:r>
                  <w:r>
                    <w:rPr>
                      <w:rFonts w:hint="default"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lang w:val="en-US" w:eastAsia="zh-CN"/>
                    </w:rPr>
                    <w:t>、针对存在地下水污染的化工园区、危险废物处置场和生活垃圾填埋场等，实施地下水污染风险管控，因地制宜选择阻隔、制度控制、渗透反应格栅等技术，阻止污染扩散，加强风险管控后期地下水环境监管。</w:t>
                  </w:r>
                  <w:r>
                    <w:rPr>
                      <w:rFonts w:hint="default" w:ascii="Times New Roman" w:hAnsi="Times New Roman" w:eastAsia="宋体" w:cs="Times New Roman"/>
                      <w:color w:val="auto"/>
                      <w:szCs w:val="21"/>
                      <w:lang w:val="en-US" w:eastAsia="zh-CN"/>
                    </w:rPr>
                    <w:t>10</w:t>
                  </w:r>
                  <w:r>
                    <w:rPr>
                      <w:rFonts w:hint="eastAsia" w:ascii="Times New Roman" w:hAnsi="Times New Roman" w:eastAsia="宋体" w:cs="Times New Roman"/>
                      <w:color w:val="auto"/>
                      <w:szCs w:val="21"/>
                      <w:lang w:val="en-US" w:eastAsia="zh-CN"/>
                    </w:rPr>
                    <w:t xml:space="preserve">、地下水污染风险重点管控区执行《唐山市地下水污染防治重点区划定方案（试行）》中 </w:t>
                  </w:r>
                </w:p>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管控类区域管理要求。</w:t>
                  </w:r>
                </w:p>
              </w:tc>
              <w:tc>
                <w:tcPr>
                  <w:tcW w:w="727"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项目污染物达标排放，不会对土壤、地下水造成污染。</w:t>
                  </w:r>
                </w:p>
              </w:tc>
              <w:tc>
                <w:tcPr>
                  <w:tcW w:w="326" w:type="pct"/>
                  <w:tcBorders>
                    <w:tl2br w:val="nil"/>
                    <w:tr2bl w:val="nil"/>
                  </w:tcBorders>
                  <w:noWrap w:val="0"/>
                  <w:vAlign w:val="center"/>
                </w:tcPr>
                <w:p>
                  <w:pPr>
                    <w:spacing w:line="360" w:lineRule="exact"/>
                    <w:ind w:left="-105" w:leftChars="-50" w:right="-105" w:rightChars="-5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restar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资源</w:t>
                  </w: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水资源</w:t>
                  </w:r>
                </w:p>
              </w:tc>
              <w:tc>
                <w:tcPr>
                  <w:tcW w:w="439"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资源利用效率要求</w:t>
                  </w:r>
                </w:p>
              </w:tc>
              <w:tc>
                <w:tcPr>
                  <w:tcW w:w="2542"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1、严格禁限采区管理要求，在地下水禁止开采区，一律禁止开凿新的取水井，对已有的取水井应当制定计划逐步予以关停；在地下水限制开采区，一般不得开凿新的取水井，确需取用地下水的，应按用1减2的比例以及先减后加的原则同步削减其它取水单位的地下水用水量，且不得深层、浅层地下水相互替代；在地下水一般超采区，应当按照采补平衡原则严格控制开采地下水，限制取水量，并规划建设替代水源，采取措施增加地下水的有效补给</w:t>
                  </w:r>
                </w:p>
              </w:tc>
              <w:tc>
                <w:tcPr>
                  <w:tcW w:w="72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项目区域</w:t>
                  </w:r>
                  <w:r>
                    <w:rPr>
                      <w:rFonts w:hint="eastAsia"/>
                      <w:color w:val="auto"/>
                      <w:szCs w:val="21"/>
                      <w:lang w:eastAsia="zh-CN"/>
                    </w:rPr>
                    <w:t>用水</w:t>
                  </w:r>
                  <w:r>
                    <w:rPr>
                      <w:rFonts w:hint="eastAsia" w:ascii="Times New Roman" w:hAnsi="Times New Roman" w:eastAsia="宋体" w:cs="Times New Roman"/>
                      <w:color w:val="auto"/>
                      <w:szCs w:val="21"/>
                      <w:lang w:val="en-US" w:eastAsia="zh-CN"/>
                    </w:rPr>
                    <w:t>由荆各庄村提供</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能源</w:t>
                  </w:r>
                </w:p>
              </w:tc>
              <w:tc>
                <w:tcPr>
                  <w:tcW w:w="439"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资源利用效率要求</w:t>
                  </w:r>
                </w:p>
              </w:tc>
              <w:tc>
                <w:tcPr>
                  <w:tcW w:w="2542"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1、禁燃区内不得新建燃烧煤炭、重油、渣油等高污染燃料的设施：现有燃烧高污染燃料的设施，应当限期改用清洁能源；未改用清洁能源替代的高污染燃料设施，应当配套建设先进工艺的脱硫、脱硝、除尘装置或者采取其他措施，控制二氧化硫、氮氧化物和烟尘等排放；仍未达到大气污染物排放标准的，应当停止使用。2、禁燃区内禁止原煤散烧。</w:t>
                  </w:r>
                </w:p>
                <w:p>
                  <w:pPr>
                    <w:spacing w:line="360" w:lineRule="exact"/>
                    <w:ind w:left="-105" w:leftChars="-50" w:right="-105" w:rightChars="-50"/>
                    <w:jc w:val="center"/>
                    <w:rPr>
                      <w:color w:val="auto"/>
                      <w:szCs w:val="21"/>
                    </w:rPr>
                  </w:pPr>
                  <w:r>
                    <w:rPr>
                      <w:color w:val="auto"/>
                      <w:szCs w:val="21"/>
                    </w:rPr>
                    <w:t>3、对以煤、石油焦、渣油、重油等为燃料的工业炉窑，加快使用清洁低碳能源以及利用工厂余热、电厂热力等进行替代，全市禁止掺烧高硫石油焦（硫含量大于3%）。玻璃行业全面禁止掺烧高硫石油焦。</w:t>
                  </w:r>
                </w:p>
              </w:tc>
              <w:tc>
                <w:tcPr>
                  <w:tcW w:w="727" w:type="pct"/>
                  <w:tcBorders>
                    <w:tl2br w:val="nil"/>
                    <w:tr2bl w:val="nil"/>
                  </w:tcBorders>
                  <w:noWrap w:val="0"/>
                  <w:vAlign w:val="center"/>
                </w:tcPr>
                <w:p>
                  <w:pPr>
                    <w:spacing w:line="360" w:lineRule="exact"/>
                    <w:ind w:left="-105" w:leftChars="-50" w:right="-105" w:rightChars="-50"/>
                    <w:jc w:val="center"/>
                    <w:rPr>
                      <w:rFonts w:hint="eastAsia"/>
                      <w:color w:val="auto"/>
                      <w:szCs w:val="21"/>
                    </w:rPr>
                  </w:pPr>
                  <w:r>
                    <w:rPr>
                      <w:color w:val="auto"/>
                      <w:szCs w:val="21"/>
                    </w:rPr>
                    <w:t>项目生产</w:t>
                  </w:r>
                  <w:r>
                    <w:rPr>
                      <w:rFonts w:hint="eastAsia"/>
                      <w:color w:val="auto"/>
                      <w:szCs w:val="21"/>
                      <w:lang w:eastAsia="zh-CN"/>
                    </w:rPr>
                    <w:t>采用电加热</w:t>
                  </w:r>
                  <w:r>
                    <w:rPr>
                      <w:rFonts w:hint="eastAsia"/>
                      <w:color w:val="auto"/>
                      <w:szCs w:val="21"/>
                    </w:rPr>
                    <w:t>。</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vMerge w:val="continue"/>
                  <w:tcBorders>
                    <w:tl2br w:val="nil"/>
                    <w:tr2bl w:val="nil"/>
                  </w:tcBorders>
                  <w:noWrap w:val="0"/>
                  <w:vAlign w:val="center"/>
                </w:tcPr>
                <w:p>
                  <w:pPr>
                    <w:spacing w:line="360" w:lineRule="exact"/>
                    <w:ind w:left="-105" w:leftChars="-50" w:right="-105" w:rightChars="-50"/>
                    <w:jc w:val="center"/>
                    <w:rPr>
                      <w:color w:val="auto"/>
                      <w:szCs w:val="21"/>
                    </w:rPr>
                  </w:pP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岸线资源</w:t>
                  </w:r>
                </w:p>
              </w:tc>
              <w:tc>
                <w:tcPr>
                  <w:tcW w:w="439"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资源利用效率要求</w:t>
                  </w:r>
                </w:p>
              </w:tc>
              <w:tc>
                <w:tcPr>
                  <w:tcW w:w="2542"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1、除国防安全需要外，禁止在严格保护岸线的保护范围内构建永久性建筑物、围填海、开采海砂、设置排污口等损害海岸地形地貌和生态环境的活动。</w:t>
                  </w:r>
                </w:p>
                <w:p>
                  <w:pPr>
                    <w:spacing w:line="360" w:lineRule="exact"/>
                    <w:ind w:left="-105" w:leftChars="-50" w:right="-105" w:rightChars="-50"/>
                    <w:jc w:val="center"/>
                    <w:rPr>
                      <w:color w:val="auto"/>
                      <w:szCs w:val="21"/>
                    </w:rPr>
                  </w:pPr>
                  <w:r>
                    <w:rPr>
                      <w:color w:val="auto"/>
                      <w:szCs w:val="21"/>
                    </w:rPr>
                    <w:t>2、限制开发岸线严格控制改变海岸自然形态和影响海岸生态功能的开发利用活动，预留未来发展空间，严格海域使用审批。3、不能满足自然岸线保有率管控目标和要求的建设项目用海不予批准。不能满足自然岸线保有率管控目标和要求的建设项目用海不予批准。不能满足自然岸线保有率管控目标和要求的建设项目用海不予批准。4、严控围填海项目的建设规模和占用岸线长度。</w:t>
                  </w:r>
                </w:p>
              </w:tc>
              <w:tc>
                <w:tcPr>
                  <w:tcW w:w="72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项目不在严格保护岸线的保护范围</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85"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产业总体布局要求</w:t>
                  </w:r>
                </w:p>
              </w:tc>
              <w:tc>
                <w:tcPr>
                  <w:tcW w:w="37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空间布局约束</w:t>
                  </w:r>
                </w:p>
              </w:tc>
              <w:tc>
                <w:tcPr>
                  <w:tcW w:w="2982" w:type="pct"/>
                  <w:gridSpan w:val="2"/>
                  <w:tcBorders>
                    <w:tl2br w:val="nil"/>
                    <w:tr2bl w:val="nil"/>
                  </w:tcBorders>
                  <w:noWrap w:val="0"/>
                  <w:vAlign w:val="center"/>
                </w:tcPr>
                <w:p>
                  <w:pPr>
                    <w:spacing w:line="360" w:lineRule="exact"/>
                    <w:ind w:left="-105" w:leftChars="-50" w:right="-105" w:rightChars="-50"/>
                    <w:jc w:val="left"/>
                    <w:rPr>
                      <w:color w:val="auto"/>
                      <w:szCs w:val="21"/>
                    </w:rPr>
                  </w:pPr>
                  <w:r>
                    <w:rPr>
                      <w:color w:val="auto"/>
                      <w:szCs w:val="21"/>
                    </w:rPr>
                    <w:t>1、严格执行《产业结构调整指导目录》《市场准入负面清单》《河北省禁止投资的产业目录》以及《河北省新增限制和淘汰类产业目录（2015年版）》相关要求。2、严格控制生态脆弱或环境敏感地区建设“两高”行业项目。3、严禁钢铁、焦化、水泥、平板玻璃、电解铝、有色、电石、铁合金、陶瓷等违规新增产能项目建设，鼓励建设大型超超临界和超临界机组，重点行业新（改、扩）建项目严格执行产能置换、煤炭、污染物倍量削减替代办法。4、唐山市重点河流沿岸、重要饮用水水源地补给区，严格控制化学原料和化学制品制造、医药制造、制革、造纸、焦化、化学纤维制造、石油加工、纺织印染等项目环境风险，合理布局生产装置及危险化学品仓储等设施。严格控制缺水地区、水污染严重地区和敏感区域高耗水、高污染行业发展。限时完成各县（市、区）建成区内现有钢铁、造纸、石油化工、制革、印染、食品发酵、化工等污染较重企业的搬迁改造或依法关闭。</w:t>
                  </w:r>
                </w:p>
                <w:p>
                  <w:pPr>
                    <w:spacing w:line="360" w:lineRule="exact"/>
                    <w:ind w:left="-105" w:leftChars="-50" w:right="-105" w:rightChars="-50"/>
                    <w:jc w:val="left"/>
                    <w:rPr>
                      <w:color w:val="auto"/>
                      <w:szCs w:val="21"/>
                    </w:rPr>
                  </w:pPr>
                  <w:r>
                    <w:rPr>
                      <w:color w:val="auto"/>
                      <w:szCs w:val="21"/>
                    </w:rPr>
                    <w:t>5、严格控制高污染、高耗水行业新增产能。产能过剩产业实行新增产能等量替代、涉水主要污染物排放同行业倍量替代。对造纸、焦化、氮肥、石油化工、印染、农副食品加工、原料药制造、制革、农药、电镀等“十大”重点行业，新建、改建、扩建项目实行新增主要污染物排放倍量替换。上一年度水体不能达到目标要求或未完成水污染物总量减排任务的流域区域暂停审批新增排放水污染物的建设项目。</w:t>
                  </w:r>
                </w:p>
              </w:tc>
              <w:tc>
                <w:tcPr>
                  <w:tcW w:w="727"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项目满足相关产业政策要求</w:t>
                  </w:r>
                  <w:r>
                    <w:rPr>
                      <w:rFonts w:hint="eastAsia"/>
                      <w:color w:val="auto"/>
                      <w:szCs w:val="21"/>
                    </w:rPr>
                    <w:t>；</w:t>
                  </w:r>
                  <w:r>
                    <w:rPr>
                      <w:color w:val="auto"/>
                      <w:szCs w:val="21"/>
                    </w:rPr>
                    <w:t>不属于</w:t>
                  </w:r>
                  <w:r>
                    <w:rPr>
                      <w:rFonts w:hint="eastAsia"/>
                      <w:color w:val="auto"/>
                      <w:szCs w:val="21"/>
                      <w:lang w:eastAsia="zh-CN"/>
                    </w:rPr>
                    <w:t>“</w:t>
                  </w:r>
                  <w:r>
                    <w:rPr>
                      <w:color w:val="auto"/>
                      <w:szCs w:val="21"/>
                    </w:rPr>
                    <w:t>两高</w:t>
                  </w:r>
                  <w:r>
                    <w:rPr>
                      <w:rFonts w:hint="eastAsia"/>
                      <w:color w:val="auto"/>
                      <w:szCs w:val="21"/>
                      <w:lang w:eastAsia="zh-CN"/>
                    </w:rPr>
                    <w:t>”</w:t>
                  </w:r>
                  <w:r>
                    <w:rPr>
                      <w:color w:val="auto"/>
                      <w:szCs w:val="21"/>
                    </w:rPr>
                    <w:t>行业项目。</w:t>
                  </w:r>
                </w:p>
              </w:tc>
              <w:tc>
                <w:tcPr>
                  <w:tcW w:w="326" w:type="pct"/>
                  <w:tcBorders>
                    <w:tl2br w:val="nil"/>
                    <w:tr2bl w:val="nil"/>
                  </w:tcBorders>
                  <w:noWrap w:val="0"/>
                  <w:vAlign w:val="center"/>
                </w:tcPr>
                <w:p>
                  <w:pPr>
                    <w:spacing w:line="360" w:lineRule="exact"/>
                    <w:ind w:left="-105" w:leftChars="-50" w:right="-105" w:rightChars="-50"/>
                    <w:jc w:val="center"/>
                    <w:rPr>
                      <w:color w:val="auto"/>
                      <w:szCs w:val="21"/>
                    </w:rPr>
                  </w:pPr>
                  <w:r>
                    <w:rPr>
                      <w:color w:val="auto"/>
                      <w:szCs w:val="21"/>
                    </w:rPr>
                    <w:t>符合</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 xml:space="preserve">   项目与唐山市陆域环境管控单元生态环境准入符合性分析</w:t>
            </w:r>
          </w:p>
          <w:tbl>
            <w:tblPr>
              <w:tblStyle w:val="21"/>
              <w:tblW w:w="7218" w:type="dxa"/>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26"/>
              <w:gridCol w:w="660"/>
              <w:gridCol w:w="871"/>
              <w:gridCol w:w="426"/>
              <w:gridCol w:w="2214"/>
              <w:gridCol w:w="1545"/>
              <w:gridCol w:w="6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378"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区县</w:t>
                  </w:r>
                </w:p>
              </w:tc>
              <w:tc>
                <w:tcPr>
                  <w:tcW w:w="405"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乡镇</w:t>
                  </w:r>
                </w:p>
              </w:tc>
              <w:tc>
                <w:tcPr>
                  <w:tcW w:w="670"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单元类别</w:t>
                  </w:r>
                </w:p>
              </w:tc>
              <w:tc>
                <w:tcPr>
                  <w:tcW w:w="885"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环境要素类别</w:t>
                  </w:r>
                </w:p>
              </w:tc>
              <w:tc>
                <w:tcPr>
                  <w:tcW w:w="405"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维度</w:t>
                  </w:r>
                </w:p>
              </w:tc>
              <w:tc>
                <w:tcPr>
                  <w:tcW w:w="2256"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管控措施</w:t>
                  </w:r>
                </w:p>
              </w:tc>
              <w:tc>
                <w:tcPr>
                  <w:tcW w:w="1560"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项目情况</w:t>
                  </w:r>
                </w:p>
              </w:tc>
              <w:tc>
                <w:tcPr>
                  <w:tcW w:w="659" w:type="dxa"/>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78" w:type="dxa"/>
                  <w:vMerge w:val="restart"/>
                  <w:tcBorders>
                    <w:tl2br w:val="nil"/>
                    <w:tr2bl w:val="nil"/>
                  </w:tcBorders>
                  <w:vAlign w:val="center"/>
                </w:tcPr>
                <w:p>
                  <w:pPr>
                    <w:keepNext w:val="0"/>
                    <w:keepLines w:val="0"/>
                    <w:widowControl/>
                    <w:suppressLineNumbers w:val="0"/>
                    <w:jc w:val="left"/>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开平区</w:t>
                  </w:r>
                </w:p>
              </w:tc>
              <w:tc>
                <w:tcPr>
                  <w:tcW w:w="405" w:type="dxa"/>
                  <w:vMerge w:val="restart"/>
                  <w:tcBorders>
                    <w:tl2br w:val="nil"/>
                    <w:tr2bl w:val="nil"/>
                  </w:tcBorders>
                  <w:vAlign w:val="center"/>
                </w:tcPr>
                <w:p>
                  <w:pPr>
                    <w:keepNext w:val="0"/>
                    <w:keepLines w:val="0"/>
                    <w:widowControl/>
                    <w:suppressLineNumbers w:val="0"/>
                    <w:jc w:val="left"/>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栗园镇</w:t>
                  </w:r>
                </w:p>
              </w:tc>
              <w:tc>
                <w:tcPr>
                  <w:tcW w:w="670" w:type="dxa"/>
                  <w:vMerge w:val="restart"/>
                  <w:tcBorders>
                    <w:tl2br w:val="nil"/>
                    <w:tr2bl w:val="nil"/>
                  </w:tcBorders>
                  <w:vAlign w:val="center"/>
                </w:tcPr>
                <w:p>
                  <w:pPr>
                    <w:keepNext w:val="0"/>
                    <w:keepLines w:val="0"/>
                    <w:widowControl/>
                    <w:suppressLineNumbers w:val="0"/>
                    <w:jc w:val="left"/>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重点管控单元</w:t>
                  </w:r>
                </w:p>
              </w:tc>
              <w:tc>
                <w:tcPr>
                  <w:tcW w:w="885" w:type="dxa"/>
                  <w:vMerge w:val="restart"/>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1、大气环境高排放重点管控区</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p>
              </w:tc>
              <w:tc>
                <w:tcPr>
                  <w:tcW w:w="405"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空间布局约束</w:t>
                  </w:r>
                </w:p>
              </w:tc>
              <w:tc>
                <w:tcPr>
                  <w:tcW w:w="225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1、二环线内，禁止新建铸造、轧钢、石灰窑、砖瓦窑、家具制造（涉 VOCs）、化工行业企业； 严禁国Ⅳ及以下排放标准柴油货车驶入。 2、推动钢铁行业企业关停、搬迁。</w:t>
                  </w:r>
                </w:p>
              </w:tc>
              <w:tc>
                <w:tcPr>
                  <w:tcW w:w="1560"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本项目属于废弃资源综合利用业，不涉及铸造、轧钢、石灰窑、砖瓦窑、家具制造（涉 VOCs）、化工行业企业；不涉及钢铁行业企业关停、搬迁</w:t>
                  </w:r>
                </w:p>
              </w:tc>
              <w:tc>
                <w:tcPr>
                  <w:tcW w:w="659"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78"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cs="Times New Roman"/>
                      <w:color w:val="auto"/>
                      <w:highlight w:val="none"/>
                    </w:rPr>
                  </w:pPr>
                </w:p>
              </w:tc>
              <w:tc>
                <w:tcPr>
                  <w:tcW w:w="405"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cs="Times New Roman"/>
                      <w:color w:val="auto"/>
                      <w:highlight w:val="none"/>
                    </w:rPr>
                  </w:pPr>
                </w:p>
              </w:tc>
              <w:tc>
                <w:tcPr>
                  <w:tcW w:w="670"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cs="Times New Roman"/>
                      <w:color w:val="auto"/>
                      <w:highlight w:val="none"/>
                    </w:rPr>
                  </w:pPr>
                </w:p>
              </w:tc>
              <w:tc>
                <w:tcPr>
                  <w:tcW w:w="885" w:type="dxa"/>
                  <w:vMerge w:val="continue"/>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p>
              </w:tc>
              <w:tc>
                <w:tcPr>
                  <w:tcW w:w="405"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污染物排放管控</w:t>
                  </w:r>
                </w:p>
              </w:tc>
              <w:tc>
                <w:tcPr>
                  <w:tcW w:w="225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 xml:space="preserve">1、禁止生产、销售、使用国家明令禁止的农业投入品，推进农业投入品包装废弃物和农用薄膜回收及无害化处理。鼓励使用低毒、低残留农药以及先进喷施技术；使用符合标准的有机肥、高效肥；采用生物防治等病虫害绿色防控技术；使用生物可降解农用薄膜；综合利用秸秆、移出高富集污染物秸秆。 </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合理使用农药、兽药、肥料、饲料、农用薄膜等农业投入品，控制农药、兽药、化肥等的使用量。鼓励采取有利于防止土壤污染的种养结合、轮作休耕等农业耕作措施:支持采取土壤改良土壤肥力提升等有利于土壤养护和培育的措施:支持畜禽粪便处理、利用设施的建设</w:t>
                  </w:r>
                </w:p>
              </w:tc>
              <w:tc>
                <w:tcPr>
                  <w:tcW w:w="1560"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w:t>
                  </w:r>
                  <w:r>
                    <w:rPr>
                      <w:rFonts w:hint="default" w:ascii="Times New Roman" w:hAnsi="Times New Roman" w:cs="Times New Roman"/>
                      <w:b w:val="0"/>
                      <w:bCs w:val="0"/>
                      <w:color w:val="auto"/>
                      <w:kern w:val="2"/>
                      <w:sz w:val="21"/>
                      <w:szCs w:val="21"/>
                      <w:highlight w:val="none"/>
                      <w:lang w:val="en-US" w:eastAsia="zh-CN" w:bidi="ar-SA"/>
                    </w:rPr>
                    <w:t>不涉及农药使用，不涉及农业种植</w:t>
                  </w:r>
                </w:p>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59"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78"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405"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670"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885"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405" w:type="dxa"/>
                  <w:tcBorders>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环境风险管控</w:t>
                  </w:r>
                </w:p>
              </w:tc>
              <w:tc>
                <w:tcPr>
                  <w:tcW w:w="225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 xml:space="preserve">1、企业事业单位拆除设施、设备或者建筑物、构筑物的，应当采取相应的土壤污染防治措施。 其中，土壤污染重点监管单位还应当制定包括应急措施在内的土壤污染防治工作方案，报地方人 </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 xml:space="preserve">民政府生态环境、工业和信息化主管部门备案并实施。退成搬迁企业用地再次开发利用前，按程序开展土壤污染状况调查、风险评估、风险管控和修复。 </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2、完善农村生活垃圾市场化保洁机制，排查整治非正规垃圾堆放点，巩固农村生活垃圾收运体系长效机制。</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3、建立农村生活污水治理运行与管控长效机制，推进村庄生活污水优先就近纳入城市、县城和乡（镇）污水收集管网集中统一处理；在城镇排污管网未覆盖的乡（镇）应当有计划地组织建设乡（镇）污水处理站和分散式污水净化设施，防止污染地下水。</w:t>
                  </w:r>
                </w:p>
              </w:tc>
              <w:tc>
                <w:tcPr>
                  <w:tcW w:w="1560"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本项目不涉及拆除工程使用，不涉及农村生活垃圾及农村生活污水治理</w:t>
                  </w:r>
                </w:p>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659"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78"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405"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670"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885" w:type="dxa"/>
                  <w:vMerge w:val="continue"/>
                  <w:tcBorders>
                    <w:tl2br w:val="nil"/>
                    <w:tr2bl w:val="nil"/>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p>
              </w:tc>
              <w:tc>
                <w:tcPr>
                  <w:tcW w:w="405" w:type="dxa"/>
                  <w:tcBorders>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资源利用效率要求</w:t>
                  </w:r>
                </w:p>
              </w:tc>
              <w:tc>
                <w:tcPr>
                  <w:tcW w:w="225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 xml:space="preserve">1、栗园镇、郑庄子镇开平镇为浅层地下水限采区，一般不得开凿新的取水井。确需取用地下水的，应当由省人民政府水行政主管部门统筹安排，按照总量控制原则通过按比例核减其他取水单位的地下水取水量和年度用水计划，进行合理配置。 </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发展农业节水。调整农业种植结构，发展旱作节水农业，推进田间节水设施建设，大力推广耐旱节水品种、耕作保墒、地膜覆盖、秸秆还田、水肥一体化等农业综合节水技术。推广渠道防渗、管道输水、喷灌、微灌、农作物节水抗旱等技术，完善灌溉用水计量设施，推进规模化高效节水灌溉。</w:t>
                  </w:r>
                </w:p>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p>
              </w:tc>
              <w:tc>
                <w:tcPr>
                  <w:tcW w:w="1560"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本项目用水</w:t>
                  </w:r>
                  <w:r>
                    <w:rPr>
                      <w:rFonts w:hint="eastAsia" w:ascii="Times New Roman" w:hAnsi="Times New Roman" w:eastAsia="宋体" w:cs="Times New Roman"/>
                      <w:color w:val="auto"/>
                      <w:szCs w:val="21"/>
                      <w:lang w:val="en-US" w:eastAsia="zh-CN"/>
                    </w:rPr>
                    <w:t>由荆各庄村提供</w:t>
                  </w:r>
                  <w:r>
                    <w:rPr>
                      <w:rFonts w:hint="default" w:ascii="Times New Roman" w:hAnsi="Times New Roman" w:eastAsia="宋体" w:cs="Times New Roman"/>
                      <w:b w:val="0"/>
                      <w:bCs w:val="0"/>
                      <w:color w:val="auto"/>
                      <w:kern w:val="2"/>
                      <w:sz w:val="21"/>
                      <w:szCs w:val="21"/>
                      <w:highlight w:val="none"/>
                      <w:lang w:val="en-US" w:eastAsia="zh-CN" w:bidi="ar-SA"/>
                    </w:rPr>
                    <w:t>，不开采地下水。本项目不涉及农业种植</w:t>
                  </w:r>
                </w:p>
              </w:tc>
              <w:tc>
                <w:tcPr>
                  <w:tcW w:w="659"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符合</w:t>
                  </w:r>
                </w:p>
              </w:tc>
            </w:tr>
          </w:tbl>
          <w:p>
            <w:pPr>
              <w:pStyle w:val="2"/>
              <w:ind w:left="0" w:leftChars="0"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34"/>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cs="Times New Roman"/>
                <w:b w:val="0"/>
                <w:bCs w:val="0"/>
                <w:color w:val="auto"/>
                <w:sz w:val="24"/>
                <w:szCs w:val="24"/>
                <w:highlight w:val="none"/>
                <w:lang w:val="en-US" w:eastAsia="zh-CN"/>
              </w:rPr>
            </w:pPr>
          </w:p>
        </w:tc>
      </w:tr>
    </w:tbl>
    <w:p>
      <w:pPr>
        <w:pStyle w:val="2"/>
        <w:jc w:val="center"/>
        <w:rPr>
          <w:rFonts w:hint="default" w:ascii="Times New Roman" w:hAnsi="Times New Roman" w:cs="Times New Roman"/>
          <w:color w:val="auto"/>
          <w:highlight w:val="none"/>
        </w:rPr>
        <w:sectPr>
          <w:footerReference r:id="rId6" w:type="default"/>
          <w:pgSz w:w="11906" w:h="16838"/>
          <w:pgMar w:top="1587" w:right="1474" w:bottom="1587" w:left="1474" w:header="851" w:footer="1077" w:gutter="0"/>
          <w:pgBorders>
            <w:top w:val="none" w:sz="0" w:space="0"/>
            <w:left w:val="none" w:sz="0" w:space="0"/>
            <w:bottom w:val="none" w:sz="0" w:space="0"/>
            <w:right w:val="none" w:sz="0" w:space="0"/>
          </w:pgBorders>
          <w:pgNumType w:fmt="decimal" w:start="1"/>
          <w:cols w:space="0" w:num="1"/>
          <w:rtlGutter w:val="0"/>
          <w:docGrid w:linePitch="312" w:charSpace="0"/>
        </w:sect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default" w:ascii="Times New Roman" w:hAnsi="Times New Roman" w:cs="Times New Roman"/>
          <w:b/>
          <w:bCs/>
          <w:snapToGrid w:val="0"/>
          <w:color w:val="auto"/>
          <w:sz w:val="30"/>
          <w:szCs w:val="30"/>
          <w:highlight w:val="none"/>
        </w:rPr>
      </w:pPr>
      <w:bookmarkStart w:id="10" w:name="_Toc4768"/>
      <w:bookmarkStart w:id="11" w:name="_Toc1981"/>
      <w:r>
        <w:rPr>
          <w:rFonts w:hint="default" w:ascii="Times New Roman" w:hAnsi="Times New Roman" w:cs="Times New Roman"/>
          <w:b/>
          <w:bCs/>
          <w:snapToGrid w:val="0"/>
          <w:color w:val="auto"/>
          <w:sz w:val="30"/>
          <w:szCs w:val="30"/>
          <w:highlight w:val="none"/>
        </w:rPr>
        <w:t>二、建设项目工程分析</w:t>
      </w:r>
      <w:bookmarkEnd w:id="10"/>
      <w:bookmarkEnd w:id="11"/>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1" w:hRule="atLeast"/>
          <w:jc w:val="center"/>
        </w:trPr>
        <w:tc>
          <w:tcPr>
            <w:tcW w:w="618"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建设内容</w:t>
            </w:r>
          </w:p>
        </w:tc>
        <w:tc>
          <w:tcPr>
            <w:tcW w:w="84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1、项目由来</w:t>
            </w:r>
          </w:p>
          <w:p>
            <w:pPr>
              <w:numPr>
                <w:ilvl w:val="0"/>
                <w:numId w:val="0"/>
              </w:numPr>
              <w:spacing w:line="480" w:lineRule="exact"/>
              <w:ind w:firstLine="480" w:firstLineChars="200"/>
              <w:rPr>
                <w:rFonts w:hint="eastAsia"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陶瓷</w:t>
            </w:r>
            <w:r>
              <w:rPr>
                <w:rFonts w:hint="eastAsia" w:cs="Times New Roman"/>
                <w:color w:val="auto"/>
                <w:sz w:val="24"/>
                <w:lang w:val="en-US" w:eastAsia="zh-CN"/>
              </w:rPr>
              <w:t>为</w:t>
            </w:r>
            <w:r>
              <w:rPr>
                <w:rFonts w:hint="default" w:ascii="Times New Roman" w:hAnsi="Times New Roman" w:cs="Times New Roman"/>
                <w:color w:val="auto"/>
                <w:sz w:val="24"/>
                <w:lang w:val="en-US" w:eastAsia="zh-CN"/>
              </w:rPr>
              <w:t>唐山的传统特色产业。</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"https://upimg.baike.so.com/doc/6496176-6709890.html" \t "https://upimg.baike.so.com/doc/_blank"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唐山陶瓷</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历史悠久，是中国的北方瓷都，也是我国主要陶瓷产区之一</w:t>
            </w:r>
            <w:r>
              <w:rPr>
                <w:rFonts w:hint="eastAsia" w:ascii="Times New Roman" w:hAnsi="Times New Roman" w:cs="Times New Roman"/>
                <w:color w:val="auto"/>
                <w:sz w:val="24"/>
                <w:lang w:val="en-US" w:eastAsia="zh-CN"/>
              </w:rPr>
              <w:t>，其中骨质陶瓷尤为</w:t>
            </w:r>
            <w:r>
              <w:rPr>
                <w:rFonts w:hint="eastAsia" w:cs="Times New Roman"/>
                <w:color w:val="auto"/>
                <w:sz w:val="24"/>
                <w:lang w:val="en-US" w:eastAsia="zh-CN"/>
              </w:rPr>
              <w:t>著名</w:t>
            </w:r>
            <w:r>
              <w:rPr>
                <w:rFonts w:hint="eastAsia" w:ascii="Times New Roman" w:hAnsi="Times New Roman" w:cs="Times New Roman"/>
                <w:color w:val="auto"/>
                <w:sz w:val="24"/>
                <w:lang w:val="en-US" w:eastAsia="zh-CN"/>
              </w:rPr>
              <w:t>。</w:t>
            </w:r>
            <w:r>
              <w:rPr>
                <w:rFonts w:hint="eastAsia" w:cs="Times New Roman"/>
                <w:color w:val="auto"/>
                <w:sz w:val="24"/>
                <w:lang w:val="en-US" w:eastAsia="zh-CN"/>
              </w:rPr>
              <w:t>本项目原料为</w:t>
            </w:r>
            <w:r>
              <w:rPr>
                <w:rFonts w:hint="default" w:cs="Times New Roman"/>
                <w:color w:val="auto"/>
                <w:sz w:val="24"/>
                <w:lang w:val="en-US" w:eastAsia="zh-CN"/>
              </w:rPr>
              <w:t>牛骨、猪骨骨渣</w:t>
            </w:r>
            <w:r>
              <w:rPr>
                <w:rFonts w:hint="eastAsia" w:cs="Times New Roman"/>
                <w:color w:val="auto"/>
                <w:sz w:val="24"/>
                <w:lang w:val="en-US" w:eastAsia="zh-CN"/>
              </w:rPr>
              <w:t>，主要来自上游企业如制药厂等，骨渣已经过粉碎、脱胶、脱硫、脱氮、脱脂处理后的残余骨渣，主要成分为磷、钙元素。本项目骨炭产品主要为陶瓷骨炭粉、陶瓷骨炭粒，属于骨质瓷的原料，供货于本地的骨质瓷厂，综上所述，本项目既可有效处理上游企业的一般固废，又可满足骨质瓷厂的原料需求，故本项目建设符合当地政策及市场需求。</w:t>
            </w:r>
          </w:p>
          <w:p>
            <w:pPr>
              <w:numPr>
                <w:ilvl w:val="0"/>
                <w:numId w:val="0"/>
              </w:numPr>
              <w:spacing w:line="480" w:lineRule="exact"/>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为满足市场需求，</w:t>
            </w:r>
            <w:r>
              <w:rPr>
                <w:rFonts w:hint="eastAsia" w:cs="Times New Roman"/>
                <w:color w:val="auto"/>
                <w:sz w:val="24"/>
                <w:lang w:val="en-US" w:eastAsia="zh-CN"/>
              </w:rPr>
              <w:t>唐山市开平区云兴陶瓷制品有限公司</w:t>
            </w:r>
            <w:r>
              <w:rPr>
                <w:rFonts w:hint="default" w:ascii="Times New Roman" w:hAnsi="Times New Roman" w:cs="Times New Roman"/>
                <w:color w:val="auto"/>
                <w:sz w:val="24"/>
                <w:lang w:val="en-US" w:eastAsia="zh-CN"/>
              </w:rPr>
              <w:t>拟投资</w:t>
            </w:r>
            <w:r>
              <w:rPr>
                <w:rFonts w:hint="eastAsia" w:cs="Times New Roman"/>
                <w:color w:val="auto"/>
                <w:sz w:val="24"/>
                <w:lang w:val="en-US" w:eastAsia="zh-CN"/>
              </w:rPr>
              <w:t>4</w:t>
            </w:r>
            <w:r>
              <w:rPr>
                <w:rFonts w:hint="default" w:ascii="Times New Roman" w:hAnsi="Times New Roman" w:cs="Times New Roman"/>
                <w:color w:val="auto"/>
                <w:sz w:val="24"/>
                <w:lang w:val="en-US" w:eastAsia="zh-CN"/>
              </w:rPr>
              <w:t>00万元建设</w:t>
            </w:r>
            <w:r>
              <w:rPr>
                <w:rFonts w:hint="eastAsia" w:cs="Times New Roman"/>
                <w:color w:val="auto"/>
                <w:sz w:val="24"/>
                <w:lang w:val="en-US" w:eastAsia="zh-CN"/>
              </w:rPr>
              <w:t>唐山市开平区云兴陶瓷制品有限公司年产2500吨陶瓷原料生产线项目</w:t>
            </w:r>
            <w:r>
              <w:rPr>
                <w:rFonts w:hint="default" w:ascii="Times New Roman" w:hAnsi="Times New Roman" w:cs="Times New Roman"/>
                <w:color w:val="auto"/>
                <w:sz w:val="24"/>
                <w:lang w:val="en-US" w:eastAsia="zh-CN"/>
              </w:rPr>
              <w:t>。</w:t>
            </w:r>
            <w:r>
              <w:rPr>
                <w:rFonts w:hint="eastAsia" w:cs="Times New Roman"/>
                <w:color w:val="auto"/>
                <w:sz w:val="24"/>
                <w:lang w:val="en-US" w:eastAsia="zh-CN"/>
              </w:rPr>
              <w:t>项目</w:t>
            </w:r>
            <w:r>
              <w:rPr>
                <w:rFonts w:hint="default" w:ascii="Times New Roman" w:hAnsi="Times New Roman" w:cs="Times New Roman"/>
                <w:color w:val="auto"/>
                <w:sz w:val="24"/>
                <w:szCs w:val="24"/>
                <w:highlight w:val="none"/>
                <w:lang w:val="en-US" w:eastAsia="zh-CN"/>
              </w:rPr>
              <w:t>已于2024年</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16</w:t>
            </w:r>
            <w:r>
              <w:rPr>
                <w:rFonts w:hint="default" w:ascii="Times New Roman" w:hAnsi="Times New Roman" w:cs="Times New Roman"/>
                <w:color w:val="auto"/>
                <w:sz w:val="24"/>
                <w:szCs w:val="24"/>
                <w:highlight w:val="none"/>
                <w:lang w:val="en-US" w:eastAsia="zh-CN"/>
              </w:rPr>
              <w:t>日在</w:t>
            </w:r>
            <w:r>
              <w:rPr>
                <w:rFonts w:hint="default" w:ascii="Times New Roman" w:hAnsi="Times New Roman" w:cs="Times New Roman"/>
                <w:color w:val="auto"/>
                <w:sz w:val="24"/>
                <w:highlight w:val="none"/>
                <w:lang w:eastAsia="zh-CN"/>
              </w:rPr>
              <w:t>唐山市开平区发展改革局</w:t>
            </w:r>
            <w:r>
              <w:rPr>
                <w:rFonts w:hint="default" w:ascii="Times New Roman" w:hAnsi="Times New Roman" w:cs="Times New Roman"/>
                <w:color w:val="auto"/>
                <w:sz w:val="24"/>
                <w:highlight w:val="none"/>
                <w:lang w:val="en-US" w:eastAsia="zh-CN"/>
              </w:rPr>
              <w:t>取得了备案</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备案文号为</w:t>
            </w:r>
            <w:r>
              <w:rPr>
                <w:rFonts w:hint="default" w:ascii="Times New Roman" w:hAnsi="Times New Roman" w:cs="Times New Roman"/>
                <w:color w:val="auto"/>
                <w:sz w:val="24"/>
                <w:highlight w:val="none"/>
                <w:lang w:val="en-US" w:eastAsia="zh-CN"/>
              </w:rPr>
              <w:t>开发改备字〔2024〕</w:t>
            </w:r>
            <w:r>
              <w:rPr>
                <w:rFonts w:hint="eastAsia" w:cs="Times New Roman"/>
                <w:color w:val="auto"/>
                <w:sz w:val="24"/>
                <w:highlight w:val="none"/>
                <w:lang w:val="en-US" w:eastAsia="zh-CN"/>
              </w:rPr>
              <w:t>342号</w:t>
            </w:r>
            <w:r>
              <w:rPr>
                <w:rFonts w:hint="default" w:ascii="Times New Roman" w:hAnsi="Times New Roman" w:cs="Times New Roman"/>
                <w:color w:val="auto"/>
                <w:sz w:val="24"/>
                <w:szCs w:val="24"/>
                <w:highlight w:val="none"/>
                <w:lang w:eastAsia="zh-CN"/>
              </w:rPr>
              <w:t>。</w:t>
            </w:r>
          </w:p>
          <w:p>
            <w:pPr>
              <w:numPr>
                <w:ilvl w:val="0"/>
                <w:numId w:val="0"/>
              </w:numPr>
              <w:spacing w:line="480" w:lineRule="exact"/>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lang w:val="en-US" w:eastAsia="zh-CN"/>
              </w:rPr>
              <w:t>依据《中华人民共和国环境保护法》、《中华人民共和国环境影响评价法》以及《建设项目环境保护管理条例》的有关条款的规定，项目需进行环境影响评价。 经查阅《建设项目环境影响评价分类管理名录》（环境保护部令第 44 号）及《关于修改&lt;建设项目环境影响评价分类管理名录&gt;部分内容的决定》（生态环境部令第1号），本项目属于</w:t>
            </w:r>
            <w:r>
              <w:rPr>
                <w:rFonts w:hint="eastAsia" w:cs="Times New Roman"/>
                <w:color w:val="auto"/>
                <w:sz w:val="24"/>
                <w:lang w:val="en-US" w:eastAsia="zh-CN"/>
              </w:rPr>
              <w:t>“</w:t>
            </w:r>
            <w:r>
              <w:rPr>
                <w:rFonts w:hint="default" w:ascii="Times New Roman" w:hAnsi="Times New Roman" w:cs="Times New Roman"/>
                <w:color w:val="auto"/>
                <w:sz w:val="24"/>
                <w:lang w:val="en-US" w:eastAsia="zh-CN"/>
              </w:rPr>
              <w:t>三十九、废弃资源综合利用业 42--85.非金属废料和碎屑加工处理 422</w:t>
            </w:r>
            <w:r>
              <w:rPr>
                <w:rFonts w:hint="eastAsia" w:cs="Times New Roman"/>
                <w:color w:val="auto"/>
                <w:sz w:val="24"/>
                <w:lang w:val="en-US" w:eastAsia="zh-CN"/>
              </w:rPr>
              <w:t>”</w:t>
            </w:r>
            <w:r>
              <w:rPr>
                <w:rFonts w:hint="default" w:ascii="Times New Roman" w:hAnsi="Times New Roman" w:cs="Times New Roman"/>
                <w:color w:val="auto"/>
                <w:sz w:val="24"/>
                <w:lang w:val="en-US" w:eastAsia="zh-CN"/>
              </w:rPr>
              <w:t>，应编制环境影响报告表。为此，</w:t>
            </w:r>
            <w:r>
              <w:rPr>
                <w:rFonts w:hint="eastAsia" w:cs="Times New Roman"/>
                <w:color w:val="auto"/>
                <w:sz w:val="24"/>
                <w:lang w:val="en-US" w:eastAsia="zh-CN"/>
              </w:rPr>
              <w:t>唐山市开平区云兴陶瓷制品有限公司</w:t>
            </w:r>
            <w:r>
              <w:rPr>
                <w:rFonts w:hint="default" w:ascii="Times New Roman" w:hAnsi="Times New Roman" w:cs="Times New Roman"/>
                <w:color w:val="auto"/>
                <w:sz w:val="24"/>
                <w:lang w:val="en-US" w:eastAsia="zh-CN"/>
              </w:rPr>
              <w:t>委托我公司开展本项目的环境影响评价工作。我单位接受委托后，立即派遣技术人员对该项目进行现场勘探和资料收集，按照有关技术规范和相关规定，编制了该项目环境影响报告表。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cs="Times New Roman"/>
                <w:b/>
                <w:bCs/>
                <w:color w:val="auto"/>
                <w:sz w:val="24"/>
                <w:highlight w:val="none"/>
                <w:lang w:val="en-US" w:eastAsia="zh-CN"/>
              </w:rPr>
            </w:pP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lang w:val="en-US" w:eastAsia="zh-CN"/>
              </w:rPr>
              <w:t>、本项目概况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项目名称：</w:t>
            </w:r>
            <w:r>
              <w:rPr>
                <w:rFonts w:hint="eastAsia" w:cs="Times New Roman"/>
                <w:color w:val="auto"/>
                <w:sz w:val="24"/>
                <w:highlight w:val="none"/>
                <w:lang w:val="en-US" w:eastAsia="zh-CN"/>
              </w:rPr>
              <w:t>唐山市开平区云兴陶瓷制品有限公司年产2500吨陶瓷原料生产线项目</w:t>
            </w:r>
            <w:r>
              <w:rPr>
                <w:rFonts w:hint="default" w:ascii="Times New Roman" w:hAnsi="Times New Roman" w:eastAsia="宋体" w:cs="Times New Roman"/>
                <w:color w:val="auto"/>
                <w:sz w:val="24"/>
                <w:szCs w:val="24"/>
                <w:highlight w:val="none"/>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建设单位：</w:t>
            </w:r>
            <w:r>
              <w:rPr>
                <w:rFonts w:hint="eastAsia" w:cs="Times New Roman"/>
                <w:color w:val="auto"/>
                <w:sz w:val="24"/>
                <w:highlight w:val="none"/>
                <w:lang w:val="en-US" w:eastAsia="zh-CN"/>
              </w:rPr>
              <w:t>唐山市开平区云兴陶瓷制品有限公司</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建设性质：</w:t>
            </w:r>
            <w:r>
              <w:rPr>
                <w:rFonts w:hint="eastAsia" w:cs="Times New Roman"/>
                <w:color w:val="auto"/>
                <w:sz w:val="24"/>
                <w:highlight w:val="none"/>
                <w:lang w:eastAsia="zh-CN"/>
              </w:rPr>
              <w:t>新建</w:t>
            </w:r>
            <w:r>
              <w:rPr>
                <w:rFonts w:hint="default" w:ascii="Times New Roman" w:hAnsi="Times New Roman"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480" w:lineRule="exact"/>
              <w:ind w:right="0"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（4）建设地点：</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pacing w:line="480" w:lineRule="exact"/>
              <w:ind w:right="0"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（5）工作制度及劳动定员：本项目年工作时长300天，每天</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班，每班8小时。本项目劳动定员</w:t>
            </w:r>
            <w:r>
              <w:rPr>
                <w:rFonts w:hint="eastAsia" w:cs="Times New Roman"/>
                <w:color w:val="auto"/>
                <w:sz w:val="24"/>
                <w:highlight w:val="none"/>
                <w:lang w:val="en-US" w:eastAsia="zh-CN"/>
              </w:rPr>
              <w:t>20人。</w:t>
            </w:r>
          </w:p>
          <w:p>
            <w:pPr>
              <w:keepNext w:val="0"/>
              <w:keepLines w:val="0"/>
              <w:pageBreakBefore w:val="0"/>
              <w:kinsoku/>
              <w:wordWrap/>
              <w:overflowPunct/>
              <w:topLinePunct w:val="0"/>
              <w:autoSpaceDE/>
              <w:autoSpaceDN/>
              <w:bidi w:val="0"/>
              <w:adjustRightInd/>
              <w:spacing w:line="480" w:lineRule="exact"/>
              <w:ind w:right="0"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6）项目主要建设规模及内容：项目主要建设生产车间2000平方米、办公室100平方米，总建筑面积2100平方米。购置节能环保型立式骨炭碳化机、振动筛、输送带、鼓风机、色选机、空压机、引风机、布袋除尘、旋风除尘、水浴除尘湿式电除尘、提升机等设备共计24台(套)。本次新建项目建成后，全厂年产陶瓷骨炭2500吨。</w:t>
            </w:r>
          </w:p>
          <w:p>
            <w:pPr>
              <w:keepNext w:val="0"/>
              <w:keepLines w:val="0"/>
              <w:pageBreakBefore w:val="0"/>
              <w:kinsoku/>
              <w:wordWrap/>
              <w:overflowPunct/>
              <w:topLinePunct w:val="0"/>
              <w:autoSpaceDE/>
              <w:autoSpaceDN/>
              <w:bidi w:val="0"/>
              <w:adjustRightInd/>
              <w:spacing w:line="480" w:lineRule="exact"/>
              <w:ind w:right="0" w:firstLine="480"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color w:val="auto"/>
                <w:sz w:val="24"/>
                <w:highlight w:val="none"/>
                <w:lang w:val="en-US" w:eastAsia="zh-CN"/>
              </w:rPr>
              <w:t>本项目工程组成见下表。</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 xml:space="preserve">    本项目工程组成一览表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88"/>
              <w:gridCol w:w="1148"/>
              <w:gridCol w:w="59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772"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项目组成</w:t>
                  </w: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工程内容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772"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主体工程</w:t>
                  </w:r>
                </w:p>
              </w:tc>
              <w:tc>
                <w:tcPr>
                  <w:tcW w:w="688"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主生产车间</w:t>
                  </w:r>
                </w:p>
              </w:tc>
              <w:tc>
                <w:tcPr>
                  <w:tcW w:w="3539" w:type="pct"/>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建筑面积</w:t>
                  </w:r>
                  <w:r>
                    <w:rPr>
                      <w:rFonts w:hint="eastAsia" w:cs="Times New Roman"/>
                      <w:color w:val="auto"/>
                      <w:szCs w:val="21"/>
                      <w:lang w:val="en-US" w:eastAsia="zh-CN"/>
                    </w:rPr>
                    <w:t>16</w:t>
                  </w:r>
                  <w:r>
                    <w:rPr>
                      <w:rFonts w:hint="eastAsia" w:ascii="Times New Roman" w:hAnsi="Times New Roman" w:eastAsia="宋体" w:cs="Times New Roman"/>
                      <w:color w:val="auto"/>
                      <w:szCs w:val="21"/>
                      <w:lang w:val="en-US" w:eastAsia="zh-CN"/>
                    </w:rPr>
                    <w:t>00平方米，</w:t>
                  </w:r>
                  <w:r>
                    <w:rPr>
                      <w:rFonts w:hint="default" w:ascii="Times New Roman" w:hAnsi="Times New Roman" w:cs="Times New Roman"/>
                      <w:color w:val="auto"/>
                      <w:szCs w:val="21"/>
                    </w:rPr>
                    <w:t>侧面为0.6m基础墙+单层彩钢结构，顶部为单层彩钢结构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772" w:type="pct"/>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储运工程</w:t>
                  </w:r>
                </w:p>
              </w:tc>
              <w:tc>
                <w:tcPr>
                  <w:tcW w:w="688"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kern w:val="0"/>
                      <w:szCs w:val="21"/>
                      <w:lang w:val="en-US" w:eastAsia="zh-CN"/>
                    </w:rPr>
                    <w:t>原料库</w:t>
                  </w:r>
                </w:p>
              </w:tc>
              <w:tc>
                <w:tcPr>
                  <w:tcW w:w="3539" w:type="pct"/>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eastAsia="zh-CN"/>
                    </w:rPr>
                    <w:t>主要</w:t>
                  </w:r>
                  <w:r>
                    <w:rPr>
                      <w:rFonts w:hint="default" w:ascii="Times New Roman" w:hAnsi="Times New Roman" w:cs="Times New Roman"/>
                      <w:color w:val="auto"/>
                      <w:szCs w:val="21"/>
                      <w:lang w:val="en-US" w:eastAsia="zh-CN"/>
                    </w:rPr>
                    <w:t>储</w:t>
                  </w:r>
                  <w:r>
                    <w:rPr>
                      <w:rFonts w:hint="default" w:ascii="Times New Roman" w:hAnsi="Times New Roman" w:eastAsia="宋体" w:cs="Times New Roman"/>
                      <w:color w:val="auto"/>
                      <w:szCs w:val="21"/>
                      <w:lang w:val="en-US" w:eastAsia="zh-CN"/>
                    </w:rPr>
                    <w:t>存原料</w:t>
                  </w:r>
                  <w:r>
                    <w:rPr>
                      <w:rFonts w:hint="eastAsia" w:ascii="Times New Roman" w:hAnsi="Times New Roman" w:eastAsia="宋体" w:cs="Times New Roman"/>
                      <w:color w:val="auto"/>
                      <w:szCs w:val="21"/>
                      <w:lang w:val="en-US" w:eastAsia="zh-CN"/>
                    </w:rPr>
                    <w:t>，原料最大储存量为535吨，最大储存周期为1个月。本项目原料库建筑面积</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00平方米，可满足储存要求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成品库</w:t>
                  </w: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主要</w:t>
                  </w:r>
                  <w:r>
                    <w:rPr>
                      <w:rFonts w:hint="default" w:ascii="Times New Roman" w:hAnsi="Times New Roman" w:cs="Times New Roman"/>
                      <w:color w:val="auto"/>
                      <w:szCs w:val="21"/>
                      <w:lang w:val="en-US" w:eastAsia="zh-CN"/>
                    </w:rPr>
                    <w:t>储存成品</w:t>
                  </w:r>
                  <w:r>
                    <w:rPr>
                      <w:rFonts w:hint="eastAsia" w:ascii="Times New Roman" w:hAnsi="Times New Roman" w:eastAsia="宋体" w:cs="Times New Roman"/>
                      <w:color w:val="auto"/>
                      <w:szCs w:val="21"/>
                      <w:lang w:val="en-US" w:eastAsia="zh-CN"/>
                    </w:rPr>
                    <w:t>，成品最大储存量为500吨，最大储存周期为1个月。本项目成品库建筑面积</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00平方米，可满足储存要求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72" w:type="pct"/>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公用工程</w:t>
                  </w: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供水</w:t>
                  </w:r>
                </w:p>
              </w:tc>
              <w:tc>
                <w:tcPr>
                  <w:tcW w:w="3539"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b w:val="0"/>
                      <w:bCs w:val="0"/>
                      <w:color w:val="auto"/>
                      <w:kern w:val="2"/>
                      <w:sz w:val="21"/>
                      <w:szCs w:val="21"/>
                      <w:highlight w:val="none"/>
                      <w:lang w:val="en-US" w:eastAsia="zh-CN" w:bidi="ar-SA"/>
                    </w:rPr>
                    <w:t>用水</w:t>
                  </w:r>
                  <w:r>
                    <w:rPr>
                      <w:rFonts w:hint="eastAsia" w:ascii="Times New Roman" w:hAnsi="Times New Roman" w:eastAsia="宋体" w:cs="Times New Roman"/>
                      <w:color w:val="auto"/>
                      <w:szCs w:val="21"/>
                      <w:lang w:val="en-US" w:eastAsia="zh-CN"/>
                    </w:rPr>
                    <w:t>由荆各庄村提供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排水</w:t>
                  </w:r>
                </w:p>
              </w:tc>
              <w:tc>
                <w:tcPr>
                  <w:tcW w:w="3539"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cs="Times New Roman"/>
                      <w:color w:val="auto"/>
                      <w:szCs w:val="21"/>
                      <w:lang w:eastAsia="zh-CN"/>
                    </w:rPr>
                    <w:t>无废水外排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供电</w:t>
                  </w: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当地</w:t>
                  </w:r>
                  <w:r>
                    <w:rPr>
                      <w:rFonts w:hint="default" w:ascii="Times New Roman" w:hAnsi="Times New Roman" w:cs="Times New Roman"/>
                      <w:color w:val="auto"/>
                      <w:szCs w:val="21"/>
                    </w:rPr>
                    <w:t>供电电网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供热</w:t>
                  </w:r>
                </w:p>
              </w:tc>
              <w:tc>
                <w:tcPr>
                  <w:tcW w:w="3539" w:type="pct"/>
                  <w:noWrap w:val="0"/>
                  <w:vAlign w:val="center"/>
                </w:tcPr>
                <w:p>
                  <w:pPr>
                    <w:adjustRightInd w:val="0"/>
                    <w:snapToGrid w:val="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办公室供热采用空调取暖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洗车平台</w:t>
                  </w:r>
                </w:p>
              </w:tc>
              <w:tc>
                <w:tcPr>
                  <w:tcW w:w="3539" w:type="pct"/>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位于厂区门口处，主要对进、出厂区的原料运输车辆进行清洗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72" w:type="pct"/>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环保工程</w:t>
                  </w:r>
                </w:p>
              </w:tc>
              <w:tc>
                <w:tcPr>
                  <w:tcW w:w="688" w:type="pct"/>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3539" w:type="pct"/>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原料运输、装卸过程产生的无组织废气采取设置洗车平台、原料库喷淋降尘后无组织排放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3539" w:type="pct"/>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生产过程产生的臭气采取定期喷洒生物除臭剂进行处理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上料</w:t>
                  </w:r>
                  <w:r>
                    <w:rPr>
                      <w:rFonts w:hint="eastAsia" w:cs="Times New Roman"/>
                      <w:color w:val="auto"/>
                      <w:szCs w:val="21"/>
                      <w:lang w:val="en-US" w:eastAsia="zh-CN"/>
                    </w:rPr>
                    <w:t>、皮带转运</w:t>
                  </w:r>
                  <w:r>
                    <w:rPr>
                      <w:rFonts w:hint="default" w:ascii="Times New Roman" w:hAnsi="Times New Roman" w:cs="Times New Roman"/>
                      <w:color w:val="auto"/>
                      <w:szCs w:val="21"/>
                      <w:lang w:val="en-US" w:eastAsia="zh-CN"/>
                    </w:rPr>
                    <w:t>、布料</w:t>
                  </w:r>
                  <w:r>
                    <w:rPr>
                      <w:rFonts w:hint="eastAsia" w:cs="Times New Roman"/>
                      <w:color w:val="auto"/>
                      <w:szCs w:val="21"/>
                      <w:lang w:val="en-US" w:eastAsia="zh-CN"/>
                    </w:rPr>
                    <w:t>、</w:t>
                  </w:r>
                  <w:r>
                    <w:rPr>
                      <w:rFonts w:hint="default" w:ascii="Times New Roman" w:hAnsi="Times New Roman" w:cs="Times New Roman"/>
                      <w:color w:val="auto"/>
                      <w:szCs w:val="21"/>
                      <w:highlight w:val="none"/>
                      <w:lang w:eastAsia="zh-CN"/>
                    </w:rPr>
                    <w:t>筛分、色选、包装</w:t>
                  </w:r>
                  <w:r>
                    <w:rPr>
                      <w:rFonts w:hint="default" w:ascii="Times New Roman" w:hAnsi="Times New Roman" w:cs="Times New Roman"/>
                      <w:color w:val="auto"/>
                      <w:szCs w:val="21"/>
                      <w:lang w:val="en-US" w:eastAsia="zh-CN"/>
                    </w:rPr>
                    <w:t>过程产生的废气</w:t>
                  </w:r>
                  <w:r>
                    <w:rPr>
                      <w:rFonts w:hint="default" w:ascii="Times New Roman" w:hAnsi="Times New Roman" w:cs="Times New Roman"/>
                      <w:color w:val="auto"/>
                      <w:szCs w:val="21"/>
                      <w:lang w:eastAsia="zh-CN"/>
                    </w:rPr>
                    <w:t>经管道或者集气罩引入</w:t>
                  </w:r>
                  <w:r>
                    <w:rPr>
                      <w:rFonts w:hint="eastAsia" w:cs="Times New Roman"/>
                      <w:color w:val="auto"/>
                      <w:szCs w:val="21"/>
                      <w:lang w:val="en-US" w:eastAsia="zh-CN"/>
                    </w:rPr>
                    <w:t>1</w:t>
                  </w:r>
                  <w:r>
                    <w:rPr>
                      <w:rFonts w:hint="default" w:ascii="Times New Roman" w:hAnsi="Times New Roman" w:cs="Times New Roman"/>
                      <w:color w:val="auto"/>
                      <w:szCs w:val="21"/>
                      <w:lang w:eastAsia="zh-CN"/>
                    </w:rPr>
                    <w:t>#脉冲布袋除尘器处理（风量为</w:t>
                  </w:r>
                  <w:r>
                    <w:rPr>
                      <w:rFonts w:hint="eastAsia" w:cs="Times New Roman"/>
                      <w:color w:val="auto"/>
                      <w:szCs w:val="21"/>
                      <w:lang w:val="en-US" w:eastAsia="zh-CN"/>
                    </w:rPr>
                    <w:t>30</w:t>
                  </w:r>
                  <w:r>
                    <w:rPr>
                      <w:rFonts w:hint="default" w:ascii="Times New Roman" w:hAnsi="Times New Roman" w:cs="Times New Roman"/>
                      <w:color w:val="auto"/>
                      <w:szCs w:val="21"/>
                      <w:lang w:val="en-US" w:eastAsia="zh-CN"/>
                    </w:rPr>
                    <w:t>000m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/h，过滤材质为</w:t>
                  </w:r>
                  <w:r>
                    <w:rPr>
                      <w:rFonts w:hint="default" w:ascii="Times New Roman" w:hAnsi="Times New Roman" w:cs="Times New Roman"/>
                      <w:color w:val="auto"/>
                      <w:szCs w:val="21"/>
                      <w:lang w:eastAsia="zh-CN"/>
                    </w:rPr>
                    <w:t>覆膜涤纶针刺毡）后经15m高排气筒【DA00</w:t>
                  </w:r>
                  <w:r>
                    <w:rPr>
                      <w:rFonts w:hint="eastAsia" w:cs="Times New Roman"/>
                      <w:color w:val="auto"/>
                      <w:szCs w:val="21"/>
                      <w:lang w:val="en-US" w:eastAsia="zh-CN"/>
                    </w:rPr>
                    <w:t>1</w:t>
                  </w:r>
                  <w:r>
                    <w:rPr>
                      <w:rFonts w:hint="default" w:ascii="Times New Roman" w:hAnsi="Times New Roman" w:cs="Times New Roman"/>
                      <w:color w:val="auto"/>
                      <w:szCs w:val="21"/>
                      <w:lang w:eastAsia="zh-CN"/>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3539"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eastAsia="zh-CN"/>
                    </w:rPr>
                    <w:t>碳化机</w:t>
                  </w:r>
                  <w:r>
                    <w:rPr>
                      <w:rFonts w:hint="default" w:ascii="Times New Roman" w:hAnsi="Times New Roman" w:cs="Times New Roman"/>
                      <w:color w:val="auto"/>
                      <w:szCs w:val="21"/>
                    </w:rPr>
                    <w:t>废气经</w:t>
                  </w:r>
                  <w:r>
                    <w:rPr>
                      <w:rFonts w:hint="default" w:ascii="Times New Roman" w:hAnsi="Times New Roman" w:cs="Times New Roman"/>
                      <w:color w:val="auto"/>
                      <w:szCs w:val="21"/>
                      <w:lang w:eastAsia="zh-CN"/>
                    </w:rPr>
                    <w:t>烟道</w:t>
                  </w:r>
                  <w:r>
                    <w:rPr>
                      <w:rFonts w:hint="default" w:ascii="Times New Roman" w:hAnsi="Times New Roman" w:cs="Times New Roman"/>
                      <w:color w:val="auto"/>
                      <w:szCs w:val="21"/>
                    </w:rPr>
                    <w:t>引入</w:t>
                  </w:r>
                  <w:r>
                    <w:rPr>
                      <w:rFonts w:hint="eastAsia" w:cs="Times New Roman"/>
                      <w:color w:val="auto"/>
                      <w:szCs w:val="21"/>
                      <w:lang w:val="en-US" w:eastAsia="zh-CN"/>
                    </w:rPr>
                    <w:t>2</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旋风除尘</w:t>
                  </w:r>
                  <w:r>
                    <w:rPr>
                      <w:rFonts w:hint="default" w:ascii="Times New Roman" w:hAnsi="Times New Roman" w:cs="Times New Roman"/>
                      <w:color w:val="auto"/>
                      <w:szCs w:val="21"/>
                      <w:lang w:val="en-US" w:eastAsia="zh-CN"/>
                    </w:rPr>
                    <w:t>+水浴除尘+</w:t>
                  </w:r>
                  <w:r>
                    <w:rPr>
                      <w:rFonts w:hint="eastAsia" w:cs="Times New Roman"/>
                      <w:color w:val="auto"/>
                      <w:szCs w:val="21"/>
                      <w:lang w:val="en-US" w:eastAsia="zh-CN"/>
                    </w:rPr>
                    <w:t>湿式静电除尘</w:t>
                  </w:r>
                  <w:r>
                    <w:rPr>
                      <w:rFonts w:hint="default" w:ascii="Times New Roman" w:hAnsi="Times New Roman" w:cs="Times New Roman"/>
                      <w:color w:val="auto"/>
                      <w:szCs w:val="21"/>
                      <w:lang w:eastAsia="zh-CN"/>
                    </w:rPr>
                    <w:t>装置</w:t>
                  </w:r>
                  <w:r>
                    <w:rPr>
                      <w:rFonts w:hint="default" w:ascii="Times New Roman" w:hAnsi="Times New Roman" w:cs="Times New Roman"/>
                      <w:color w:val="auto"/>
                      <w:szCs w:val="21"/>
                    </w:rPr>
                    <w:t>处理</w:t>
                  </w:r>
                  <w:r>
                    <w:rPr>
                      <w:rFonts w:hint="default" w:ascii="Times New Roman" w:hAnsi="Times New Roman" w:cs="Times New Roman"/>
                      <w:color w:val="auto"/>
                      <w:szCs w:val="21"/>
                      <w:lang w:eastAsia="zh-CN"/>
                    </w:rPr>
                    <w:t>（风量为</w:t>
                  </w:r>
                  <w:r>
                    <w:rPr>
                      <w:rFonts w:hint="eastAsia" w:cs="Times New Roman"/>
                      <w:color w:val="auto"/>
                      <w:szCs w:val="21"/>
                      <w:lang w:val="en-US" w:eastAsia="zh-CN"/>
                    </w:rPr>
                    <w:t>1</w:t>
                  </w:r>
                  <w:r>
                    <w:rPr>
                      <w:rFonts w:hint="default" w:ascii="Times New Roman" w:hAnsi="Times New Roman" w:cs="Times New Roman"/>
                      <w:color w:val="auto"/>
                      <w:szCs w:val="21"/>
                      <w:lang w:val="en-US" w:eastAsia="zh-CN"/>
                    </w:rPr>
                    <w:t>0000m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/h</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后经15m</w:t>
                  </w:r>
                  <w:r>
                    <w:rPr>
                      <w:rFonts w:hint="default" w:ascii="Times New Roman" w:hAnsi="Times New Roman" w:cs="Times New Roman"/>
                      <w:color w:val="auto"/>
                      <w:szCs w:val="21"/>
                      <w:lang w:eastAsia="zh-CN"/>
                    </w:rPr>
                    <w:t>高</w:t>
                  </w:r>
                  <w:r>
                    <w:rPr>
                      <w:rFonts w:hint="default" w:ascii="Times New Roman" w:hAnsi="Times New Roman" w:cs="Times New Roman"/>
                      <w:color w:val="auto"/>
                      <w:szCs w:val="21"/>
                    </w:rPr>
                    <w:t>排气筒【DA00</w:t>
                  </w:r>
                  <w:r>
                    <w:rPr>
                      <w:rFonts w:hint="eastAsia" w:cs="Times New Roman"/>
                      <w:color w:val="auto"/>
                      <w:szCs w:val="21"/>
                      <w:lang w:val="en-US" w:eastAsia="zh-CN"/>
                    </w:rPr>
                    <w:t>2</w:t>
                  </w:r>
                  <w:r>
                    <w:rPr>
                      <w:rFonts w:hint="default" w:ascii="Times New Roman" w:hAnsi="Times New Roman" w:cs="Times New Roman"/>
                      <w:color w:val="auto"/>
                      <w:szCs w:val="21"/>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废水</w:t>
                  </w: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本项目</w:t>
                  </w:r>
                  <w:r>
                    <w:rPr>
                      <w:rFonts w:hint="default" w:ascii="Times New Roman" w:hAnsi="Times New Roman" w:cs="Times New Roman"/>
                      <w:color w:val="auto"/>
                      <w:kern w:val="2"/>
                      <w:sz w:val="21"/>
                      <w:szCs w:val="21"/>
                      <w:lang w:val="en-US" w:eastAsia="zh-CN" w:bidi="ar-SA"/>
                    </w:rPr>
                    <w:t>喷淋废水自然蒸发或进入产品。洗车废水循环使用，不外排。水浴除尘</w:t>
                  </w:r>
                  <w:r>
                    <w:rPr>
                      <w:rFonts w:hint="eastAsia" w:cs="Times New Roman"/>
                      <w:color w:val="auto"/>
                      <w:kern w:val="2"/>
                      <w:sz w:val="21"/>
                      <w:szCs w:val="21"/>
                      <w:lang w:val="en-US" w:eastAsia="zh-CN" w:bidi="ar-SA"/>
                    </w:rPr>
                    <w:t>、</w:t>
                  </w:r>
                  <w:r>
                    <w:rPr>
                      <w:rFonts w:hint="eastAsia" w:cs="Times New Roman"/>
                      <w:color w:val="auto"/>
                      <w:szCs w:val="21"/>
                      <w:lang w:val="en-US" w:eastAsia="zh-CN"/>
                    </w:rPr>
                    <w:t>湿式静电除尘</w:t>
                  </w:r>
                  <w:r>
                    <w:rPr>
                      <w:rFonts w:hint="default" w:ascii="Times New Roman" w:hAnsi="Times New Roman" w:cs="Times New Roman"/>
                      <w:color w:val="auto"/>
                      <w:kern w:val="2"/>
                      <w:sz w:val="21"/>
                      <w:szCs w:val="21"/>
                      <w:lang w:val="en-US" w:eastAsia="zh-CN" w:bidi="ar-SA"/>
                    </w:rPr>
                    <w:t>废水循环使用，不外排，冷却废水循环使用，不外排。本项目生活污水</w:t>
                  </w:r>
                  <w:r>
                    <w:rPr>
                      <w:rFonts w:hint="eastAsia" w:cs="Times New Roman"/>
                      <w:color w:val="auto"/>
                      <w:kern w:val="2"/>
                      <w:sz w:val="21"/>
                      <w:szCs w:val="21"/>
                      <w:lang w:val="en-US" w:eastAsia="zh-CN" w:bidi="ar-SA"/>
                    </w:rPr>
                    <w:t>直接泼洒抑尘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3539"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选用低噪声设备、厂房隔声、基础减振、风机加装消声器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2" w:type="pct"/>
                  <w:vMerge w:val="continue"/>
                  <w:noWrap w:val="0"/>
                  <w:vAlign w:val="center"/>
                </w:tcPr>
                <w:p>
                  <w:pPr>
                    <w:adjustRightInd w:val="0"/>
                    <w:snapToGrid w:val="0"/>
                    <w:jc w:val="center"/>
                    <w:rPr>
                      <w:rFonts w:hint="default" w:ascii="Times New Roman" w:hAnsi="Times New Roman" w:cs="Times New Roman"/>
                      <w:color w:val="auto"/>
                      <w:szCs w:val="21"/>
                    </w:rPr>
                  </w:pP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3539" w:type="pct"/>
                  <w:noWrap w:val="0"/>
                  <w:vAlign w:val="center"/>
                </w:tcPr>
                <w:p>
                  <w:pPr>
                    <w:spacing w:line="240" w:lineRule="exact"/>
                    <w:jc w:val="center"/>
                    <w:rPr>
                      <w:rFonts w:hint="eastAsia" w:cs="Times New Roman"/>
                      <w:color w:val="auto"/>
                      <w:szCs w:val="21"/>
                      <w:lang w:eastAsia="zh-CN"/>
                    </w:rPr>
                  </w:pPr>
                  <w:r>
                    <w:rPr>
                      <w:rFonts w:hint="default" w:ascii="Times New Roman" w:hAnsi="Times New Roman" w:cs="Times New Roman"/>
                      <w:color w:val="auto"/>
                      <w:szCs w:val="21"/>
                    </w:rPr>
                    <w:t>一般固废</w:t>
                  </w:r>
                  <w:r>
                    <w:rPr>
                      <w:rFonts w:hint="eastAsia" w:cs="Times New Roman"/>
                      <w:color w:val="auto"/>
                      <w:szCs w:val="21"/>
                      <w:lang w:eastAsia="zh-CN"/>
                    </w:rPr>
                    <w:t>：全部即产即清：</w:t>
                  </w:r>
                  <w:r>
                    <w:rPr>
                      <w:rFonts w:hint="default" w:ascii="Times New Roman" w:hAnsi="Times New Roman" w:cs="Times New Roman"/>
                      <w:color w:val="auto"/>
                      <w:szCs w:val="21"/>
                    </w:rPr>
                    <w:t>除尘灰</w:t>
                  </w:r>
                  <w:r>
                    <w:rPr>
                      <w:rFonts w:hint="default" w:ascii="Times New Roman" w:hAnsi="Times New Roman" w:cs="Times New Roman"/>
                      <w:color w:val="auto"/>
                      <w:szCs w:val="21"/>
                      <w:lang w:eastAsia="zh-CN"/>
                    </w:rPr>
                    <w:t>集中收集外售饲料厂</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未</w:t>
                  </w:r>
                  <w:r>
                    <w:rPr>
                      <w:rFonts w:hint="eastAsia" w:cs="Times New Roman"/>
                      <w:color w:val="auto"/>
                      <w:szCs w:val="21"/>
                      <w:lang w:eastAsia="zh-CN"/>
                    </w:rPr>
                    <w:t>碳化</w:t>
                  </w:r>
                  <w:r>
                    <w:rPr>
                      <w:rFonts w:hint="default" w:ascii="Times New Roman" w:hAnsi="Times New Roman" w:cs="Times New Roman"/>
                      <w:color w:val="auto"/>
                      <w:szCs w:val="21"/>
                      <w:lang w:eastAsia="zh-CN"/>
                    </w:rPr>
                    <w:t>充分的杂质集中收集，</w:t>
                  </w:r>
                  <w:r>
                    <w:rPr>
                      <w:rFonts w:hint="eastAsia" w:cs="Times New Roman"/>
                      <w:color w:val="auto"/>
                      <w:szCs w:val="21"/>
                      <w:lang w:eastAsia="zh-CN"/>
                    </w:rPr>
                    <w:t>回用于生产</w:t>
                  </w:r>
                  <w:r>
                    <w:rPr>
                      <w:rFonts w:hint="default" w:ascii="Times New Roman" w:hAnsi="Times New Roman" w:cs="Times New Roman"/>
                      <w:color w:val="auto"/>
                      <w:szCs w:val="21"/>
                      <w:lang w:eastAsia="zh-CN"/>
                    </w:rPr>
                    <w:t>；废除臭剂桶集中收集，外售废品站；</w:t>
                  </w:r>
                  <w:r>
                    <w:rPr>
                      <w:rFonts w:hint="default" w:ascii="Times New Roman" w:hAnsi="Times New Roman" w:cs="Times New Roman"/>
                      <w:color w:val="auto"/>
                      <w:szCs w:val="21"/>
                    </w:rPr>
                    <w:t>废布袋厂家定期回收</w:t>
                  </w:r>
                  <w:r>
                    <w:rPr>
                      <w:rFonts w:hint="eastAsia" w:cs="Times New Roman"/>
                      <w:color w:val="auto"/>
                      <w:szCs w:val="21"/>
                      <w:lang w:eastAsia="zh-CN"/>
                    </w:rPr>
                    <w:t>；生活垃圾交环卫部门统一处理</w:t>
                  </w:r>
                </w:p>
                <w:p>
                  <w:pPr>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危险废物：</w:t>
                  </w:r>
                  <w:r>
                    <w:rPr>
                      <w:rFonts w:hint="eastAsia" w:cs="Times New Roman"/>
                      <w:color w:val="auto"/>
                      <w:szCs w:val="21"/>
                      <w:lang w:val="en-US" w:eastAsia="zh-CN"/>
                    </w:rPr>
                    <w:t>生产过程产生的</w:t>
                  </w:r>
                  <w:r>
                    <w:rPr>
                      <w:rFonts w:hint="default" w:ascii="Times New Roman" w:hAnsi="Times New Roman" w:cs="Times New Roman"/>
                      <w:color w:val="auto"/>
                      <w:szCs w:val="21"/>
                    </w:rPr>
                    <w:t>废润滑油、</w:t>
                  </w:r>
                  <w:r>
                    <w:rPr>
                      <w:rFonts w:hint="default" w:ascii="Times New Roman" w:hAnsi="Times New Roman" w:cs="Times New Roman"/>
                      <w:color w:val="auto"/>
                      <w:szCs w:val="21"/>
                      <w:lang w:eastAsia="zh-CN"/>
                    </w:rPr>
                    <w:t>废油桶</w:t>
                  </w:r>
                  <w:r>
                    <w:rPr>
                      <w:rFonts w:hint="eastAsia" w:cs="Times New Roman"/>
                      <w:color w:val="auto"/>
                      <w:szCs w:val="21"/>
                      <w:lang w:eastAsia="zh-CN"/>
                    </w:rPr>
                    <w:t>即产即清，</w:t>
                  </w:r>
                  <w:r>
                    <w:rPr>
                      <w:rFonts w:hint="default" w:ascii="Times New Roman" w:hAnsi="Times New Roman" w:cs="Times New Roman"/>
                      <w:color w:val="auto"/>
                      <w:szCs w:val="21"/>
                    </w:rPr>
                    <w:t>分别集中收集，用耐腐蚀的容器收集后加盖封存，交有资质单位处置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2" w:type="pct"/>
                  <w:vMerge w:val="restart"/>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olor w:val="auto"/>
                      <w:szCs w:val="21"/>
                      <w:lang w:eastAsia="zh-CN"/>
                    </w:rPr>
                    <w:t>防渗工程</w:t>
                  </w:r>
                </w:p>
              </w:tc>
              <w:tc>
                <w:tcPr>
                  <w:tcW w:w="688" w:type="pct"/>
                  <w:noWrap w:val="0"/>
                  <w:vAlign w:val="center"/>
                </w:tcPr>
                <w:p>
                  <w:pPr>
                    <w:adjustRightInd w:val="0"/>
                    <w:snapToGrid w:val="0"/>
                    <w:jc w:val="center"/>
                    <w:rPr>
                      <w:rFonts w:hint="default" w:ascii="Times New Roman" w:hAnsi="Times New Roman" w:cs="Times New Roman"/>
                      <w:color w:val="auto"/>
                      <w:szCs w:val="21"/>
                    </w:rPr>
                  </w:pPr>
                  <w:r>
                    <w:rPr>
                      <w:rFonts w:hint="eastAsia"/>
                      <w:color w:val="auto"/>
                      <w:szCs w:val="21"/>
                      <w:lang w:val="en-US" w:eastAsia="zh-CN"/>
                    </w:rPr>
                    <w:t>防渗</w:t>
                  </w:r>
                </w:p>
              </w:tc>
              <w:tc>
                <w:tcPr>
                  <w:tcW w:w="3539" w:type="pct"/>
                  <w:noWrap w:val="0"/>
                  <w:vAlign w:val="center"/>
                </w:tcPr>
                <w:p>
                  <w:pPr>
                    <w:adjustRightInd w:val="0"/>
                    <w:snapToGrid w:val="0"/>
                    <w:jc w:val="center"/>
                    <w:rPr>
                      <w:rFonts w:hint="default" w:ascii="Times New Roman" w:hAnsi="Times New Roman" w:cs="Times New Roman"/>
                      <w:color w:val="auto"/>
                      <w:sz w:val="24"/>
                      <w:szCs w:val="24"/>
                    </w:rPr>
                  </w:pPr>
                  <w:r>
                    <w:rPr>
                      <w:rFonts w:hint="eastAsia"/>
                      <w:color w:val="auto"/>
                      <w:sz w:val="24"/>
                      <w:szCs w:val="24"/>
                      <w:lang w:val="en-US" w:eastAsia="zh-CN"/>
                    </w:rPr>
                    <w:t>本项目洗车平台、沉淀池池体及池壁采用</w:t>
                  </w:r>
                  <w:r>
                    <w:rPr>
                      <w:rFonts w:hint="default"/>
                      <w:color w:val="auto"/>
                      <w:sz w:val="24"/>
                      <w:szCs w:val="24"/>
                      <w:lang w:val="zh-CN" w:eastAsia="zh-CN"/>
                    </w:rPr>
                    <w:t>抗渗混凝土</w:t>
                  </w:r>
                  <w:r>
                    <w:rPr>
                      <w:rFonts w:hint="default"/>
                      <w:color w:val="auto"/>
                      <w:sz w:val="24"/>
                      <w:szCs w:val="24"/>
                      <w:lang w:val="en-US" w:eastAsia="zh-CN"/>
                    </w:rPr>
                    <w:t>硬化</w:t>
                  </w:r>
                  <w:r>
                    <w:rPr>
                      <w:rFonts w:hint="eastAsia"/>
                      <w:color w:val="auto"/>
                      <w:sz w:val="24"/>
                      <w:szCs w:val="24"/>
                      <w:lang w:val="en-US" w:eastAsia="zh-CN"/>
                    </w:rPr>
                    <w:t>，</w:t>
                  </w:r>
                  <w:r>
                    <w:rPr>
                      <w:rFonts w:hint="default"/>
                      <w:color w:val="auto"/>
                      <w:sz w:val="24"/>
                      <w:szCs w:val="24"/>
                      <w:lang w:val="en-US" w:eastAsia="zh-CN"/>
                    </w:rPr>
                    <w:t>渗透系数</w:t>
                  </w:r>
                  <w:r>
                    <w:rPr>
                      <w:rFonts w:hint="eastAsia"/>
                      <w:color w:val="auto"/>
                      <w:sz w:val="24"/>
                      <w:szCs w:val="24"/>
                      <w:lang w:val="en-US" w:eastAsia="zh-CN"/>
                    </w:rPr>
                    <w:t>≤10</w:t>
                  </w:r>
                  <w:r>
                    <w:rPr>
                      <w:rFonts w:hint="eastAsia"/>
                      <w:color w:val="auto"/>
                      <w:sz w:val="24"/>
                      <w:szCs w:val="24"/>
                      <w:vertAlign w:val="superscript"/>
                      <w:lang w:val="en-US" w:eastAsia="zh-CN"/>
                    </w:rPr>
                    <w:t>-7</w:t>
                  </w:r>
                  <w:r>
                    <w:rPr>
                      <w:rFonts w:hint="eastAsia"/>
                      <w:color w:val="auto"/>
                      <w:sz w:val="24"/>
                      <w:szCs w:val="24"/>
                      <w:lang w:val="en-US" w:eastAsia="zh-CN"/>
                    </w:rPr>
                    <w:t>cm</w:t>
                  </w:r>
                  <w:r>
                    <w:rPr>
                      <w:rFonts w:hint="default"/>
                      <w:color w:val="auto"/>
                      <w:sz w:val="24"/>
                      <w:szCs w:val="24"/>
                      <w:lang w:val="en-US" w:eastAsia="zh-CN"/>
                    </w:rPr>
                    <w:t>/</w:t>
                  </w:r>
                  <w:r>
                    <w:rPr>
                      <w:rFonts w:hint="eastAsia"/>
                      <w:color w:val="auto"/>
                      <w:sz w:val="24"/>
                      <w:szCs w:val="24"/>
                      <w:lang w:val="en-US" w:eastAsia="zh-CN"/>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2" w:type="pct"/>
                  <w:vMerge w:val="continue"/>
                  <w:noWrap w:val="0"/>
                  <w:vAlign w:val="center"/>
                </w:tcPr>
                <w:p>
                  <w:pPr>
                    <w:adjustRightInd w:val="0"/>
                    <w:snapToGrid w:val="0"/>
                    <w:jc w:val="center"/>
                    <w:rPr>
                      <w:rFonts w:hint="eastAsia"/>
                      <w:color w:val="auto"/>
                      <w:szCs w:val="21"/>
                      <w:lang w:eastAsia="zh-CN"/>
                    </w:rPr>
                  </w:pPr>
                </w:p>
              </w:tc>
              <w:tc>
                <w:tcPr>
                  <w:tcW w:w="688" w:type="pct"/>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危废间</w:t>
                  </w:r>
                </w:p>
              </w:tc>
              <w:tc>
                <w:tcPr>
                  <w:tcW w:w="3539" w:type="pct"/>
                  <w:noWrap w:val="0"/>
                  <w:vAlign w:val="center"/>
                </w:tcPr>
                <w:p>
                  <w:pPr>
                    <w:adjustRightInd w:val="0"/>
                    <w:snapToGrid w:val="0"/>
                    <w:jc w:val="center"/>
                    <w:rPr>
                      <w:rFonts w:hint="eastAsia"/>
                      <w:color w:val="auto"/>
                      <w:sz w:val="24"/>
                      <w:szCs w:val="24"/>
                      <w:lang w:val="en-US" w:eastAsia="zh-CN"/>
                    </w:rPr>
                  </w:pPr>
                  <w:r>
                    <w:rPr>
                      <w:rFonts w:hint="default" w:ascii="Times New Roman" w:hAnsi="Times New Roman" w:cs="Times New Roman"/>
                      <w:color w:val="auto"/>
                      <w:sz w:val="24"/>
                      <w:szCs w:val="24"/>
                    </w:rPr>
                    <w:t>危废间地面和裙角做好防渗处理，防渗层为15cm抗渗混凝土+环氧树脂地坪漆，渗透系数≤10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default" w:ascii="Times New Roman" w:hAnsi="Times New Roman" w:cs="Times New Roman"/>
                      <w:color w:val="auto"/>
                      <w:sz w:val="24"/>
                      <w:szCs w:val="24"/>
                      <w:lang w:val="zh-CN"/>
                    </w:rPr>
                    <w:t>且满足</w:t>
                  </w:r>
                  <w:r>
                    <w:rPr>
                      <w:rFonts w:hint="default" w:ascii="Times New Roman" w:hAnsi="Times New Roman" w:cs="Times New Roman"/>
                      <w:color w:val="auto"/>
                      <w:sz w:val="24"/>
                      <w:szCs w:val="24"/>
                    </w:rPr>
                    <w:t>防风、防雨、防晒、防渗漏要求</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 xml:space="preserve">   建（构）筑物一览表</w:t>
            </w:r>
          </w:p>
          <w:tbl>
            <w:tblPr>
              <w:tblStyle w:val="20"/>
              <w:tblW w:w="495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1124"/>
              <w:gridCol w:w="1050"/>
              <w:gridCol w:w="1529"/>
              <w:gridCol w:w="3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名称</w:t>
                  </w:r>
                </w:p>
              </w:tc>
              <w:tc>
                <w:tcPr>
                  <w:tcW w:w="680"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占地面积</w:t>
                  </w:r>
                </w:p>
              </w:tc>
              <w:tc>
                <w:tcPr>
                  <w:tcW w:w="635"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建筑面积</w:t>
                  </w:r>
                </w:p>
              </w:tc>
              <w:tc>
                <w:tcPr>
                  <w:tcW w:w="925"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建筑尺寸</w:t>
                  </w:r>
                </w:p>
              </w:tc>
              <w:tc>
                <w:tcPr>
                  <w:tcW w:w="2073" w:type="pct"/>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Cs w:val="21"/>
                      <w:lang w:val="en-US" w:eastAsia="zh-CN"/>
                    </w:rPr>
                    <w:t>原料库</w:t>
                  </w:r>
                </w:p>
              </w:tc>
              <w:tc>
                <w:tcPr>
                  <w:tcW w:w="680" w:type="pct"/>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200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200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20</w:t>
                  </w:r>
                  <w:r>
                    <w:rPr>
                      <w:rFonts w:hint="default" w:ascii="Times New Roman" w:hAnsi="Times New Roman" w:cs="Times New Roman"/>
                      <w:color w:val="auto"/>
                      <w:szCs w:val="21"/>
                    </w:rPr>
                    <w:t>m×</w:t>
                  </w:r>
                  <w:r>
                    <w:rPr>
                      <w:rFonts w:hint="eastAsia" w:cs="Times New Roman"/>
                      <w:color w:val="auto"/>
                      <w:szCs w:val="21"/>
                      <w:lang w:val="en-US" w:eastAsia="zh-CN"/>
                    </w:rPr>
                    <w:t>10</w:t>
                  </w:r>
                  <w:r>
                    <w:rPr>
                      <w:rFonts w:hint="default" w:ascii="Times New Roman" w:hAnsi="Times New Roman" w:cs="Times New Roman"/>
                      <w:color w:val="auto"/>
                      <w:szCs w:val="21"/>
                    </w:rPr>
                    <w:t>m×</w:t>
                  </w:r>
                </w:p>
                <w:p>
                  <w:pPr>
                    <w:jc w:val="center"/>
                    <w:rPr>
                      <w:rFonts w:hint="default" w:ascii="Times New Roman" w:hAnsi="Times New Roman" w:cs="Times New Roman"/>
                      <w:color w:val="auto"/>
                      <w:szCs w:val="21"/>
                    </w:rPr>
                  </w:pPr>
                  <w:r>
                    <w:rPr>
                      <w:rFonts w:hint="eastAsia" w:cs="Times New Roman"/>
                      <w:color w:val="auto"/>
                      <w:szCs w:val="21"/>
                      <w:lang w:val="en-US" w:eastAsia="zh-CN"/>
                    </w:rPr>
                    <w:t>6</w:t>
                  </w:r>
                  <w:r>
                    <w:rPr>
                      <w:rFonts w:hint="default" w:ascii="Times New Roman" w:hAnsi="Times New Roman" w:cs="Times New Roman"/>
                      <w:color w:val="auto"/>
                      <w:szCs w:val="21"/>
                    </w:rPr>
                    <w:t>m</w:t>
                  </w:r>
                </w:p>
              </w:tc>
              <w:tc>
                <w:tcPr>
                  <w:tcW w:w="2073"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侧面为0.6m基础墙+单层彩钢结构，顶部为单层彩钢结构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shd w:val="clear" w:color="auto" w:fill="auto"/>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主生产车间</w:t>
                  </w:r>
                </w:p>
              </w:tc>
              <w:tc>
                <w:tcPr>
                  <w:tcW w:w="680" w:type="pct"/>
                  <w:shd w:val="clear" w:color="auto" w:fill="auto"/>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160</w:t>
                  </w:r>
                  <w:r>
                    <w:rPr>
                      <w:rFonts w:hint="default" w:ascii="Times New Roman" w:hAnsi="Times New Roman" w:cs="Times New Roman"/>
                      <w:color w:val="auto"/>
                      <w:szCs w:val="21"/>
                      <w:lang w:val="en-US" w:eastAsia="zh-CN"/>
                    </w:rPr>
                    <w:t>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shd w:val="clear" w:color="auto" w:fill="auto"/>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shd w:val="clear" w:color="auto" w:fill="auto"/>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40</w:t>
                  </w:r>
                  <w:r>
                    <w:rPr>
                      <w:rFonts w:hint="default" w:ascii="Times New Roman" w:hAnsi="Times New Roman" w:cs="Times New Roman"/>
                      <w:color w:val="auto"/>
                      <w:szCs w:val="21"/>
                    </w:rPr>
                    <w:t>m×</w:t>
                  </w:r>
                  <w:r>
                    <w:rPr>
                      <w:rFonts w:hint="eastAsia" w:cs="Times New Roman"/>
                      <w:color w:val="auto"/>
                      <w:szCs w:val="21"/>
                      <w:lang w:val="en-US" w:eastAsia="zh-CN"/>
                    </w:rPr>
                    <w:t>40</w:t>
                  </w:r>
                  <w:r>
                    <w:rPr>
                      <w:rFonts w:hint="default" w:ascii="Times New Roman" w:hAnsi="Times New Roman" w:cs="Times New Roman"/>
                      <w:color w:val="auto"/>
                      <w:szCs w:val="21"/>
                    </w:rPr>
                    <w:t>m×</w:t>
                  </w:r>
                </w:p>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6</w:t>
                  </w:r>
                  <w:r>
                    <w:rPr>
                      <w:rFonts w:hint="default" w:ascii="Times New Roman" w:hAnsi="Times New Roman" w:cs="Times New Roman"/>
                      <w:color w:val="auto"/>
                      <w:szCs w:val="21"/>
                    </w:rPr>
                    <w:t>m</w:t>
                  </w:r>
                </w:p>
              </w:tc>
              <w:tc>
                <w:tcPr>
                  <w:tcW w:w="2073" w:type="pct"/>
                  <w:shd w:val="clear" w:color="auto" w:fill="auto"/>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侧面为0.6m基础墙+单层彩钢结构，顶部为单层彩钢结构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成品库</w:t>
                  </w:r>
                </w:p>
              </w:tc>
              <w:tc>
                <w:tcPr>
                  <w:tcW w:w="680"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200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200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20</w:t>
                  </w:r>
                  <w:r>
                    <w:rPr>
                      <w:rFonts w:hint="default" w:ascii="Times New Roman" w:hAnsi="Times New Roman" w:cs="Times New Roman"/>
                      <w:color w:val="auto"/>
                      <w:szCs w:val="21"/>
                    </w:rPr>
                    <w:t>m×</w:t>
                  </w:r>
                  <w:r>
                    <w:rPr>
                      <w:rFonts w:hint="eastAsia" w:cs="Times New Roman"/>
                      <w:color w:val="auto"/>
                      <w:szCs w:val="21"/>
                      <w:lang w:val="en-US" w:eastAsia="zh-CN"/>
                    </w:rPr>
                    <w:t>10</w:t>
                  </w:r>
                  <w:r>
                    <w:rPr>
                      <w:rFonts w:hint="default" w:ascii="Times New Roman" w:hAnsi="Times New Roman" w:cs="Times New Roman"/>
                      <w:color w:val="auto"/>
                      <w:szCs w:val="21"/>
                    </w:rPr>
                    <w:t>m×</w:t>
                  </w:r>
                </w:p>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6</w:t>
                  </w:r>
                  <w:r>
                    <w:rPr>
                      <w:rFonts w:hint="default" w:ascii="Times New Roman" w:hAnsi="Times New Roman" w:cs="Times New Roman"/>
                      <w:color w:val="auto"/>
                      <w:szCs w:val="21"/>
                    </w:rPr>
                    <w:t>m</w:t>
                  </w:r>
                </w:p>
              </w:tc>
              <w:tc>
                <w:tcPr>
                  <w:tcW w:w="2073" w:type="pc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侧面为0.6m基础墙+单层彩钢结构，顶部为单层彩钢结构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办公室</w:t>
                  </w:r>
                </w:p>
              </w:tc>
              <w:tc>
                <w:tcPr>
                  <w:tcW w:w="680" w:type="pct"/>
                  <w:noWrap w:val="0"/>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noWrap w:val="0"/>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100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20</w:t>
                  </w:r>
                  <w:r>
                    <w:rPr>
                      <w:rFonts w:hint="default" w:ascii="Times New Roman" w:hAnsi="Times New Roman" w:cs="Times New Roman"/>
                      <w:color w:val="auto"/>
                      <w:szCs w:val="21"/>
                    </w:rPr>
                    <w:t>m×</w:t>
                  </w:r>
                  <w:r>
                    <w:rPr>
                      <w:rFonts w:hint="eastAsia" w:cs="Times New Roman"/>
                      <w:color w:val="auto"/>
                      <w:szCs w:val="21"/>
                      <w:lang w:val="en-US" w:eastAsia="zh-CN"/>
                    </w:rPr>
                    <w:t>5</w:t>
                  </w:r>
                  <w:r>
                    <w:rPr>
                      <w:rFonts w:hint="default" w:ascii="Times New Roman" w:hAnsi="Times New Roman" w:cs="Times New Roman"/>
                      <w:color w:val="auto"/>
                      <w:szCs w:val="21"/>
                    </w:rPr>
                    <w:t>m×</w:t>
                  </w:r>
                  <w:r>
                    <w:rPr>
                      <w:rFonts w:hint="eastAsia" w:cs="Times New Roman"/>
                      <w:color w:val="auto"/>
                      <w:szCs w:val="21"/>
                      <w:lang w:val="en-US" w:eastAsia="zh-CN"/>
                    </w:rPr>
                    <w:t>3</w:t>
                  </w:r>
                  <w:r>
                    <w:rPr>
                      <w:rFonts w:hint="default" w:ascii="Times New Roman" w:hAnsi="Times New Roman" w:cs="Times New Roman"/>
                      <w:color w:val="auto"/>
                      <w:szCs w:val="21"/>
                    </w:rPr>
                    <w:t>m</w:t>
                  </w:r>
                </w:p>
              </w:tc>
              <w:tc>
                <w:tcPr>
                  <w:tcW w:w="2073" w:type="pct"/>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eastAsia="zh-CN"/>
                    </w:rPr>
                    <w:t>砖混结构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jc w:val="center"/>
                    <w:rPr>
                      <w:rFonts w:hint="eastAsia" w:cs="Times New Roman"/>
                      <w:color w:val="auto"/>
                      <w:kern w:val="0"/>
                      <w:szCs w:val="21"/>
                      <w:lang w:val="en-US" w:eastAsia="zh-CN"/>
                    </w:rPr>
                  </w:pPr>
                  <w:r>
                    <w:rPr>
                      <w:rFonts w:hint="eastAsia" w:cs="Times New Roman"/>
                      <w:color w:val="auto"/>
                      <w:kern w:val="0"/>
                      <w:szCs w:val="21"/>
                      <w:lang w:val="en-US" w:eastAsia="zh-CN"/>
                    </w:rPr>
                    <w:t>危废间</w:t>
                  </w:r>
                </w:p>
              </w:tc>
              <w:tc>
                <w:tcPr>
                  <w:tcW w:w="680" w:type="pct"/>
                  <w:noWrap w:val="0"/>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6</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noWrap w:val="0"/>
                  <w:vAlign w:val="center"/>
                </w:tcPr>
                <w:p>
                  <w:pPr>
                    <w:jc w:val="center"/>
                    <w:rPr>
                      <w:rFonts w:hint="eastAsia" w:cs="Times New Roman"/>
                      <w:color w:val="auto"/>
                      <w:kern w:val="0"/>
                      <w:szCs w:val="21"/>
                      <w:lang w:val="en-US" w:eastAsia="zh-CN"/>
                    </w:rPr>
                  </w:pPr>
                  <w:r>
                    <w:rPr>
                      <w:rFonts w:hint="eastAsia" w:cs="Times New Roman"/>
                      <w:color w:val="auto"/>
                      <w:kern w:val="0"/>
                      <w:szCs w:val="21"/>
                      <w:lang w:val="en-US" w:eastAsia="zh-CN"/>
                    </w:rPr>
                    <w:t>6</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noWrap w:val="0"/>
                  <w:vAlign w:val="center"/>
                </w:tcPr>
                <w:p>
                  <w:pPr>
                    <w:jc w:val="center"/>
                    <w:rPr>
                      <w:rFonts w:hint="eastAsia" w:cs="Times New Roman"/>
                      <w:color w:val="auto"/>
                      <w:szCs w:val="21"/>
                      <w:lang w:val="en-US" w:eastAsia="zh-CN"/>
                    </w:rPr>
                  </w:pPr>
                  <w:r>
                    <w:rPr>
                      <w:rFonts w:hint="eastAsia" w:cs="Times New Roman"/>
                      <w:color w:val="auto"/>
                      <w:szCs w:val="21"/>
                      <w:lang w:val="en-US" w:eastAsia="zh-CN"/>
                    </w:rPr>
                    <w:t>3</w:t>
                  </w:r>
                  <w:r>
                    <w:rPr>
                      <w:rFonts w:hint="default" w:ascii="Times New Roman" w:hAnsi="Times New Roman" w:cs="Times New Roman"/>
                      <w:color w:val="auto"/>
                      <w:szCs w:val="21"/>
                    </w:rPr>
                    <w:t>m×</w:t>
                  </w:r>
                  <w:r>
                    <w:rPr>
                      <w:rFonts w:hint="eastAsia" w:cs="Times New Roman"/>
                      <w:color w:val="auto"/>
                      <w:szCs w:val="21"/>
                      <w:lang w:val="en-US" w:eastAsia="zh-CN"/>
                    </w:rPr>
                    <w:t>2</w:t>
                  </w:r>
                  <w:r>
                    <w:rPr>
                      <w:rFonts w:hint="default" w:ascii="Times New Roman" w:hAnsi="Times New Roman" w:cs="Times New Roman"/>
                      <w:color w:val="auto"/>
                      <w:szCs w:val="21"/>
                    </w:rPr>
                    <w:t>m×</w:t>
                  </w:r>
                  <w:r>
                    <w:rPr>
                      <w:rFonts w:hint="eastAsia" w:cs="Times New Roman"/>
                      <w:color w:val="auto"/>
                      <w:szCs w:val="21"/>
                      <w:lang w:val="en-US" w:eastAsia="zh-CN"/>
                    </w:rPr>
                    <w:t>3</w:t>
                  </w:r>
                  <w:r>
                    <w:rPr>
                      <w:rFonts w:hint="default" w:ascii="Times New Roman" w:hAnsi="Times New Roman" w:cs="Times New Roman"/>
                      <w:color w:val="auto"/>
                      <w:szCs w:val="21"/>
                    </w:rPr>
                    <w:t>m</w:t>
                  </w:r>
                </w:p>
              </w:tc>
              <w:tc>
                <w:tcPr>
                  <w:tcW w:w="2073" w:type="pct"/>
                  <w:noWrap w:val="0"/>
                  <w:vAlign w:val="center"/>
                </w:tcPr>
                <w:p>
                  <w:pPr>
                    <w:adjustRightInd w:val="0"/>
                    <w:snapToGrid w:val="0"/>
                    <w:jc w:val="center"/>
                    <w:rPr>
                      <w:rFonts w:hint="eastAsia" w:cs="Times New Roman"/>
                      <w:color w:val="auto"/>
                      <w:szCs w:val="21"/>
                      <w:lang w:eastAsia="zh-CN"/>
                    </w:rPr>
                  </w:pPr>
                  <w:r>
                    <w:rPr>
                      <w:rFonts w:hint="eastAsia" w:cs="Times New Roman"/>
                      <w:color w:val="auto"/>
                      <w:szCs w:val="21"/>
                      <w:lang w:eastAsia="zh-CN"/>
                    </w:rPr>
                    <w:t>彩钢结构，位于生产车间内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86" w:type="pct"/>
                  <w:noWrap w:val="0"/>
                  <w:vAlign w:val="center"/>
                </w:tcPr>
                <w:p>
                  <w:pPr>
                    <w:jc w:val="center"/>
                    <w:rPr>
                      <w:rFonts w:hint="eastAsia" w:cs="Times New Roman"/>
                      <w:color w:val="auto"/>
                      <w:kern w:val="0"/>
                      <w:szCs w:val="21"/>
                      <w:lang w:val="en-US" w:eastAsia="zh-CN"/>
                    </w:rPr>
                  </w:pPr>
                  <w:r>
                    <w:rPr>
                      <w:rFonts w:hint="eastAsia" w:cs="Times New Roman"/>
                      <w:color w:val="auto"/>
                      <w:kern w:val="0"/>
                      <w:szCs w:val="21"/>
                      <w:lang w:val="en-US" w:eastAsia="zh-CN"/>
                    </w:rPr>
                    <w:t>一般固废暂存间</w:t>
                  </w:r>
                </w:p>
              </w:tc>
              <w:tc>
                <w:tcPr>
                  <w:tcW w:w="680" w:type="pct"/>
                  <w:noWrap w:val="0"/>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20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635" w:type="pct"/>
                  <w:noWrap w:val="0"/>
                  <w:vAlign w:val="center"/>
                </w:tcPr>
                <w:p>
                  <w:pPr>
                    <w:jc w:val="center"/>
                    <w:rPr>
                      <w:rFonts w:hint="eastAsia" w:cs="Times New Roman"/>
                      <w:color w:val="auto"/>
                      <w:kern w:val="0"/>
                      <w:szCs w:val="21"/>
                      <w:lang w:val="en-US" w:eastAsia="zh-CN"/>
                    </w:rPr>
                  </w:pPr>
                  <w:r>
                    <w:rPr>
                      <w:rFonts w:hint="eastAsia" w:cs="Times New Roman"/>
                      <w:color w:val="auto"/>
                      <w:kern w:val="0"/>
                      <w:szCs w:val="21"/>
                      <w:lang w:val="en-US" w:eastAsia="zh-CN"/>
                    </w:rPr>
                    <w:t>20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925" w:type="pct"/>
                  <w:shd w:val="clear" w:color="auto" w:fill="auto"/>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m×</w:t>
                  </w:r>
                  <w:r>
                    <w:rPr>
                      <w:rFonts w:hint="eastAsia" w:cs="Times New Roman"/>
                      <w:color w:val="auto"/>
                      <w:szCs w:val="21"/>
                      <w:lang w:val="en-US" w:eastAsia="zh-CN"/>
                    </w:rPr>
                    <w:t>4</w:t>
                  </w:r>
                  <w:r>
                    <w:rPr>
                      <w:rFonts w:hint="default" w:ascii="Times New Roman" w:hAnsi="Times New Roman" w:cs="Times New Roman"/>
                      <w:color w:val="auto"/>
                      <w:szCs w:val="21"/>
                    </w:rPr>
                    <w:t>m×</w:t>
                  </w:r>
                  <w:r>
                    <w:rPr>
                      <w:rFonts w:hint="eastAsia" w:cs="Times New Roman"/>
                      <w:color w:val="auto"/>
                      <w:szCs w:val="21"/>
                      <w:lang w:val="en-US" w:eastAsia="zh-CN"/>
                    </w:rPr>
                    <w:t>3</w:t>
                  </w:r>
                  <w:r>
                    <w:rPr>
                      <w:rFonts w:hint="default" w:ascii="Times New Roman" w:hAnsi="Times New Roman" w:cs="Times New Roman"/>
                      <w:color w:val="auto"/>
                      <w:szCs w:val="21"/>
                    </w:rPr>
                    <w:t>m</w:t>
                  </w:r>
                </w:p>
              </w:tc>
              <w:tc>
                <w:tcPr>
                  <w:tcW w:w="2073" w:type="pct"/>
                  <w:noWrap w:val="0"/>
                  <w:vAlign w:val="center"/>
                </w:tcPr>
                <w:p>
                  <w:pPr>
                    <w:adjustRightInd w:val="0"/>
                    <w:snapToGrid w:val="0"/>
                    <w:jc w:val="center"/>
                    <w:rPr>
                      <w:rFonts w:hint="eastAsia" w:cs="Times New Roman"/>
                      <w:color w:val="auto"/>
                      <w:szCs w:val="21"/>
                      <w:lang w:eastAsia="zh-CN"/>
                    </w:rPr>
                  </w:pPr>
                  <w:r>
                    <w:rPr>
                      <w:rFonts w:hint="eastAsia" w:cs="Times New Roman"/>
                      <w:color w:val="auto"/>
                      <w:szCs w:val="21"/>
                      <w:lang w:eastAsia="zh-CN"/>
                    </w:rPr>
                    <w:t>彩钢结构，位于生产车间内</w:t>
                  </w:r>
                </w:p>
              </w:tc>
            </w:tr>
          </w:tbl>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（7）项目主要产品及产能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lang w:val="en-US" w:eastAsia="zh-CN"/>
              </w:rPr>
              <w:t xml:space="preserve">   本项目主要产品及产能一览表</w:t>
            </w:r>
          </w:p>
          <w:tbl>
            <w:tblPr>
              <w:tblStyle w:val="21"/>
              <w:tblW w:w="83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4"/>
              <w:gridCol w:w="719"/>
              <w:gridCol w:w="886"/>
              <w:gridCol w:w="1920"/>
              <w:gridCol w:w="1550"/>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3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产品名称</w:t>
                  </w:r>
                </w:p>
              </w:tc>
              <w:tc>
                <w:tcPr>
                  <w:tcW w:w="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产量</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单位</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规格</w:t>
                  </w:r>
                </w:p>
              </w:tc>
              <w:tc>
                <w:tcPr>
                  <w:tcW w:w="1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执行标准</w:t>
                  </w:r>
                </w:p>
              </w:tc>
              <w:tc>
                <w:tcPr>
                  <w:tcW w:w="1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包装形式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3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陶瓷骨炭粉</w:t>
                  </w:r>
                </w:p>
              </w:tc>
              <w:tc>
                <w:tcPr>
                  <w:tcW w:w="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1250</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t/ a</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粉状，粒径 0-18目，袋装储存</w:t>
                  </w:r>
                </w:p>
              </w:tc>
              <w:tc>
                <w:tcPr>
                  <w:tcW w:w="15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《骨质瓷器用骨炭》 </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QB/T 4666-2014</w:t>
                  </w:r>
                  <w:r>
                    <w:rPr>
                      <w:rFonts w:hint="eastAsia" w:cs="Times New Roman"/>
                      <w:color w:val="auto"/>
                      <w:sz w:val="21"/>
                      <w:szCs w:val="21"/>
                      <w:highlight w:val="none"/>
                      <w:lang w:val="en-US" w:eastAsia="zh-CN"/>
                    </w:rPr>
                    <w:t>）</w:t>
                  </w:r>
                </w:p>
              </w:tc>
              <w:tc>
                <w:tcPr>
                  <w:tcW w:w="19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袋装，50kg/袋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3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陶瓷骨炭粒</w:t>
                  </w:r>
                </w:p>
              </w:tc>
              <w:tc>
                <w:tcPr>
                  <w:tcW w:w="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1250</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t/ a</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粒状，粒径 18目-5mm，袋装储存</w:t>
                  </w:r>
                </w:p>
              </w:tc>
              <w:tc>
                <w:tcPr>
                  <w:tcW w:w="15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19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r>
          </w:tbl>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产能匹配计算：</w:t>
            </w:r>
            <w:r>
              <w:rPr>
                <w:rFonts w:hint="default" w:ascii="Times New Roman" w:hAnsi="Times New Roman" w:cs="Times New Roman"/>
                <w:color w:val="auto"/>
                <w:sz w:val="24"/>
                <w:szCs w:val="24"/>
                <w:highlight w:val="none"/>
                <w:lang w:val="en-US" w:eastAsia="zh-CN"/>
              </w:rPr>
              <w:t>本项目</w:t>
            </w:r>
            <w:r>
              <w:rPr>
                <w:rFonts w:hint="eastAsia" w:cs="Times New Roman"/>
                <w:color w:val="auto"/>
                <w:sz w:val="24"/>
                <w:szCs w:val="24"/>
                <w:highlight w:val="none"/>
                <w:lang w:val="en-US" w:eastAsia="zh-CN"/>
              </w:rPr>
              <w:t>单台碳化机整机出料量为1.2t/次。6小时完成一次碳化过程整体完成出料，2台碳化机整机每天最大出料量8t，年最大出料量为2880t，可满足本项目</w:t>
            </w:r>
            <w:r>
              <w:rPr>
                <w:rFonts w:hint="default" w:ascii="Times New Roman" w:hAnsi="Times New Roman" w:cs="Times New Roman"/>
                <w:color w:val="auto"/>
                <w:sz w:val="24"/>
                <w:highlight w:val="none"/>
                <w:lang w:val="en-US" w:eastAsia="zh-CN"/>
              </w:rPr>
              <w:t>年产陶瓷骨炭</w:t>
            </w:r>
            <w:r>
              <w:rPr>
                <w:rFonts w:hint="eastAsia" w:cs="Times New Roman"/>
                <w:color w:val="auto"/>
                <w:sz w:val="24"/>
                <w:highlight w:val="none"/>
                <w:lang w:val="en-US" w:eastAsia="zh-CN"/>
              </w:rPr>
              <w:t>2500</w:t>
            </w:r>
            <w:r>
              <w:rPr>
                <w:rFonts w:hint="default" w:ascii="Times New Roman" w:hAnsi="Times New Roman" w:cs="Times New Roman"/>
                <w:color w:val="auto"/>
                <w:sz w:val="24"/>
                <w:highlight w:val="none"/>
                <w:lang w:val="en-US" w:eastAsia="zh-CN"/>
              </w:rPr>
              <w:t>吨</w:t>
            </w:r>
            <w:r>
              <w:rPr>
                <w:rFonts w:hint="eastAsia" w:cs="Times New Roman"/>
                <w:color w:val="auto"/>
                <w:sz w:val="24"/>
                <w:highlight w:val="none"/>
                <w:lang w:val="en-US" w:eastAsia="zh-CN"/>
              </w:rPr>
              <w:t>要求。本项目产品陶瓷骨炭照片如下：</w:t>
            </w:r>
          </w:p>
          <w:p>
            <w:pPr>
              <w:spacing w:line="440" w:lineRule="exact"/>
              <w:ind w:firstLine="482"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drawing>
                <wp:anchor distT="0" distB="0" distL="114300" distR="114300" simplePos="0" relativeHeight="251662336" behindDoc="0" locked="0" layoutInCell="1" allowOverlap="1">
                  <wp:simplePos x="0" y="0"/>
                  <wp:positionH relativeFrom="column">
                    <wp:posOffset>175895</wp:posOffset>
                  </wp:positionH>
                  <wp:positionV relativeFrom="paragraph">
                    <wp:posOffset>27940</wp:posOffset>
                  </wp:positionV>
                  <wp:extent cx="5031740" cy="2463800"/>
                  <wp:effectExtent l="0" t="0" r="12700" b="5080"/>
                  <wp:wrapNone/>
                  <wp:docPr id="12" name="图片 12" descr="8c6ab08d40514e1180b5a638dae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c6ab08d40514e1180b5a638dae1643"/>
                          <pic:cNvPicPr>
                            <a:picLocks noChangeAspect="1"/>
                          </pic:cNvPicPr>
                        </pic:nvPicPr>
                        <pic:blipFill>
                          <a:blip r:embed="rId9"/>
                          <a:stretch>
                            <a:fillRect/>
                          </a:stretch>
                        </pic:blipFill>
                        <pic:spPr>
                          <a:xfrm>
                            <a:off x="0" y="0"/>
                            <a:ext cx="5031740" cy="2463800"/>
                          </a:xfrm>
                          <a:prstGeom prst="rect">
                            <a:avLst/>
                          </a:prstGeom>
                        </pic:spPr>
                      </pic:pic>
                    </a:graphicData>
                  </a:graphic>
                </wp:anchor>
              </w:drawing>
            </w: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（8）主要原辅材料及能源消耗</w:t>
            </w:r>
          </w:p>
          <w:p>
            <w:pPr>
              <w:keepNext w:val="0"/>
              <w:keepLines w:val="0"/>
              <w:pageBreakBefore w:val="0"/>
              <w:widowControl w:val="0"/>
              <w:tabs>
                <w:tab w:val="left" w:pos="2373"/>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z w:val="24"/>
                <w:szCs w:val="24"/>
                <w:highlight w:val="none"/>
                <w:lang w:val="en-US" w:eastAsia="zh-CN"/>
              </w:rPr>
            </w:pPr>
          </w:p>
          <w:p>
            <w:pPr>
              <w:keepNext w:val="0"/>
              <w:keepLines w:val="0"/>
              <w:pageBreakBefore w:val="0"/>
              <w:widowControl w:val="0"/>
              <w:tabs>
                <w:tab w:val="left" w:pos="2373"/>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z w:val="24"/>
                <w:szCs w:val="24"/>
                <w:highlight w:val="none"/>
                <w:lang w:val="en-US" w:eastAsia="zh-CN"/>
              </w:rPr>
            </w:pPr>
          </w:p>
          <w:p>
            <w:pPr>
              <w:keepNext w:val="0"/>
              <w:keepLines w:val="0"/>
              <w:pageBreakBefore w:val="0"/>
              <w:widowControl w:val="0"/>
              <w:tabs>
                <w:tab w:val="left" w:pos="2373"/>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 xml:space="preserve">   本项目主要原辅材料及能源消耗一览表</w:t>
            </w:r>
          </w:p>
          <w:tbl>
            <w:tblPr>
              <w:tblStyle w:val="21"/>
              <w:tblW w:w="8281" w:type="dxa"/>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3"/>
              <w:gridCol w:w="1877"/>
              <w:gridCol w:w="1470"/>
              <w:gridCol w:w="1170"/>
              <w:gridCol w:w="3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643"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序号</w:t>
                  </w:r>
                </w:p>
              </w:tc>
              <w:tc>
                <w:tcPr>
                  <w:tcW w:w="1877"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名称</w:t>
                  </w:r>
                </w:p>
              </w:tc>
              <w:tc>
                <w:tcPr>
                  <w:tcW w:w="1470"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单位</w:t>
                  </w:r>
                </w:p>
              </w:tc>
              <w:tc>
                <w:tcPr>
                  <w:tcW w:w="1170"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用量</w:t>
                  </w:r>
                </w:p>
              </w:tc>
              <w:tc>
                <w:tcPr>
                  <w:tcW w:w="3121"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牛骨、猪骨骨渣</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t/a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5350</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外购， 用于生产骨炭</w:t>
                  </w:r>
                  <w:r>
                    <w:rPr>
                      <w:rFonts w:hint="eastAsia" w:cs="Times New Roman"/>
                      <w:color w:val="auto"/>
                      <w:kern w:val="0"/>
                      <w:szCs w:val="21"/>
                      <w:lang w:val="en-US" w:eastAsia="zh-CN"/>
                    </w:rPr>
                    <w:t>，吨包袋储存，由汽车运至厂内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布袋</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t/a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w:t>
                  </w:r>
                  <w:r>
                    <w:rPr>
                      <w:rFonts w:hint="eastAsia" w:cs="Times New Roman"/>
                      <w:color w:val="auto"/>
                      <w:kern w:val="0"/>
                      <w:szCs w:val="21"/>
                      <w:lang w:val="en-US" w:eastAsia="zh-CN"/>
                    </w:rPr>
                    <w:t>5</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厂家定期更换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包装袋</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t/a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外购，桶装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1877"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润滑油</w:t>
                  </w:r>
                </w:p>
              </w:tc>
              <w:tc>
                <w:tcPr>
                  <w:tcW w:w="1470"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t/a</w:t>
                  </w:r>
                </w:p>
              </w:tc>
              <w:tc>
                <w:tcPr>
                  <w:tcW w:w="1170"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0.05</w:t>
                  </w:r>
                </w:p>
              </w:tc>
              <w:tc>
                <w:tcPr>
                  <w:tcW w:w="3121"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外购，桶装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电</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万kwh/a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200</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市政电网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新水</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m</w:t>
                  </w:r>
                  <w:r>
                    <w:rPr>
                      <w:rFonts w:hint="default" w:ascii="Times New Roman" w:hAnsi="Times New Roman" w:cs="Times New Roman"/>
                      <w:color w:val="auto"/>
                      <w:kern w:val="0"/>
                      <w:szCs w:val="21"/>
                      <w:vertAlign w:val="superscript"/>
                      <w:lang w:val="en-US" w:eastAsia="zh-CN"/>
                    </w:rPr>
                    <w:t>3</w:t>
                  </w:r>
                  <w:r>
                    <w:rPr>
                      <w:rFonts w:hint="default" w:ascii="Times New Roman" w:hAnsi="Times New Roman" w:cs="Times New Roman"/>
                      <w:color w:val="auto"/>
                      <w:kern w:val="0"/>
                      <w:szCs w:val="21"/>
                      <w:lang w:val="en-US" w:eastAsia="zh-CN"/>
                    </w:rPr>
                    <w:t>/a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720</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eastAsia" w:ascii="Times New Roman" w:hAnsi="Times New Roman" w:eastAsia="宋体" w:cs="Times New Roman"/>
                      <w:color w:val="auto"/>
                      <w:szCs w:val="21"/>
                      <w:lang w:val="en-US" w:eastAsia="zh-CN"/>
                    </w:rPr>
                    <w:t>由荆各庄村提供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3"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w:t>
                  </w:r>
                </w:p>
              </w:tc>
              <w:tc>
                <w:tcPr>
                  <w:tcW w:w="1877"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生物除臭剂</w:t>
                  </w:r>
                </w:p>
              </w:tc>
              <w:tc>
                <w:tcPr>
                  <w:tcW w:w="14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t/a</w:t>
                  </w:r>
                </w:p>
              </w:tc>
              <w:tc>
                <w:tcPr>
                  <w:tcW w:w="1170"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3121" w:type="dxa"/>
                  <w:tcBorders>
                    <w:tl2br w:val="nil"/>
                    <w:tr2bl w:val="nil"/>
                  </w:tcBorders>
                  <w:vAlign w:val="center"/>
                </w:tcPr>
                <w:p>
                  <w:pPr>
                    <w:widowControl/>
                    <w:adjustRightInd w:val="0"/>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外购，桶装</w:t>
                  </w:r>
                </w:p>
              </w:tc>
            </w:tr>
          </w:tbl>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原料骨渣主要为粒装或者块状，吨包装包装，由汽车运至厂内，暂存于原料库内</w:t>
            </w:r>
            <w:r>
              <w:rPr>
                <w:rFonts w:hint="eastAsia" w:cs="Times New Roman"/>
                <w:color w:val="auto"/>
                <w:sz w:val="24"/>
                <w:lang w:val="en-US" w:eastAsia="zh-CN"/>
              </w:rPr>
              <w:t>，主要成分为磷、钙元素。厂区最大储存量为535吨，最大储存周期为1个月。本项目原料库建筑面积200平方米，可满足储存要求。</w:t>
            </w:r>
          </w:p>
          <w:p>
            <w:pPr>
              <w:spacing w:line="440" w:lineRule="exact"/>
              <w:ind w:firstLine="480" w:firstLineChars="200"/>
              <w:rPr>
                <w:rFonts w:hint="eastAsia" w:cs="Times New Roman"/>
                <w:color w:val="auto"/>
                <w:sz w:val="24"/>
                <w:lang w:val="en-US" w:eastAsia="zh-CN"/>
              </w:rPr>
            </w:pPr>
            <w:r>
              <w:rPr>
                <w:rFonts w:hint="eastAsia" w:cs="Times New Roman"/>
                <w:color w:val="auto"/>
                <w:sz w:val="24"/>
                <w:lang w:val="en-US" w:eastAsia="zh-CN"/>
              </w:rPr>
              <w:t>原料骨渣准入条件：本项目原料为</w:t>
            </w:r>
            <w:r>
              <w:rPr>
                <w:rFonts w:hint="default" w:cs="Times New Roman"/>
                <w:color w:val="auto"/>
                <w:sz w:val="24"/>
                <w:lang w:val="en-US" w:eastAsia="zh-CN"/>
              </w:rPr>
              <w:t>牛骨、猪骨骨渣</w:t>
            </w:r>
            <w:r>
              <w:rPr>
                <w:rFonts w:hint="eastAsia" w:cs="Times New Roman"/>
                <w:color w:val="auto"/>
                <w:sz w:val="24"/>
                <w:lang w:val="en-US" w:eastAsia="zh-CN"/>
              </w:rPr>
              <w:t>，主要来自上游企业如制药厂等，骨渣已经过粉碎、脱胶、脱硫、脱氮、脱脂处理后的残余骨渣，主要成分为磷、钙元素。原料照片如下：</w:t>
            </w: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drawing>
                <wp:anchor distT="0" distB="0" distL="114300" distR="114300" simplePos="0" relativeHeight="251663360" behindDoc="0" locked="0" layoutInCell="1" allowOverlap="1">
                  <wp:simplePos x="0" y="0"/>
                  <wp:positionH relativeFrom="column">
                    <wp:posOffset>132715</wp:posOffset>
                  </wp:positionH>
                  <wp:positionV relativeFrom="paragraph">
                    <wp:posOffset>56515</wp:posOffset>
                  </wp:positionV>
                  <wp:extent cx="5130800" cy="3362325"/>
                  <wp:effectExtent l="0" t="0" r="5080" b="5715"/>
                  <wp:wrapNone/>
                  <wp:docPr id="2" name="图片 2" descr="dcf4f84d0cf47ba61ef1b66ea114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f4f84d0cf47ba61ef1b66ea1149b1"/>
                          <pic:cNvPicPr>
                            <a:picLocks noChangeAspect="1"/>
                          </pic:cNvPicPr>
                        </pic:nvPicPr>
                        <pic:blipFill>
                          <a:blip r:embed="rId10"/>
                          <a:srcRect t="30609" r="12515" b="26395"/>
                          <a:stretch>
                            <a:fillRect/>
                          </a:stretch>
                        </pic:blipFill>
                        <pic:spPr>
                          <a:xfrm>
                            <a:off x="0" y="0"/>
                            <a:ext cx="5130800" cy="3362325"/>
                          </a:xfrm>
                          <a:prstGeom prst="rect">
                            <a:avLst/>
                          </a:prstGeom>
                        </pic:spPr>
                      </pic:pic>
                    </a:graphicData>
                  </a:graphic>
                </wp:anchor>
              </w:drawing>
            </w: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40" w:lineRule="exact"/>
              <w:ind w:firstLine="480" w:firstLineChars="200"/>
              <w:rPr>
                <w:rFonts w:hint="default" w:cs="Times New Roman"/>
                <w:color w:val="auto"/>
                <w:sz w:val="24"/>
                <w:lang w:val="en-US" w:eastAsia="zh-CN"/>
              </w:rPr>
            </w:pPr>
            <w:r>
              <w:rPr>
                <w:rFonts w:hint="eastAsia" w:cs="Times New Roman"/>
                <w:color w:val="auto"/>
                <w:sz w:val="24"/>
                <w:lang w:val="en-US" w:eastAsia="zh-CN"/>
              </w:rPr>
              <w:t>生物除臭剂：采用微生态工程技术，精选多种有益微生物经复合发酵而成的生物除臭净化剂，能有效去除硫化氢、氨气等恶臭气体，除臭率和抑蝇率达70%以上，使用方法将除臭剂稀释，用喷雾器均匀喷骨渣（包括地面、角落等）。初期7天喷一次，连续喷洒2~3次后，待臭味减轻可10~15天喷一次。</w:t>
            </w: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（9）主要设备</w:t>
            </w:r>
          </w:p>
          <w:p>
            <w:pPr>
              <w:keepNext w:val="0"/>
              <w:keepLines w:val="0"/>
              <w:pageBreakBefore w:val="0"/>
              <w:kinsoku/>
              <w:wordWrap/>
              <w:overflowPunct/>
              <w:topLinePunct w:val="0"/>
              <w:autoSpaceDE/>
              <w:autoSpaceDN/>
              <w:bidi w:val="0"/>
              <w:adjustRightIn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本项目主要设备</w:t>
            </w:r>
            <w:r>
              <w:rPr>
                <w:rFonts w:hint="default" w:ascii="Times New Roman" w:hAnsi="Times New Roman" w:cs="Times New Roman"/>
                <w:color w:val="auto"/>
                <w:sz w:val="24"/>
                <w:szCs w:val="24"/>
                <w:highlight w:val="none"/>
                <w:lang w:val="en-US" w:eastAsia="zh-CN"/>
              </w:rPr>
              <w:t>情况</w:t>
            </w:r>
            <w:r>
              <w:rPr>
                <w:rFonts w:hint="default" w:ascii="Times New Roman" w:hAnsi="Times New Roman" w:eastAsia="宋体" w:cs="Times New Roman"/>
                <w:color w:val="auto"/>
                <w:sz w:val="24"/>
                <w:szCs w:val="24"/>
                <w:highlight w:val="none"/>
                <w:lang w:val="en-US" w:eastAsia="zh-CN"/>
              </w:rPr>
              <w:t>见下表</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 xml:space="preserve">    本项目主要设备一览表</w:t>
            </w:r>
          </w:p>
          <w:tbl>
            <w:tblPr>
              <w:tblStyle w:val="21"/>
              <w:tblW w:w="484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1605"/>
              <w:gridCol w:w="1379"/>
              <w:gridCol w:w="1631"/>
              <w:gridCol w:w="2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470"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99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设备名称</w:t>
                  </w:r>
                </w:p>
              </w:tc>
              <w:tc>
                <w:tcPr>
                  <w:tcW w:w="1862" w:type="pct"/>
                  <w:gridSpan w:val="2"/>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设备型号、能力</w:t>
                  </w:r>
                </w:p>
              </w:tc>
              <w:tc>
                <w:tcPr>
                  <w:tcW w:w="167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数量/台（套）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470"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99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骨炭</w:t>
                  </w:r>
                  <w:r>
                    <w:rPr>
                      <w:rFonts w:hint="eastAsia" w:cs="Times New Roman"/>
                      <w:color w:val="auto"/>
                      <w:kern w:val="0"/>
                      <w:szCs w:val="21"/>
                      <w:lang w:val="en-US" w:eastAsia="zh-CN"/>
                    </w:rPr>
                    <w:t>碳化机</w:t>
                  </w:r>
                </w:p>
              </w:tc>
              <w:tc>
                <w:tcPr>
                  <w:tcW w:w="1862" w:type="pct"/>
                  <w:gridSpan w:val="2"/>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出料量1.2t/次</w:t>
                  </w:r>
                </w:p>
              </w:tc>
              <w:tc>
                <w:tcPr>
                  <w:tcW w:w="167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r>
                    <w:rPr>
                      <w:rFonts w:hint="eastAsia" w:cs="Times New Roman"/>
                      <w:color w:val="auto"/>
                      <w:kern w:val="0"/>
                      <w:szCs w:val="21"/>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70"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99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振动筛</w:t>
                  </w:r>
                </w:p>
              </w:tc>
              <w:tc>
                <w:tcPr>
                  <w:tcW w:w="1862" w:type="pct"/>
                  <w:gridSpan w:val="2"/>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处理能力</w:t>
                  </w:r>
                  <w:r>
                    <w:rPr>
                      <w:rFonts w:hint="eastAsia" w:cs="Times New Roman"/>
                      <w:color w:val="auto"/>
                      <w:kern w:val="0"/>
                      <w:szCs w:val="21"/>
                      <w:lang w:val="en-US" w:eastAsia="zh-CN"/>
                    </w:rPr>
                    <w:t>5</w:t>
                  </w:r>
                  <w:r>
                    <w:rPr>
                      <w:rFonts w:hint="default" w:ascii="Times New Roman" w:hAnsi="Times New Roman" w:cs="Times New Roman"/>
                      <w:color w:val="auto"/>
                      <w:kern w:val="0"/>
                      <w:szCs w:val="21"/>
                      <w:lang w:val="en-US" w:eastAsia="zh-CN"/>
                    </w:rPr>
                    <w:t>t/h</w:t>
                  </w:r>
                </w:p>
              </w:tc>
              <w:tc>
                <w:tcPr>
                  <w:tcW w:w="167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470"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99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输送带</w:t>
                  </w:r>
                </w:p>
              </w:tc>
              <w:tc>
                <w:tcPr>
                  <w:tcW w:w="1862" w:type="pct"/>
                  <w:gridSpan w:val="2"/>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w:t>
                  </w:r>
                </w:p>
              </w:tc>
              <w:tc>
                <w:tcPr>
                  <w:tcW w:w="167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4</w:t>
                  </w:r>
                  <w:r>
                    <w:rPr>
                      <w:rFonts w:hint="default" w:ascii="Times New Roman" w:hAnsi="Times New Roman" w:cs="Times New Roman"/>
                      <w:color w:val="auto"/>
                      <w:kern w:val="0"/>
                      <w:szCs w:val="21"/>
                      <w:lang w:val="en-US" w:eastAsia="zh-CN"/>
                    </w:rPr>
                    <w:t>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0"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99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鼓风机</w:t>
                  </w:r>
                </w:p>
              </w:tc>
              <w:tc>
                <w:tcPr>
                  <w:tcW w:w="1862" w:type="pct"/>
                  <w:gridSpan w:val="2"/>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99A-1-2B</w:t>
                  </w:r>
                </w:p>
              </w:tc>
              <w:tc>
                <w:tcPr>
                  <w:tcW w:w="1673" w:type="pct"/>
                  <w:tcBorders>
                    <w:tl2br w:val="nil"/>
                    <w:tr2bl w:val="nil"/>
                  </w:tcBorders>
                  <w:noWrap/>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色选机</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处理能力</w:t>
                  </w:r>
                  <w:r>
                    <w:rPr>
                      <w:rFonts w:hint="eastAsia" w:cs="Times New Roman"/>
                      <w:color w:val="auto"/>
                      <w:kern w:val="0"/>
                      <w:szCs w:val="21"/>
                      <w:lang w:val="en-US" w:eastAsia="zh-CN"/>
                    </w:rPr>
                    <w:t>2.5</w:t>
                  </w:r>
                  <w:r>
                    <w:rPr>
                      <w:rFonts w:hint="default" w:ascii="Times New Roman" w:hAnsi="Times New Roman" w:cs="Times New Roman"/>
                      <w:color w:val="auto"/>
                      <w:kern w:val="0"/>
                      <w:szCs w:val="21"/>
                      <w:lang w:val="en-US" w:eastAsia="zh-CN"/>
                    </w:rPr>
                    <w:t>t/h</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引风机</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55-20K</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提升机</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输送能力10.7</w:t>
                  </w:r>
                  <w:r>
                    <w:rPr>
                      <w:rFonts w:hint="default" w:ascii="Times New Roman" w:hAnsi="Times New Roman" w:cs="Times New Roman"/>
                      <w:color w:val="auto"/>
                      <w:kern w:val="0"/>
                      <w:szCs w:val="21"/>
                      <w:lang w:val="en-US" w:eastAsia="zh-CN"/>
                    </w:rPr>
                    <w:t>t/h</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2</w:t>
                  </w:r>
                  <w:r>
                    <w:rPr>
                      <w:rFonts w:hint="default" w:ascii="Times New Roman" w:hAnsi="Times New Roman" w:cs="Times New Roman"/>
                      <w:color w:val="auto"/>
                      <w:kern w:val="0"/>
                      <w:szCs w:val="21"/>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8</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包装机</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XT2020，处理能力</w:t>
                  </w:r>
                  <w:r>
                    <w:rPr>
                      <w:rFonts w:hint="eastAsia" w:cs="Times New Roman"/>
                      <w:color w:val="auto"/>
                      <w:kern w:val="0"/>
                      <w:szCs w:val="21"/>
                      <w:lang w:val="en-US" w:eastAsia="zh-CN"/>
                    </w:rPr>
                    <w:t>2.5</w:t>
                  </w:r>
                  <w:r>
                    <w:rPr>
                      <w:rFonts w:hint="default" w:ascii="Times New Roman" w:hAnsi="Times New Roman" w:cs="Times New Roman"/>
                      <w:color w:val="auto"/>
                      <w:kern w:val="0"/>
                      <w:szCs w:val="21"/>
                      <w:lang w:val="en-US" w:eastAsia="zh-CN"/>
                    </w:rPr>
                    <w:t>t/h</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9</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空压机</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XS30/8</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w:t>
                  </w:r>
                  <w:r>
                    <w:rPr>
                      <w:rFonts w:hint="default" w:ascii="Times New Roman" w:hAnsi="Times New Roman" w:cs="Times New Roman"/>
                      <w:color w:val="auto"/>
                      <w:kern w:val="0"/>
                      <w:szCs w:val="21"/>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70"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10</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冷却塔</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KZT60L/B</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470"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1</w:t>
                  </w:r>
                  <w:r>
                    <w:rPr>
                      <w:rFonts w:hint="eastAsia" w:cs="Times New Roman"/>
                      <w:color w:val="auto"/>
                      <w:kern w:val="0"/>
                      <w:szCs w:val="21"/>
                      <w:lang w:val="en-US" w:eastAsia="zh-CN"/>
                    </w:rPr>
                    <w:t>1</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脉冲布袋除尘</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处理能力</w:t>
                  </w:r>
                  <w:r>
                    <w:rPr>
                      <w:rFonts w:hint="eastAsia" w:cs="Times New Roman"/>
                      <w:color w:val="auto"/>
                      <w:szCs w:val="21"/>
                      <w:lang w:val="en-US" w:eastAsia="zh-CN"/>
                    </w:rPr>
                    <w:t>30</w:t>
                  </w:r>
                  <w:r>
                    <w:rPr>
                      <w:rFonts w:hint="default" w:ascii="Times New Roman" w:hAnsi="Times New Roman" w:cs="Times New Roman"/>
                      <w:color w:val="auto"/>
                      <w:szCs w:val="21"/>
                      <w:lang w:val="en-US" w:eastAsia="zh-CN"/>
                    </w:rPr>
                    <w:t>000m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/h</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w:t>
                  </w:r>
                  <w:r>
                    <w:rPr>
                      <w:rFonts w:hint="default" w:ascii="Times New Roman" w:hAnsi="Times New Roman" w:cs="Times New Roman"/>
                      <w:color w:val="auto"/>
                      <w:kern w:val="0"/>
                      <w:szCs w:val="21"/>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70" w:type="pct"/>
                  <w:tcBorders>
                    <w:tl2br w:val="nil"/>
                    <w:tr2bl w:val="nil"/>
                  </w:tcBorders>
                  <w:shd w:val="clear" w:color="auto" w:fill="auto"/>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12</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旋风除尘</w:t>
                  </w:r>
                </w:p>
              </w:tc>
              <w:tc>
                <w:tcPr>
                  <w:tcW w:w="85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color w:val="auto"/>
                      <w:kern w:val="0"/>
                      <w:szCs w:val="21"/>
                    </w:rPr>
                    <w:t>SXF-1600</w:t>
                  </w:r>
                </w:p>
              </w:tc>
              <w:tc>
                <w:tcPr>
                  <w:tcW w:w="1009" w:type="pct"/>
                  <w:vMerge w:val="restar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olor w:val="auto"/>
                      <w:kern w:val="0"/>
                      <w:szCs w:val="21"/>
                      <w:lang w:eastAsia="zh-CN"/>
                    </w:rPr>
                    <w:t>三级治理设备，</w:t>
                  </w:r>
                  <w:r>
                    <w:rPr>
                      <w:color w:val="auto"/>
                      <w:kern w:val="0"/>
                      <w:szCs w:val="21"/>
                    </w:rPr>
                    <w:t>处理能力</w:t>
                  </w:r>
                  <w:r>
                    <w:rPr>
                      <w:rFonts w:hint="eastAsia"/>
                      <w:color w:val="auto"/>
                      <w:szCs w:val="21"/>
                      <w:lang w:val="en-US" w:eastAsia="zh-CN"/>
                    </w:rPr>
                    <w:t>1</w:t>
                  </w:r>
                  <w:r>
                    <w:rPr>
                      <w:color w:val="auto"/>
                      <w:szCs w:val="21"/>
                    </w:rPr>
                    <w:t>00</w:t>
                  </w:r>
                  <w:r>
                    <w:rPr>
                      <w:rFonts w:hint="eastAsia"/>
                      <w:color w:val="auto"/>
                      <w:szCs w:val="21"/>
                      <w:lang w:val="en-US" w:eastAsia="zh-CN"/>
                    </w:rPr>
                    <w:t>0</w:t>
                  </w:r>
                  <w:r>
                    <w:rPr>
                      <w:color w:val="auto"/>
                      <w:szCs w:val="21"/>
                    </w:rPr>
                    <w:t>0m</w:t>
                  </w:r>
                  <w:r>
                    <w:rPr>
                      <w:color w:val="auto"/>
                      <w:szCs w:val="21"/>
                      <w:vertAlign w:val="superscript"/>
                    </w:rPr>
                    <w:t>3</w:t>
                  </w:r>
                  <w:r>
                    <w:rPr>
                      <w:color w:val="auto"/>
                      <w:szCs w:val="21"/>
                    </w:rPr>
                    <w:t>/h</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70" w:type="pct"/>
                  <w:tcBorders>
                    <w:tl2br w:val="nil"/>
                    <w:tr2bl w:val="nil"/>
                  </w:tcBorders>
                  <w:shd w:val="clear" w:color="auto" w:fill="auto"/>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13</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水浴除尘</w:t>
                  </w:r>
                </w:p>
              </w:tc>
              <w:tc>
                <w:tcPr>
                  <w:tcW w:w="85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color w:val="auto"/>
                      <w:kern w:val="0"/>
                      <w:szCs w:val="21"/>
                    </w:rPr>
                    <w:t>LPL-1600</w:t>
                  </w:r>
                </w:p>
              </w:tc>
              <w:tc>
                <w:tcPr>
                  <w:tcW w:w="1009" w:type="pct"/>
                  <w:vMerge w:val="continue"/>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70" w:type="pct"/>
                  <w:tcBorders>
                    <w:tl2br w:val="nil"/>
                    <w:tr2bl w:val="nil"/>
                  </w:tcBorders>
                  <w:shd w:val="clear" w:color="auto" w:fill="auto"/>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14</w:t>
                  </w:r>
                </w:p>
              </w:tc>
              <w:tc>
                <w:tcPr>
                  <w:tcW w:w="99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湿式静电除尘</w:t>
                  </w:r>
                </w:p>
              </w:tc>
              <w:tc>
                <w:tcPr>
                  <w:tcW w:w="85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color w:val="auto"/>
                      <w:kern w:val="0"/>
                      <w:szCs w:val="21"/>
                    </w:rPr>
                    <w:t>LGL-80-6</w:t>
                  </w:r>
                </w:p>
              </w:tc>
              <w:tc>
                <w:tcPr>
                  <w:tcW w:w="1009" w:type="pct"/>
                  <w:vMerge w:val="continue"/>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70" w:type="pct"/>
                  <w:tcBorders>
                    <w:tl2br w:val="nil"/>
                    <w:tr2bl w:val="nil"/>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15</w:t>
                  </w:r>
                </w:p>
              </w:tc>
              <w:tc>
                <w:tcPr>
                  <w:tcW w:w="993" w:type="pct"/>
                  <w:tcBorders>
                    <w:tl2br w:val="nil"/>
                    <w:tr2bl w:val="nil"/>
                  </w:tcBorders>
                  <w:vAlign w:val="center"/>
                </w:tcPr>
                <w:p>
                  <w:pPr>
                    <w:widowControl/>
                    <w:jc w:val="center"/>
                    <w:rPr>
                      <w:rFonts w:hint="eastAsia" w:cs="Times New Roman"/>
                      <w:color w:val="auto"/>
                      <w:kern w:val="0"/>
                      <w:szCs w:val="21"/>
                      <w:lang w:val="en-US" w:eastAsia="zh-CN"/>
                    </w:rPr>
                  </w:pPr>
                  <w:r>
                    <w:rPr>
                      <w:rFonts w:hint="eastAsia" w:cs="Times New Roman"/>
                      <w:color w:val="auto"/>
                      <w:kern w:val="0"/>
                      <w:szCs w:val="21"/>
                      <w:lang w:val="en-US" w:eastAsia="zh-CN"/>
                    </w:rPr>
                    <w:t>叉车</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rPr>
                    <w:t>国四排放标准</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70" w:type="pct"/>
                  <w:tcBorders>
                    <w:tl2br w:val="nil"/>
                    <w:tr2bl w:val="nil"/>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16</w:t>
                  </w:r>
                </w:p>
              </w:tc>
              <w:tc>
                <w:tcPr>
                  <w:tcW w:w="993" w:type="pct"/>
                  <w:tcBorders>
                    <w:tl2br w:val="nil"/>
                    <w:tr2bl w:val="nil"/>
                  </w:tcBorders>
                  <w:vAlign w:val="center"/>
                </w:tcPr>
                <w:p>
                  <w:pPr>
                    <w:widowControl/>
                    <w:jc w:val="center"/>
                    <w:rPr>
                      <w:rFonts w:hint="eastAsia" w:cs="Times New Roman"/>
                      <w:color w:val="auto"/>
                      <w:kern w:val="0"/>
                      <w:szCs w:val="21"/>
                      <w:lang w:val="en-US" w:eastAsia="zh-CN"/>
                    </w:rPr>
                  </w:pPr>
                  <w:r>
                    <w:rPr>
                      <w:rFonts w:hint="eastAsia" w:cs="Times New Roman"/>
                      <w:color w:val="auto"/>
                      <w:kern w:val="0"/>
                      <w:szCs w:val="21"/>
                      <w:lang w:val="en-US" w:eastAsia="zh-CN"/>
                    </w:rPr>
                    <w:t>铲车</w:t>
                  </w:r>
                </w:p>
              </w:tc>
              <w:tc>
                <w:tcPr>
                  <w:tcW w:w="1862" w:type="pct"/>
                  <w:gridSpan w:val="2"/>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柳工50，</w:t>
                  </w:r>
                  <w:r>
                    <w:rPr>
                      <w:rFonts w:hint="default" w:ascii="Times New Roman" w:hAnsi="Times New Roman" w:cs="Times New Roman"/>
                      <w:color w:val="auto"/>
                    </w:rPr>
                    <w:t>国四排放标准</w:t>
                  </w:r>
                </w:p>
              </w:tc>
              <w:tc>
                <w:tcPr>
                  <w:tcW w:w="1673" w:type="pct"/>
                  <w:tcBorders>
                    <w:tl2br w:val="nil"/>
                    <w:tr2bl w:val="nil"/>
                  </w:tcBorders>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1台</w:t>
                  </w:r>
                </w:p>
              </w:tc>
            </w:tr>
          </w:tbl>
          <w:p>
            <w:pPr>
              <w:autoSpaceDE w:val="0"/>
              <w:autoSpaceDN w:val="0"/>
              <w:adjustRightInd w:val="0"/>
              <w:snapToGrid w:val="0"/>
              <w:spacing w:line="360" w:lineRule="auto"/>
              <w:ind w:firstLine="480" w:firstLineChars="200"/>
              <w:jc w:val="left"/>
              <w:rPr>
                <w:rFonts w:hint="default" w:ascii="Times New Roman" w:hAnsi="Times New Roman" w:cs="Times New Roman"/>
                <w:color w:val="auto"/>
                <w:kern w:val="24"/>
                <w:sz w:val="24"/>
              </w:rPr>
            </w:pPr>
            <w:r>
              <w:rPr>
                <w:rFonts w:hint="default" w:ascii="Times New Roman" w:hAnsi="Times New Roman" w:cs="Times New Roman"/>
                <w:color w:val="auto"/>
                <w:kern w:val="24"/>
                <w:sz w:val="24"/>
                <w:lang w:eastAsia="zh-CN"/>
              </w:rPr>
              <w:t>（</w:t>
            </w:r>
            <w:r>
              <w:rPr>
                <w:rFonts w:hint="default" w:ascii="Times New Roman" w:hAnsi="Times New Roman" w:cs="Times New Roman"/>
                <w:color w:val="auto"/>
                <w:kern w:val="24"/>
                <w:sz w:val="24"/>
                <w:lang w:val="en-US" w:eastAsia="zh-CN"/>
              </w:rPr>
              <w:t>10</w:t>
            </w:r>
            <w:r>
              <w:rPr>
                <w:rFonts w:hint="default" w:ascii="Times New Roman" w:hAnsi="Times New Roman" w:cs="Times New Roman"/>
                <w:color w:val="auto"/>
                <w:kern w:val="24"/>
                <w:sz w:val="24"/>
                <w:lang w:eastAsia="zh-CN"/>
              </w:rPr>
              <w:t>）</w:t>
            </w:r>
            <w:r>
              <w:rPr>
                <w:rFonts w:hint="default" w:ascii="Times New Roman" w:hAnsi="Times New Roman" w:cs="Times New Roman"/>
                <w:color w:val="auto"/>
                <w:kern w:val="24"/>
                <w:sz w:val="24"/>
              </w:rPr>
              <w:t>给排水</w:t>
            </w:r>
          </w:p>
          <w:p>
            <w:pPr>
              <w:adjustRightInd w:val="0"/>
              <w:snapToGrid w:val="0"/>
              <w:spacing w:line="360" w:lineRule="auto"/>
              <w:ind w:firstLine="480"/>
              <w:jc w:val="left"/>
              <w:rPr>
                <w:rFonts w:hint="default" w:ascii="Times New Roman" w:hAnsi="Times New Roman" w:cs="Times New Roman"/>
                <w:color w:val="auto"/>
                <w:sz w:val="24"/>
              </w:rPr>
            </w:pPr>
            <w:r>
              <w:rPr>
                <w:rFonts w:hint="default" w:ascii="Times New Roman" w:hAnsi="Times New Roman" w:cs="Times New Roman"/>
                <w:color w:val="auto"/>
                <w:sz w:val="24"/>
              </w:rPr>
              <w:t>本项目新水用量</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720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eastAsia" w:ascii="Times New Roman" w:hAnsi="Times New Roman" w:eastAsia="宋体" w:cs="Times New Roman"/>
                <w:color w:val="auto"/>
                <w:sz w:val="24"/>
                <w:lang w:val="en-US" w:eastAsia="zh-CN"/>
              </w:rPr>
              <w:t>由荆各庄村提供</w:t>
            </w:r>
            <w:r>
              <w:rPr>
                <w:rFonts w:hint="default" w:ascii="Times New Roman" w:hAnsi="Times New Roman" w:eastAsia="宋体" w:cs="Times New Roman"/>
                <w:color w:val="auto"/>
                <w:sz w:val="24"/>
              </w:rPr>
              <w:t>，能够满足</w:t>
            </w:r>
            <w:r>
              <w:rPr>
                <w:rFonts w:hint="default" w:ascii="Times New Roman" w:hAnsi="Times New Roman" w:cs="Times New Roman"/>
                <w:color w:val="auto"/>
                <w:sz w:val="24"/>
              </w:rPr>
              <w:t>项目需求。</w:t>
            </w:r>
          </w:p>
          <w:p>
            <w:pPr>
              <w:adjustRightInd w:val="0"/>
              <w:snapToGrid w:val="0"/>
              <w:spacing w:line="360" w:lineRule="auto"/>
              <w:ind w:firstLine="480"/>
              <w:jc w:val="left"/>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生活用水：</w:t>
            </w:r>
          </w:p>
          <w:p>
            <w:pPr>
              <w:adjustRightInd w:val="0"/>
              <w:snapToGrid w:val="0"/>
              <w:spacing w:line="360" w:lineRule="auto"/>
              <w:ind w:firstLine="480"/>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本项目厂区内不设宿舍、食堂、浴室，厕所为</w:t>
            </w:r>
            <w:r>
              <w:rPr>
                <w:rFonts w:hint="eastAsia" w:ascii="Times New Roman" w:hAnsi="Times New Roman" w:eastAsia="宋体" w:cs="Times New Roman"/>
                <w:color w:val="auto"/>
                <w:sz w:val="24"/>
                <w:lang w:eastAsia="zh-CN"/>
              </w:rPr>
              <w:t>防渗旱</w:t>
            </w:r>
            <w:r>
              <w:rPr>
                <w:rFonts w:hint="eastAsia" w:ascii="Times New Roman" w:hAnsi="Times New Roman" w:eastAsia="宋体" w:cs="Times New Roman"/>
                <w:color w:val="auto"/>
                <w:sz w:val="24"/>
              </w:rPr>
              <w:t>厕。用水按每人每天</w:t>
            </w:r>
            <w:r>
              <w:rPr>
                <w:rFonts w:hint="eastAsia"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L</w:t>
            </w:r>
            <w:r>
              <w:rPr>
                <w:rFonts w:hint="eastAsia" w:ascii="Times New Roman" w:hAnsi="Times New Roman" w:eastAsia="宋体" w:cs="Times New Roman"/>
                <w:color w:val="auto"/>
                <w:sz w:val="24"/>
              </w:rPr>
              <w:t>计，劳动定员</w:t>
            </w:r>
            <w:r>
              <w:rPr>
                <w:rFonts w:hint="default" w:ascii="Times New Roman" w:hAnsi="Times New Roman" w:eastAsia="宋体" w:cs="Times New Roman"/>
                <w:color w:val="auto"/>
                <w:sz w:val="24"/>
              </w:rPr>
              <w:t>2</w:t>
            </w:r>
            <w:r>
              <w:rPr>
                <w:rFonts w:hint="eastAsia" w:ascii="Times New Roman" w:hAnsi="Times New Roman" w:eastAsia="宋体" w:cs="Times New Roman"/>
                <w:color w:val="auto"/>
                <w:sz w:val="24"/>
              </w:rPr>
              <w:t xml:space="preserve">0人，生活用水量为 </w:t>
            </w:r>
            <w:r>
              <w:rPr>
                <w:rFonts w:hint="default" w:ascii="Times New Roman" w:hAnsi="Times New Roman" w:eastAsia="宋体" w:cs="Times New Roman"/>
                <w:color w:val="auto"/>
                <w:sz w:val="24"/>
              </w:rPr>
              <w:t>0.</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120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eastAsia" w:ascii="Times New Roman" w:hAnsi="Times New Roman" w:eastAsia="宋体" w:cs="Times New Roman"/>
                <w:color w:val="auto"/>
                <w:sz w:val="24"/>
              </w:rPr>
              <w:t>）。生活污水</w:t>
            </w:r>
            <w:r>
              <w:rPr>
                <w:rFonts w:hint="eastAsia" w:ascii="Times New Roman" w:hAnsi="Times New Roman" w:eastAsia="宋体" w:cs="Times New Roman"/>
                <w:color w:val="auto"/>
                <w:sz w:val="24"/>
                <w:lang w:eastAsia="zh-CN"/>
              </w:rPr>
              <w:t>直接泼洒抑尘</w:t>
            </w:r>
            <w:r>
              <w:rPr>
                <w:rFonts w:hint="eastAsia" w:ascii="Times New Roman" w:hAnsi="Times New Roman" w:eastAsia="宋体" w:cs="Times New Roman"/>
                <w:color w:val="auto"/>
                <w:sz w:val="24"/>
              </w:rPr>
              <w:t>。</w:t>
            </w:r>
          </w:p>
          <w:p>
            <w:pPr>
              <w:adjustRightInd w:val="0"/>
              <w:snapToGrid w:val="0"/>
              <w:spacing w:line="360" w:lineRule="auto"/>
              <w:ind w:firstLine="48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生产用水：</w:t>
            </w:r>
          </w:p>
          <w:p>
            <w:pPr>
              <w:adjustRightInd w:val="0"/>
              <w:snapToGrid w:val="0"/>
              <w:spacing w:line="360" w:lineRule="auto"/>
              <w:ind w:firstLine="480"/>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1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①</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喷淋用水：根据企业提供资料，喷淋用水量为</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300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/a）；喷淋用水</w:t>
            </w:r>
            <w:r>
              <w:rPr>
                <w:rFonts w:hint="default" w:ascii="Times New Roman" w:hAnsi="Times New Roman" w:cs="Times New Roman"/>
                <w:bCs/>
                <w:color w:val="auto"/>
                <w:sz w:val="24"/>
              </w:rPr>
              <w:t>部分进入产品，部分蒸发。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②</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eastAsia="zh-CN"/>
              </w:rPr>
              <w:t>洗车</w:t>
            </w:r>
            <w:r>
              <w:rPr>
                <w:rFonts w:hint="default" w:ascii="Times New Roman" w:hAnsi="Times New Roman" w:cs="Times New Roman"/>
                <w:color w:val="auto"/>
                <w:sz w:val="24"/>
              </w:rPr>
              <w:t>用水：厂区出入口设置1座洗车平台清洗运输车辆。</w:t>
            </w:r>
            <w:r>
              <w:rPr>
                <w:rFonts w:hint="default" w:ascii="Times New Roman" w:hAnsi="Times New Roman" w:cs="Times New Roman"/>
                <w:color w:val="auto"/>
                <w:kern w:val="0"/>
                <w:sz w:val="24"/>
              </w:rPr>
              <w:t>对进出厂区车辆进行喷洗，</w:t>
            </w:r>
            <w:r>
              <w:rPr>
                <w:rFonts w:hint="default" w:ascii="Times New Roman" w:hAnsi="Times New Roman" w:cs="Times New Roman"/>
                <w:color w:val="auto"/>
                <w:sz w:val="24"/>
              </w:rPr>
              <w:t>冲洗</w:t>
            </w:r>
            <w:r>
              <w:rPr>
                <w:rFonts w:hint="default" w:ascii="Times New Roman" w:hAnsi="Times New Roman" w:cs="Times New Roman"/>
                <w:snapToGrid w:val="0"/>
                <w:color w:val="auto"/>
                <w:kern w:val="0"/>
                <w:sz w:val="24"/>
              </w:rPr>
              <w:t>用水总用水量为1m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（300m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新水用量为0.2m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60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循环水量为0.8m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/d（240m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洗车</w:t>
            </w:r>
            <w:r>
              <w:rPr>
                <w:rFonts w:hint="default" w:ascii="Times New Roman" w:hAnsi="Times New Roman" w:cs="Times New Roman"/>
                <w:color w:val="auto"/>
                <w:sz w:val="24"/>
              </w:rPr>
              <w:t>废水</w:t>
            </w:r>
            <w:r>
              <w:rPr>
                <w:rFonts w:hint="default" w:ascii="Times New Roman" w:hAnsi="Times New Roman" w:cs="Times New Roman"/>
                <w:snapToGrid w:val="0"/>
                <w:color w:val="auto"/>
                <w:kern w:val="0"/>
                <w:sz w:val="24"/>
              </w:rPr>
              <w:t>进入沉淀池，经沉淀后上清液回用，不外排</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③</w:t>
            </w:r>
            <w:r>
              <w:rPr>
                <w:rFonts w:hint="default" w:ascii="Times New Roman" w:hAnsi="Times New Roman" w:cs="Times New Roman"/>
                <w:bCs/>
                <w:color w:val="auto"/>
                <w:sz w:val="24"/>
                <w:lang w:eastAsia="zh-CN"/>
              </w:rPr>
              <w:t>冷却</w:t>
            </w:r>
            <w:r>
              <w:rPr>
                <w:rFonts w:hint="default" w:ascii="Times New Roman" w:hAnsi="Times New Roman" w:cs="Times New Roman"/>
                <w:color w:val="auto"/>
                <w:sz w:val="24"/>
              </w:rPr>
              <w:t>用水：</w:t>
            </w:r>
            <w:r>
              <w:rPr>
                <w:rFonts w:hint="default" w:ascii="Times New Roman" w:hAnsi="Times New Roman" w:cs="Times New Roman"/>
                <w:color w:val="auto"/>
                <w:sz w:val="24"/>
                <w:lang w:eastAsia="zh-CN"/>
              </w:rPr>
              <w:t>冷却</w:t>
            </w:r>
            <w:r>
              <w:rPr>
                <w:rFonts w:hint="default" w:ascii="Times New Roman" w:hAnsi="Times New Roman" w:cs="Times New Roman"/>
                <w:snapToGrid w:val="0"/>
                <w:color w:val="auto"/>
                <w:kern w:val="0"/>
                <w:sz w:val="24"/>
              </w:rPr>
              <w:t>用水总用水量为</w:t>
            </w:r>
            <w:r>
              <w:rPr>
                <w:rFonts w:hint="default" w:ascii="Times New Roman" w:hAnsi="Times New Roman" w:cs="Times New Roman"/>
                <w:snapToGrid w:val="0"/>
                <w:color w:val="auto"/>
                <w:kern w:val="0"/>
                <w:sz w:val="24"/>
                <w:lang w:val="en-US" w:eastAsia="zh-CN"/>
              </w:rPr>
              <w:t>3</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rPr>
              <w:t>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w:t>
            </w:r>
            <w:r>
              <w:rPr>
                <w:rFonts w:hint="default" w:ascii="Times New Roman" w:hAnsi="Times New Roman" w:cs="Times New Roman"/>
                <w:snapToGrid w:val="0"/>
                <w:color w:val="auto"/>
                <w:kern w:val="0"/>
                <w:sz w:val="24"/>
                <w:lang w:val="en-US" w:eastAsia="zh-CN"/>
              </w:rPr>
              <w:t>4</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120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w:t>
            </w:r>
            <w:r>
              <w:rPr>
                <w:rFonts w:hint="default" w:ascii="Times New Roman" w:hAnsi="Times New Roman" w:cs="Times New Roman"/>
                <w:color w:val="auto"/>
                <w:sz w:val="24"/>
                <w:lang w:val="en-US" w:eastAsia="zh-CN"/>
              </w:rPr>
              <w:t>2.6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780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冷却废水经冷却塔冷却后循环使用</w:t>
            </w:r>
            <w:r>
              <w:rPr>
                <w:rFonts w:hint="default" w:ascii="Times New Roman" w:hAnsi="Times New Roman" w:cs="Times New Roman"/>
                <w:snapToGrid w:val="0"/>
                <w:color w:val="auto"/>
                <w:kern w:val="0"/>
                <w:sz w:val="24"/>
              </w:rPr>
              <w:t>，不外排</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lang w:eastAsia="zh-CN"/>
              </w:rPr>
              <w:t>④水浴除尘</w:t>
            </w:r>
            <w:r>
              <w:rPr>
                <w:rFonts w:hint="eastAsia" w:cs="Times New Roman"/>
                <w:bCs/>
                <w:color w:val="auto"/>
                <w:sz w:val="24"/>
                <w:lang w:eastAsia="zh-CN"/>
              </w:rPr>
              <w:t>、湿式静电除尘</w:t>
            </w:r>
            <w:r>
              <w:rPr>
                <w:rFonts w:hint="default" w:ascii="Times New Roman" w:hAnsi="Times New Roman" w:cs="Times New Roman"/>
                <w:color w:val="auto"/>
                <w:sz w:val="24"/>
              </w:rPr>
              <w:t>用水：</w:t>
            </w:r>
            <w:r>
              <w:rPr>
                <w:rFonts w:hint="default" w:ascii="Times New Roman" w:hAnsi="Times New Roman" w:cs="Times New Roman"/>
                <w:bCs/>
                <w:color w:val="auto"/>
                <w:sz w:val="24"/>
                <w:lang w:eastAsia="zh-CN"/>
              </w:rPr>
              <w:t>水浴除尘</w:t>
            </w:r>
            <w:r>
              <w:rPr>
                <w:rFonts w:hint="eastAsia" w:cs="Times New Roman"/>
                <w:bCs/>
                <w:color w:val="auto"/>
                <w:sz w:val="24"/>
                <w:lang w:eastAsia="zh-CN"/>
              </w:rPr>
              <w:t>、湿式静电除尘</w:t>
            </w:r>
            <w:r>
              <w:rPr>
                <w:rFonts w:hint="default" w:ascii="Times New Roman" w:hAnsi="Times New Roman" w:cs="Times New Roman"/>
                <w:snapToGrid w:val="0"/>
                <w:color w:val="auto"/>
                <w:kern w:val="0"/>
                <w:sz w:val="24"/>
              </w:rPr>
              <w:t>用水总用水量为</w:t>
            </w:r>
            <w:r>
              <w:rPr>
                <w:rFonts w:hint="default" w:ascii="Times New Roman" w:hAnsi="Times New Roman" w:cs="Times New Roman"/>
                <w:snapToGrid w:val="0"/>
                <w:color w:val="auto"/>
                <w:kern w:val="0"/>
                <w:sz w:val="24"/>
                <w:lang w:val="en-US" w:eastAsia="zh-CN"/>
              </w:rPr>
              <w:t>2</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600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w:t>
            </w:r>
            <w:r>
              <w:rPr>
                <w:rFonts w:hint="default" w:ascii="Times New Roman" w:hAnsi="Times New Roman" w:cs="Times New Roman"/>
                <w:snapToGrid w:val="0"/>
                <w:color w:val="auto"/>
                <w:kern w:val="0"/>
                <w:sz w:val="24"/>
                <w:lang w:val="en-US" w:eastAsia="zh-CN"/>
              </w:rPr>
              <w:t>4</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120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w:t>
            </w:r>
            <w:r>
              <w:rPr>
                <w:rFonts w:hint="default" w:ascii="Times New Roman" w:hAnsi="Times New Roman" w:cs="Times New Roman"/>
                <w:color w:val="auto"/>
                <w:sz w:val="24"/>
                <w:lang w:val="en-US" w:eastAsia="zh-CN"/>
              </w:rPr>
              <w:t>1.6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480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bCs/>
                <w:color w:val="auto"/>
                <w:sz w:val="24"/>
                <w:lang w:eastAsia="zh-CN"/>
              </w:rPr>
              <w:t>水浴除尘</w:t>
            </w:r>
            <w:r>
              <w:rPr>
                <w:rFonts w:hint="eastAsia" w:cs="Times New Roman"/>
                <w:bCs/>
                <w:color w:val="auto"/>
                <w:sz w:val="24"/>
                <w:lang w:eastAsia="zh-CN"/>
              </w:rPr>
              <w:t>、湿式静电除尘</w:t>
            </w:r>
            <w:r>
              <w:rPr>
                <w:rFonts w:hint="default" w:ascii="Times New Roman" w:hAnsi="Times New Roman" w:cs="Times New Roman"/>
                <w:color w:val="auto"/>
                <w:sz w:val="24"/>
                <w:lang w:eastAsia="zh-CN"/>
              </w:rPr>
              <w:t>废水循环使用</w:t>
            </w:r>
            <w:r>
              <w:rPr>
                <w:rFonts w:hint="default" w:ascii="Times New Roman" w:hAnsi="Times New Roman" w:cs="Times New Roman"/>
                <w:snapToGrid w:val="0"/>
                <w:color w:val="auto"/>
                <w:kern w:val="0"/>
                <w:sz w:val="24"/>
              </w:rPr>
              <w:t>，不外排</w:t>
            </w:r>
            <w:r>
              <w:rPr>
                <w:rFonts w:hint="default" w:ascii="Times New Roman" w:hAnsi="Times New Roman" w:cs="Times New Roman"/>
                <w:color w:val="auto"/>
                <w:sz w:val="24"/>
              </w:rPr>
              <w:t>。</w:t>
            </w:r>
          </w:p>
          <w:p>
            <w:pPr>
              <w:spacing w:line="360" w:lineRule="auto"/>
              <w:ind w:firstLine="420" w:firstLineChars="200"/>
              <w:rPr>
                <w:rFonts w:hint="default" w:ascii="Times New Roman" w:hAnsi="Times New Roman" w:cs="Times New Roman"/>
                <w:color w:val="auto"/>
                <w:sz w:val="24"/>
              </w:rPr>
            </w:pPr>
            <w:r>
              <w:rPr>
                <w:rFonts w:hint="default" w:ascii="Times New Roman" w:hAnsi="Times New Roman" w:cs="Times New Roman"/>
                <w:color w:val="auto"/>
              </w:rPr>
              <w:pict>
                <v:shape id="_x0000_s1027" o:spid="_x0000_s1027" o:spt="75" type="#_x0000_t75" style="position:absolute;left:0pt;margin-left:61.8pt;margin-top:2.25pt;height:310.45pt;width:274.85pt;z-index:251661312;mso-width-relative:page;mso-height-relative:page;" o:ole="t" filled="f" o:preferrelative="t" stroked="f" coordsize="21600,21600">
                  <v:path/>
                  <v:fill on="f" focussize="0,0"/>
                  <v:stroke on="f"/>
                  <v:imagedata r:id="rId12" cropleft="9804f" croptop="3112f" cropright="16220f" cropbottom="10477f" o:title=""/>
                  <o:lock v:ext="edit" aspectratio="t"/>
                </v:shape>
                <o:OLEObject Type="Embed" ProgID="Visio.Drawing.11" ShapeID="_x0000_s1027" DrawAspect="Content" ObjectID="_1468075725" r:id="rId11">
                  <o:LockedField>false</o:LockedField>
                </o:OLEObject>
              </w:pict>
            </w: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p>
          <w:p>
            <w:pPr>
              <w:adjustRightInd w:val="0"/>
              <w:snapToGrid w:val="0"/>
              <w:spacing w:line="360" w:lineRule="auto"/>
              <w:jc w:val="center"/>
              <w:rPr>
                <w:rFonts w:hint="default" w:ascii="Times New Roman" w:hAnsi="Times New Roman" w:cs="Times New Roman"/>
                <w:b/>
                <w:bCs/>
                <w:color w:val="auto"/>
              </w:rPr>
            </w:pPr>
            <w:r>
              <w:rPr>
                <w:rFonts w:hint="default" w:ascii="Times New Roman" w:hAnsi="Times New Roman" w:cs="Times New Roman"/>
                <w:b/>
                <w:bCs/>
                <w:color w:val="auto"/>
              </w:rPr>
              <w:t>图4      本项目水量平衡图      单位：m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/d</w:t>
            </w:r>
          </w:p>
          <w:p>
            <w:pPr>
              <w:keepNext w:val="0"/>
              <w:keepLines w:val="0"/>
              <w:pageBreakBefore w:val="0"/>
              <w:widowControl w:val="0"/>
              <w:tabs>
                <w:tab w:val="left" w:pos="2625"/>
              </w:tabs>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供电：</w:t>
            </w:r>
            <w:r>
              <w:rPr>
                <w:rFonts w:hint="default" w:ascii="Times New Roman" w:hAnsi="Times New Roman" w:eastAsia="宋体" w:cs="Times New Roman"/>
                <w:color w:val="auto"/>
                <w:sz w:val="24"/>
                <w:szCs w:val="24"/>
                <w:highlight w:val="none"/>
                <w:lang w:val="en-US" w:eastAsia="zh-CN"/>
              </w:rPr>
              <w:t>全厂供电电源由</w:t>
            </w:r>
            <w:r>
              <w:rPr>
                <w:rFonts w:hint="default" w:ascii="Times New Roman" w:hAnsi="Times New Roman" w:cs="Times New Roman"/>
                <w:color w:val="auto"/>
                <w:kern w:val="0"/>
                <w:sz w:val="24"/>
                <w:szCs w:val="24"/>
                <w:highlight w:val="none"/>
                <w:lang w:val="en-US" w:eastAsia="zh-CN" w:bidi="ar"/>
              </w:rPr>
              <w:t>当地电网</w:t>
            </w:r>
            <w:r>
              <w:rPr>
                <w:rFonts w:hint="default" w:ascii="Times New Roman" w:hAnsi="Times New Roman" w:eastAsia="宋体" w:cs="Times New Roman"/>
                <w:color w:val="auto"/>
                <w:sz w:val="24"/>
                <w:szCs w:val="24"/>
                <w:highlight w:val="none"/>
                <w:lang w:val="en-US" w:eastAsia="zh-CN"/>
              </w:rPr>
              <w:t>引入，</w:t>
            </w:r>
            <w:r>
              <w:rPr>
                <w:rFonts w:hint="default" w:ascii="Times New Roman" w:hAnsi="Times New Roman"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年用电量为</w:t>
            </w:r>
            <w:r>
              <w:rPr>
                <w:rFonts w:hint="default" w:ascii="Times New Roman" w:hAnsi="Times New Roman"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万kWh。</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）用热制冷</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办公室采用</w:t>
            </w:r>
            <w:r>
              <w:rPr>
                <w:rFonts w:hint="default" w:ascii="Times New Roman" w:hAnsi="Times New Roman" w:cs="Times New Roman"/>
                <w:color w:val="auto"/>
                <w:sz w:val="24"/>
                <w:szCs w:val="24"/>
                <w:highlight w:val="none"/>
                <w:lang w:val="en-US" w:eastAsia="zh-CN"/>
              </w:rPr>
              <w:t>分体</w:t>
            </w:r>
            <w:r>
              <w:rPr>
                <w:rFonts w:hint="default" w:ascii="Times New Roman" w:hAnsi="Times New Roman" w:eastAsia="宋体" w:cs="Times New Roman"/>
                <w:color w:val="auto"/>
                <w:sz w:val="24"/>
                <w:szCs w:val="24"/>
                <w:highlight w:val="none"/>
                <w:lang w:val="en-US" w:eastAsia="zh-CN"/>
              </w:rPr>
              <w:t>空调用热制冷</w:t>
            </w:r>
            <w:r>
              <w:rPr>
                <w:rFonts w:hint="default" w:ascii="Times New Roman" w:hAnsi="Times New Roman"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（13）地理位置：本项目位于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sz w:val="24"/>
                <w:szCs w:val="24"/>
                <w:highlight w:val="none"/>
                <w:lang w:val="en-US" w:eastAsia="zh-CN"/>
              </w:rPr>
              <w:t>，厂址中心坐标为</w:t>
            </w:r>
            <w:r>
              <w:rPr>
                <w:rFonts w:hint="default" w:ascii="Times New Roman" w:hAnsi="Times New Roman" w:cs="Times New Roman"/>
                <w:color w:val="auto"/>
                <w:sz w:val="24"/>
                <w:highlight w:val="none"/>
                <w:lang w:val="en-US" w:eastAsia="zh-CN"/>
              </w:rPr>
              <w:t>东经118度1</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分</w:t>
            </w:r>
            <w:r>
              <w:rPr>
                <w:rFonts w:hint="eastAsia" w:cs="Times New Roman"/>
                <w:color w:val="auto"/>
                <w:sz w:val="24"/>
                <w:highlight w:val="none"/>
                <w:lang w:val="en-US" w:eastAsia="zh-CN"/>
              </w:rPr>
              <w:t>47.431</w:t>
            </w:r>
            <w:r>
              <w:rPr>
                <w:rFonts w:hint="default" w:ascii="Times New Roman" w:hAnsi="Times New Roman" w:cs="Times New Roman"/>
                <w:color w:val="auto"/>
                <w:sz w:val="24"/>
                <w:highlight w:val="none"/>
                <w:lang w:val="en-US" w:eastAsia="zh-CN"/>
              </w:rPr>
              <w:t>秒，北纬39度</w:t>
            </w:r>
            <w:r>
              <w:rPr>
                <w:rFonts w:hint="eastAsia" w:cs="Times New Roman"/>
                <w:color w:val="auto"/>
                <w:sz w:val="24"/>
                <w:highlight w:val="none"/>
                <w:lang w:val="en-US" w:eastAsia="zh-CN"/>
              </w:rPr>
              <w:t>44</w:t>
            </w:r>
            <w:r>
              <w:rPr>
                <w:rFonts w:hint="default" w:ascii="Times New Roman" w:hAnsi="Times New Roman" w:cs="Times New Roman"/>
                <w:color w:val="auto"/>
                <w:sz w:val="24"/>
                <w:highlight w:val="none"/>
                <w:lang w:val="en-US" w:eastAsia="zh-CN"/>
              </w:rPr>
              <w:t>分</w:t>
            </w:r>
            <w:r>
              <w:rPr>
                <w:rFonts w:hint="eastAsia" w:cs="Times New Roman"/>
                <w:color w:val="auto"/>
                <w:sz w:val="24"/>
                <w:highlight w:val="none"/>
                <w:lang w:val="en-US" w:eastAsia="zh-CN"/>
              </w:rPr>
              <w:t>30.044</w:t>
            </w:r>
            <w:r>
              <w:rPr>
                <w:rFonts w:hint="default" w:ascii="Times New Roman" w:hAnsi="Times New Roman" w:cs="Times New Roman"/>
                <w:color w:val="auto"/>
                <w:sz w:val="24"/>
                <w:highlight w:val="none"/>
                <w:lang w:val="en-US" w:eastAsia="zh-CN"/>
              </w:rPr>
              <w:t>秒</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（14）平面布置：</w:t>
            </w:r>
            <w:r>
              <w:rPr>
                <w:rFonts w:hint="default" w:ascii="Times New Roman" w:hAnsi="Times New Roman" w:cs="Times New Roman"/>
                <w:color w:val="auto"/>
                <w:kern w:val="44"/>
                <w:sz w:val="24"/>
              </w:rPr>
              <w:t>项目</w:t>
            </w:r>
            <w:r>
              <w:rPr>
                <w:rFonts w:hint="eastAsia" w:cs="Times New Roman"/>
                <w:color w:val="auto"/>
                <w:kern w:val="44"/>
                <w:sz w:val="24"/>
                <w:lang w:eastAsia="zh-CN"/>
              </w:rPr>
              <w:t>厂区北侧由西至东依次建设原料库、生产车间、成品库，办公室位于厂区西侧</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（14）周边关系：本项目选址位于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sz w:val="24"/>
                <w:szCs w:val="24"/>
                <w:highlight w:val="none"/>
                <w:lang w:val="en-US" w:eastAsia="zh-CN"/>
              </w:rPr>
              <w:t>，本项目厂区东侧为空地，南侧为</w:t>
            </w:r>
            <w:r>
              <w:rPr>
                <w:rFonts w:hint="eastAsia" w:cs="Times New Roman"/>
                <w:color w:val="auto"/>
                <w:sz w:val="24"/>
                <w:szCs w:val="24"/>
                <w:highlight w:val="none"/>
                <w:lang w:val="en-US" w:eastAsia="zh-CN"/>
              </w:rPr>
              <w:t>空地</w:t>
            </w:r>
            <w:r>
              <w:rPr>
                <w:rFonts w:hint="default" w:ascii="Times New Roman" w:hAnsi="Times New Roman" w:cs="Times New Roman"/>
                <w:color w:val="auto"/>
                <w:sz w:val="24"/>
                <w:szCs w:val="24"/>
                <w:highlight w:val="none"/>
                <w:lang w:val="en-US" w:eastAsia="zh-CN"/>
              </w:rPr>
              <w:t>，西侧为</w:t>
            </w:r>
            <w:r>
              <w:rPr>
                <w:rFonts w:hint="eastAsia" w:cs="Times New Roman"/>
                <w:color w:val="auto"/>
                <w:sz w:val="24"/>
                <w:highlight w:val="none"/>
                <w:lang w:val="en-US" w:eastAsia="zh-CN"/>
              </w:rPr>
              <w:t>唐山市开平云鹏陶瓷材料有限公司</w:t>
            </w:r>
            <w:r>
              <w:rPr>
                <w:rFonts w:hint="default" w:ascii="Times New Roman" w:hAnsi="Times New Roman" w:cs="Times New Roman"/>
                <w:color w:val="auto"/>
                <w:sz w:val="24"/>
                <w:szCs w:val="24"/>
                <w:highlight w:val="none"/>
                <w:lang w:val="en-US" w:eastAsia="zh-CN"/>
              </w:rPr>
              <w:t>，北侧为</w:t>
            </w:r>
            <w:r>
              <w:rPr>
                <w:rFonts w:hint="eastAsia" w:cs="Times New Roman"/>
                <w:color w:val="auto"/>
                <w:sz w:val="24"/>
                <w:szCs w:val="24"/>
                <w:highlight w:val="none"/>
                <w:lang w:val="en-US" w:eastAsia="zh-CN"/>
              </w:rPr>
              <w:t>空地</w:t>
            </w:r>
            <w:r>
              <w:rPr>
                <w:rFonts w:hint="default" w:ascii="Times New Roman" w:hAnsi="Times New Roman" w:cs="Times New Roman"/>
                <w:color w:val="auto"/>
                <w:sz w:val="24"/>
                <w:szCs w:val="24"/>
                <w:highlight w:val="none"/>
                <w:lang w:val="en-US" w:eastAsia="zh-CN"/>
              </w:rPr>
              <w:t>。距离本项目500m范围内无村庄等敏感点。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color w:val="auto"/>
                <w:sz w:val="24"/>
                <w:szCs w:val="24"/>
                <w:highlight w:val="none"/>
                <w:lang w:val="en-US" w:eastAsia="zh-CN"/>
              </w:rPr>
              <w:t>（15）物料平衡：</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 表</w:t>
            </w:r>
            <w:r>
              <w:rPr>
                <w:rFonts w:hint="eastAsia"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en-US" w:eastAsia="zh-CN"/>
              </w:rPr>
              <w:t xml:space="preserve">   本项目原料物料平衡一览表     单位：t/a</w:t>
            </w:r>
          </w:p>
          <w:tbl>
            <w:tblPr>
              <w:tblStyle w:val="20"/>
              <w:tblW w:w="498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619"/>
              <w:gridCol w:w="1413"/>
              <w:gridCol w:w="825"/>
              <w:gridCol w:w="2006"/>
              <w:gridCol w:w="15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161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w:t>
                  </w:r>
                </w:p>
              </w:tc>
              <w:tc>
                <w:tcPr>
                  <w:tcW w:w="14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投入量</w:t>
                  </w:r>
                </w:p>
              </w:tc>
              <w:tc>
                <w:tcPr>
                  <w:tcW w:w="8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19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产出量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2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613" w:type="dxa"/>
                  <w:vMerge w:val="restart"/>
                  <w:tcBorders>
                    <w:tl2br w:val="nil"/>
                    <w:tr2bl w:val="nil"/>
                  </w:tcBorders>
                  <w:noWrap w:val="0"/>
                  <w:vAlign w:val="center"/>
                </w:tcPr>
                <w:p>
                  <w:pPr>
                    <w:autoSpaceDE w:val="0"/>
                    <w:autoSpaceDN w:val="0"/>
                    <w:adjustRightInd w:val="0"/>
                    <w:jc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Cs w:val="21"/>
                      <w:lang w:val="en-US" w:eastAsia="zh-CN"/>
                    </w:rPr>
                    <w:t>牛骨、猪骨骨渣</w:t>
                  </w:r>
                </w:p>
              </w:tc>
              <w:tc>
                <w:tcPr>
                  <w:tcW w:w="1407" w:type="dxa"/>
                  <w:vMerge w:val="restar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Cs w:val="21"/>
                      <w:lang w:val="en-US" w:eastAsia="zh-CN"/>
                    </w:rPr>
                    <w:t>5350</w:t>
                  </w:r>
                </w:p>
              </w:tc>
              <w:tc>
                <w:tcPr>
                  <w:tcW w:w="8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color w:val="auto"/>
                      <w:sz w:val="21"/>
                      <w:szCs w:val="21"/>
                      <w:highlight w:val="none"/>
                      <w:lang w:val="en-US" w:eastAsia="zh-CN"/>
                    </w:rPr>
                    <w:t>陶瓷骨炭</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2500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2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p>
              </w:tc>
              <w:tc>
                <w:tcPr>
                  <w:tcW w:w="1613" w:type="dxa"/>
                  <w:vMerge w:val="continue"/>
                  <w:tcBorders>
                    <w:tl2br w:val="nil"/>
                    <w:tr2bl w:val="nil"/>
                  </w:tcBorders>
                  <w:noWrap w:val="0"/>
                  <w:vAlign w:val="center"/>
                </w:tcPr>
                <w:p>
                  <w:pPr>
                    <w:autoSpaceDE w:val="0"/>
                    <w:autoSpaceDN w:val="0"/>
                    <w:adjustRightInd w:val="0"/>
                    <w:jc w:val="center"/>
                    <w:rPr>
                      <w:rFonts w:hint="eastAsia" w:ascii="Times New Roman" w:hAnsi="Times New Roman" w:eastAsia="宋体" w:cs="Times New Roman"/>
                      <w:i w:val="0"/>
                      <w:iCs w:val="0"/>
                      <w:color w:val="auto"/>
                      <w:sz w:val="21"/>
                      <w:szCs w:val="21"/>
                      <w:u w:val="none"/>
                      <w:lang w:val="en-US" w:eastAsia="zh-CN"/>
                    </w:rPr>
                  </w:pPr>
                </w:p>
              </w:tc>
              <w:tc>
                <w:tcPr>
                  <w:tcW w:w="1407" w:type="dxa"/>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i w:val="0"/>
                      <w:iCs w:val="0"/>
                      <w:color w:val="auto"/>
                      <w:sz w:val="21"/>
                      <w:szCs w:val="21"/>
                      <w:u w:val="none"/>
                      <w:lang w:val="en-US" w:eastAsia="zh-CN"/>
                    </w:rPr>
                  </w:pPr>
                </w:p>
              </w:tc>
              <w:tc>
                <w:tcPr>
                  <w:tcW w:w="8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color w:val="auto"/>
                      <w:szCs w:val="21"/>
                      <w:lang w:eastAsia="zh-CN"/>
                    </w:rPr>
                    <w:t>未</w:t>
                  </w:r>
                  <w:r>
                    <w:rPr>
                      <w:rFonts w:hint="eastAsia" w:cs="Times New Roman"/>
                      <w:color w:val="auto"/>
                      <w:szCs w:val="21"/>
                      <w:lang w:eastAsia="zh-CN"/>
                    </w:rPr>
                    <w:t>碳化</w:t>
                  </w:r>
                  <w:r>
                    <w:rPr>
                      <w:rFonts w:hint="default" w:ascii="Times New Roman" w:hAnsi="Times New Roman" w:cs="Times New Roman"/>
                      <w:color w:val="auto"/>
                      <w:szCs w:val="21"/>
                      <w:lang w:eastAsia="zh-CN"/>
                    </w:rPr>
                    <w:t>充分的杂质</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2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613" w:type="dxa"/>
                  <w:vMerge w:val="continue"/>
                  <w:tcBorders>
                    <w:tl2br w:val="nil"/>
                    <w:tr2bl w:val="nil"/>
                  </w:tcBorders>
                  <w:noWrap w:val="0"/>
                  <w:vAlign w:val="center"/>
                </w:tcPr>
                <w:p>
                  <w:pPr>
                    <w:autoSpaceDE w:val="0"/>
                    <w:autoSpaceDN w:val="0"/>
                    <w:adjustRightInd w:val="0"/>
                    <w:jc w:val="center"/>
                    <w:rPr>
                      <w:rFonts w:hint="eastAsia" w:cs="Times New Roman"/>
                      <w:color w:val="auto"/>
                      <w:szCs w:val="21"/>
                      <w:lang w:val="en-US" w:eastAsia="zh-CN"/>
                    </w:rPr>
                  </w:pPr>
                </w:p>
              </w:tc>
              <w:tc>
                <w:tcPr>
                  <w:tcW w:w="1407" w:type="dxa"/>
                  <w:vMerge w:val="continue"/>
                  <w:tcBorders>
                    <w:tl2br w:val="nil"/>
                    <w:tr2bl w:val="nil"/>
                  </w:tcBorders>
                  <w:noWrap w:val="0"/>
                  <w:vAlign w:val="center"/>
                </w:tcPr>
                <w:p>
                  <w:pPr>
                    <w:autoSpaceDE w:val="0"/>
                    <w:autoSpaceDN w:val="0"/>
                    <w:adjustRightInd w:val="0"/>
                    <w:jc w:val="center"/>
                    <w:rPr>
                      <w:rFonts w:hint="eastAsia" w:cs="Times New Roman"/>
                      <w:i w:val="0"/>
                      <w:iCs w:val="0"/>
                      <w:color w:val="auto"/>
                      <w:sz w:val="21"/>
                      <w:szCs w:val="21"/>
                      <w:u w:val="none"/>
                      <w:lang w:val="en-US" w:eastAsia="zh-CN"/>
                    </w:rPr>
                  </w:pPr>
                </w:p>
              </w:tc>
              <w:tc>
                <w:tcPr>
                  <w:tcW w:w="8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19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cs="Times New Roman"/>
                      <w:color w:val="auto"/>
                      <w:szCs w:val="21"/>
                      <w:lang w:eastAsia="zh-CN"/>
                    </w:rPr>
                  </w:pPr>
                  <w:r>
                    <w:rPr>
                      <w:rFonts w:hint="eastAsia" w:cs="Times New Roman"/>
                      <w:color w:val="auto"/>
                      <w:szCs w:val="21"/>
                      <w:lang w:eastAsia="zh-CN"/>
                    </w:rPr>
                    <w:t>烧失量</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2327.59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2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eastAsia" w:ascii="Times New Roman" w:hAnsi="Times New Roman" w:eastAsia="宋体" w:cs="Times New Roman"/>
                      <w:i w:val="0"/>
                      <w:iCs w:val="0"/>
                      <w:color w:val="auto"/>
                      <w:sz w:val="21"/>
                      <w:szCs w:val="21"/>
                      <w:u w:val="none"/>
                      <w:lang w:val="en-US" w:eastAsia="zh-CN"/>
                    </w:rPr>
                  </w:pPr>
                </w:p>
              </w:tc>
              <w:tc>
                <w:tcPr>
                  <w:tcW w:w="1613" w:type="dxa"/>
                  <w:vMerge w:val="continue"/>
                  <w:tcBorders>
                    <w:tl2br w:val="nil"/>
                    <w:tr2bl w:val="nil"/>
                  </w:tcBorders>
                  <w:noWrap w:val="0"/>
                  <w:vAlign w:val="center"/>
                </w:tcPr>
                <w:p>
                  <w:pPr>
                    <w:autoSpaceDE w:val="0"/>
                    <w:autoSpaceDN w:val="0"/>
                    <w:adjustRightInd w:val="0"/>
                    <w:jc w:val="center"/>
                    <w:rPr>
                      <w:rFonts w:hint="eastAsia" w:ascii="Times New Roman" w:hAnsi="Times New Roman" w:eastAsia="宋体" w:cs="Times New Roman"/>
                      <w:i w:val="0"/>
                      <w:iCs w:val="0"/>
                      <w:color w:val="auto"/>
                      <w:sz w:val="21"/>
                      <w:szCs w:val="21"/>
                      <w:u w:val="none"/>
                      <w:lang w:eastAsia="zh-CN"/>
                    </w:rPr>
                  </w:pPr>
                </w:p>
              </w:tc>
              <w:tc>
                <w:tcPr>
                  <w:tcW w:w="1407" w:type="dxa"/>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i w:val="0"/>
                      <w:iCs w:val="0"/>
                      <w:color w:val="auto"/>
                      <w:sz w:val="21"/>
                      <w:szCs w:val="21"/>
                      <w:u w:val="none"/>
                    </w:rPr>
                  </w:pPr>
                </w:p>
              </w:tc>
              <w:tc>
                <w:tcPr>
                  <w:tcW w:w="82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4</w:t>
                  </w:r>
                </w:p>
              </w:tc>
              <w:tc>
                <w:tcPr>
                  <w:tcW w:w="19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颗粒物</w:t>
                  </w:r>
                  <w:r>
                    <w:rPr>
                      <w:rFonts w:hint="default" w:ascii="Times New Roman" w:hAnsi="Times New Roman" w:eastAsia="宋体" w:cs="Times New Roman"/>
                      <w:i w:val="0"/>
                      <w:iCs w:val="0"/>
                      <w:color w:val="auto"/>
                      <w:kern w:val="0"/>
                      <w:sz w:val="21"/>
                      <w:szCs w:val="21"/>
                      <w:u w:val="none"/>
                      <w:vertAlign w:val="superscript"/>
                      <w:lang w:val="en-US" w:eastAsia="zh-CN" w:bidi="ar"/>
                    </w:rPr>
                    <w:t>a</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22.41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536"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4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5350</w:t>
                  </w:r>
                </w:p>
              </w:tc>
              <w:tc>
                <w:tcPr>
                  <w:tcW w:w="282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5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105" w:leftChars="-50" w:right="-105" w:rightChars="-5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5350</w:t>
                  </w:r>
                </w:p>
              </w:tc>
            </w:tr>
          </w:tbl>
          <w:p>
            <w:pPr>
              <w:adjustRightInd w:val="0"/>
              <w:snapToGrid w:val="0"/>
              <w:spacing w:line="360" w:lineRule="auto"/>
              <w:ind w:firstLine="240" w:firstLineChars="1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备注：“</w:t>
            </w: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lang w:eastAsia="zh-CN"/>
              </w:rPr>
              <w:t>”指</w:t>
            </w:r>
            <w:r>
              <w:rPr>
                <w:rFonts w:hint="eastAsia" w:cs="Times New Roman"/>
                <w:color w:val="auto"/>
                <w:sz w:val="24"/>
                <w:lang w:eastAsia="zh-CN"/>
              </w:rPr>
              <w:t>生产</w:t>
            </w:r>
            <w:r>
              <w:rPr>
                <w:rFonts w:hint="default" w:ascii="Times New Roman" w:hAnsi="Times New Roman" w:cs="Times New Roman"/>
                <w:color w:val="auto"/>
                <w:sz w:val="24"/>
                <w:lang w:eastAsia="zh-CN"/>
              </w:rPr>
              <w:t>过程产生以颗粒物形式存在的量，最终去向为外排颗粒物、净化后除尘灰、过滤吸附进入废布袋等形式存在。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8" w:hRule="atLeast"/>
          <w:jc w:val="center"/>
        </w:trPr>
        <w:tc>
          <w:tcPr>
            <w:tcW w:w="618"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工艺流程和产排污环节</w:t>
            </w:r>
          </w:p>
        </w:tc>
        <w:tc>
          <w:tcPr>
            <w:tcW w:w="8442"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1、施工期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本项目建设内容主要为</w:t>
            </w:r>
            <w:r>
              <w:rPr>
                <w:rFonts w:hint="eastAsia" w:ascii="Times New Roman" w:hAnsi="Times New Roman" w:eastAsia="宋体" w:cs="Times New Roman"/>
                <w:color w:val="auto"/>
                <w:sz w:val="24"/>
                <w:szCs w:val="24"/>
                <w:highlight w:val="none"/>
                <w:lang w:val="en-US" w:eastAsia="zh-CN"/>
              </w:rPr>
              <w:t>车间的建设、</w:t>
            </w:r>
            <w:r>
              <w:rPr>
                <w:rFonts w:hint="default" w:ascii="Times New Roman" w:hAnsi="Times New Roman" w:eastAsia="宋体" w:cs="Times New Roman"/>
                <w:color w:val="auto"/>
                <w:sz w:val="24"/>
                <w:szCs w:val="24"/>
                <w:highlight w:val="none"/>
                <w:lang w:val="en-US" w:eastAsia="zh-CN"/>
              </w:rPr>
              <w:t>生产车间内设备及其他附属设施的安装。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施工过程为：场地平整和清理→</w:t>
            </w:r>
            <w:r>
              <w:rPr>
                <w:rFonts w:hint="eastAsia" w:ascii="Times New Roman" w:hAnsi="Times New Roman" w:eastAsia="宋体" w:cs="Times New Roman"/>
                <w:color w:val="auto"/>
                <w:sz w:val="24"/>
                <w:szCs w:val="24"/>
                <w:highlight w:val="none"/>
                <w:lang w:val="en-US" w:eastAsia="zh-CN"/>
              </w:rPr>
              <w:t>车间建设</w:t>
            </w:r>
            <w:r>
              <w:rPr>
                <w:rFonts w:hint="default" w:ascii="Times New Roman" w:hAnsi="Times New Roman" w:eastAsia="宋体" w:cs="Times New Roman"/>
                <w:color w:val="auto"/>
                <w:sz w:val="24"/>
                <w:szCs w:val="24"/>
                <w:highlight w:val="none"/>
                <w:lang w:val="en-US" w:eastAsia="zh-CN"/>
              </w:rPr>
              <w:t>→机械设备及辅助设施安装→设备调试。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2、运营期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原料</w:t>
            </w:r>
            <w:r>
              <w:rPr>
                <w:rFonts w:hint="eastAsia" w:cs="Times New Roman"/>
                <w:color w:val="auto"/>
                <w:sz w:val="24"/>
                <w:szCs w:val="24"/>
                <w:highlight w:val="none"/>
                <w:lang w:val="en-US" w:eastAsia="zh-CN"/>
              </w:rPr>
              <w:t>入厂、</w:t>
            </w:r>
          </w:p>
          <w:p>
            <w:pPr>
              <w:spacing w:line="44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生产主原</w:t>
            </w:r>
            <w:r>
              <w:rPr>
                <w:rFonts w:hint="default" w:ascii="Times New Roman" w:hAnsi="Times New Roman" w:eastAsia="宋体" w:cs="Times New Roman"/>
                <w:color w:val="auto"/>
                <w:sz w:val="24"/>
                <w:szCs w:val="24"/>
                <w:highlight w:val="none"/>
                <w:lang w:val="en-US" w:eastAsia="zh-CN"/>
              </w:rPr>
              <w:t>料主要为</w:t>
            </w:r>
            <w:r>
              <w:rPr>
                <w:rFonts w:hint="default" w:ascii="Times New Roman" w:hAnsi="Times New Roman" w:cs="Times New Roman"/>
                <w:color w:val="auto"/>
                <w:sz w:val="24"/>
                <w:szCs w:val="24"/>
                <w:highlight w:val="none"/>
                <w:lang w:val="en-US" w:eastAsia="zh-CN"/>
              </w:rPr>
              <w:t>牛骨、猪骨骨渣，散装，已经过破碎、筛分</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无需在本厂破碎、筛分</w:t>
            </w:r>
            <w:r>
              <w:rPr>
                <w:rFonts w:hint="default" w:ascii="Times New Roman" w:hAnsi="Times New Roman" w:cs="Times New Roman"/>
                <w:color w:val="auto"/>
                <w:sz w:val="24"/>
                <w:lang w:val="en-US" w:eastAsia="zh-CN"/>
              </w:rPr>
              <w:t>。由汽车运至厂内</w:t>
            </w:r>
            <w:r>
              <w:rPr>
                <w:rFonts w:hint="eastAsia" w:cs="Times New Roman"/>
                <w:color w:val="auto"/>
                <w:sz w:val="24"/>
                <w:lang w:val="en-US" w:eastAsia="zh-CN"/>
              </w:rPr>
              <w:t>东厂区</w:t>
            </w:r>
            <w:r>
              <w:rPr>
                <w:rFonts w:hint="default" w:ascii="Times New Roman" w:hAnsi="Times New Roman" w:cs="Times New Roman"/>
                <w:color w:val="auto"/>
                <w:sz w:val="24"/>
                <w:lang w:val="en-US" w:eastAsia="zh-CN"/>
              </w:rPr>
              <w:t>原料</w:t>
            </w:r>
            <w:r>
              <w:rPr>
                <w:rFonts w:hint="eastAsia" w:cs="Times New Roman"/>
                <w:color w:val="auto"/>
                <w:sz w:val="24"/>
                <w:lang w:val="en-US" w:eastAsia="zh-CN"/>
              </w:rPr>
              <w:t>库</w:t>
            </w:r>
            <w:r>
              <w:rPr>
                <w:rFonts w:hint="default" w:ascii="Times New Roman" w:hAnsi="Times New Roman" w:cs="Times New Roman"/>
                <w:color w:val="auto"/>
                <w:sz w:val="24"/>
                <w:lang w:val="en-US" w:eastAsia="zh-CN"/>
              </w:rPr>
              <w:t>暂存。</w:t>
            </w:r>
            <w:r>
              <w:rPr>
                <w:rFonts w:hint="eastAsia" w:cs="Times New Roman"/>
                <w:color w:val="auto"/>
                <w:sz w:val="24"/>
                <w:szCs w:val="24"/>
                <w:highlight w:val="none"/>
                <w:lang w:val="en-US" w:eastAsia="zh-CN"/>
              </w:rPr>
              <w:t>原料骨渣主要为粒装或者块状，吨包装包装，由汽车运至厂内，暂存于原料库内</w:t>
            </w:r>
            <w:r>
              <w:rPr>
                <w:rFonts w:hint="eastAsia" w:cs="Times New Roman"/>
                <w:color w:val="auto"/>
                <w:sz w:val="24"/>
                <w:lang w:val="en-US" w:eastAsia="zh-CN"/>
              </w:rPr>
              <w:t>，主要成分为磷、钙元素。厂区最大储存量为535吨，最大储存周期为1个月。本项目原料库建筑面积200平方米，可满足储存要求。原料骨渣准入条件：本项目原料为</w:t>
            </w:r>
            <w:r>
              <w:rPr>
                <w:rFonts w:hint="default" w:cs="Times New Roman"/>
                <w:color w:val="auto"/>
                <w:sz w:val="24"/>
                <w:lang w:val="en-US" w:eastAsia="zh-CN"/>
              </w:rPr>
              <w:t>牛骨、猪骨骨渣</w:t>
            </w:r>
            <w:r>
              <w:rPr>
                <w:rFonts w:hint="eastAsia" w:cs="Times New Roman"/>
                <w:color w:val="auto"/>
                <w:sz w:val="24"/>
                <w:lang w:val="en-US" w:eastAsia="zh-CN"/>
              </w:rPr>
              <w:t>，主要来自上游企业如制药厂等，骨渣已经过粉碎、脱胶、脱硫、脱氮、脱脂处理后的残余骨渣，主要成分为磷、钙元素</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此工段产生的污染物主要为</w:t>
            </w:r>
            <w:r>
              <w:rPr>
                <w:rFonts w:hint="default" w:ascii="Times New Roman" w:hAnsi="Times New Roman" w:cs="Times New Roman"/>
                <w:b/>
                <w:bCs/>
                <w:color w:val="auto"/>
                <w:sz w:val="24"/>
                <w:highlight w:val="none"/>
                <w:lang w:val="en-US" w:eastAsia="zh-CN"/>
              </w:rPr>
              <w:t>原料</w:t>
            </w:r>
            <w:r>
              <w:rPr>
                <w:rFonts w:hint="eastAsia" w:cs="Times New Roman"/>
                <w:b/>
                <w:bCs/>
                <w:color w:val="auto"/>
                <w:sz w:val="24"/>
                <w:highlight w:val="none"/>
                <w:lang w:val="en-US" w:eastAsia="zh-CN"/>
              </w:rPr>
              <w:t>装卸</w:t>
            </w:r>
            <w:r>
              <w:rPr>
                <w:rFonts w:hint="default" w:ascii="Times New Roman" w:hAnsi="Times New Roman" w:cs="Times New Roman"/>
                <w:b/>
                <w:bCs/>
                <w:color w:val="auto"/>
                <w:sz w:val="24"/>
                <w:highlight w:val="none"/>
                <w:lang w:val="en-US" w:eastAsia="zh-CN"/>
              </w:rPr>
              <w:t>储存</w:t>
            </w:r>
            <w:r>
              <w:rPr>
                <w:rFonts w:hint="eastAsia" w:cs="Times New Roman"/>
                <w:b/>
                <w:bCs/>
                <w:color w:val="auto"/>
                <w:sz w:val="24"/>
                <w:highlight w:val="none"/>
                <w:lang w:val="en-US" w:eastAsia="zh-CN"/>
              </w:rPr>
              <w:t>、皮带运输</w:t>
            </w:r>
            <w:r>
              <w:rPr>
                <w:rFonts w:hint="default" w:ascii="Times New Roman" w:hAnsi="Times New Roman" w:eastAsia="宋体" w:cs="Times New Roman"/>
                <w:b/>
                <w:bCs/>
                <w:color w:val="auto"/>
                <w:sz w:val="24"/>
                <w:highlight w:val="none"/>
                <w:lang w:val="en-US" w:eastAsia="zh-CN"/>
              </w:rPr>
              <w:t>过程产生的</w:t>
            </w:r>
            <w:r>
              <w:rPr>
                <w:rFonts w:hint="default" w:ascii="Times New Roman" w:hAnsi="Times New Roman" w:cs="Times New Roman"/>
                <w:b/>
                <w:bCs/>
                <w:color w:val="auto"/>
                <w:sz w:val="24"/>
                <w:highlight w:val="none"/>
                <w:lang w:val="en-US" w:eastAsia="zh-CN"/>
              </w:rPr>
              <w:t>恶臭</w:t>
            </w:r>
            <w:r>
              <w:rPr>
                <w:rFonts w:hint="eastAsia" w:cs="Times New Roman"/>
                <w:b/>
                <w:bCs/>
                <w:color w:val="auto"/>
                <w:sz w:val="24"/>
                <w:highlight w:val="none"/>
                <w:lang w:val="en-US" w:eastAsia="zh-CN"/>
              </w:rPr>
              <w:t>、颗粒物</w:t>
            </w:r>
            <w:r>
              <w:rPr>
                <w:rFonts w:hint="default" w:ascii="Times New Roman" w:hAnsi="Times New Roman" w:eastAsia="宋体" w:cs="Times New Roman"/>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上料、皮带运输</w:t>
            </w:r>
            <w:r>
              <w:rPr>
                <w:rFonts w:hint="default" w:ascii="Times New Roman" w:hAnsi="Times New Roman" w:cs="Times New Roman"/>
                <w:color w:val="auto"/>
                <w:sz w:val="24"/>
                <w:szCs w:val="24"/>
                <w:highlight w:val="none"/>
                <w:lang w:val="en-US" w:eastAsia="zh-CN"/>
              </w:rPr>
              <w:t>、布料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lang w:val="en-US" w:eastAsia="zh-CN"/>
              </w:rPr>
              <w:t>上料过程人工操作铲车将物料铲运至料斗，人工划破吨包袋，物料在重力作用下落至皮带，皮带机运至提升机，由封闭的提升机将物料提升至</w:t>
            </w:r>
            <w:r>
              <w:rPr>
                <w:rFonts w:hint="eastAsia"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顶部的入料口平台，人工利用铲子完成布料</w:t>
            </w:r>
            <w:r>
              <w:rPr>
                <w:rFonts w:hint="default"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此工段产生的污染物主要为</w:t>
            </w:r>
            <w:r>
              <w:rPr>
                <w:rFonts w:hint="eastAsia" w:ascii="Times New Roman" w:hAnsi="Times New Roman" w:eastAsia="宋体" w:cs="Times New Roman"/>
                <w:b/>
                <w:bCs/>
                <w:color w:val="auto"/>
                <w:sz w:val="24"/>
                <w:highlight w:val="none"/>
                <w:lang w:val="en-US" w:eastAsia="zh-CN"/>
              </w:rPr>
              <w:t>上料、</w:t>
            </w:r>
            <w:r>
              <w:rPr>
                <w:rFonts w:hint="eastAsia" w:cs="Times New Roman"/>
                <w:b/>
                <w:bCs/>
                <w:color w:val="auto"/>
                <w:sz w:val="24"/>
                <w:highlight w:val="none"/>
                <w:lang w:val="en-US" w:eastAsia="zh-CN"/>
              </w:rPr>
              <w:t>皮带</w:t>
            </w:r>
            <w:r>
              <w:rPr>
                <w:rFonts w:hint="eastAsia" w:ascii="Times New Roman" w:hAnsi="Times New Roman" w:eastAsia="宋体" w:cs="Times New Roman"/>
                <w:b/>
                <w:bCs/>
                <w:color w:val="auto"/>
                <w:sz w:val="24"/>
                <w:highlight w:val="none"/>
                <w:lang w:val="en-US" w:eastAsia="zh-CN"/>
              </w:rPr>
              <w:t>运输</w:t>
            </w:r>
            <w:r>
              <w:rPr>
                <w:rFonts w:hint="default" w:ascii="Times New Roman" w:hAnsi="Times New Roman" w:eastAsia="宋体" w:cs="Times New Roman"/>
                <w:b/>
                <w:bCs/>
                <w:color w:val="auto"/>
                <w:sz w:val="24"/>
                <w:highlight w:val="none"/>
                <w:lang w:val="en-US" w:eastAsia="zh-CN"/>
              </w:rPr>
              <w:t>、布料过程产生的颗粒物，设备噪声。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碳化</w:t>
            </w:r>
          </w:p>
          <w:p>
            <w:pPr>
              <w:spacing w:line="440" w:lineRule="exact"/>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w:t>
            </w:r>
            <w:r>
              <w:rPr>
                <w:rFonts w:hint="eastAsia"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为立式</w:t>
            </w:r>
            <w:r>
              <w:rPr>
                <w:rFonts w:hint="eastAsia"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，无需使用燃料</w:t>
            </w:r>
            <w:r>
              <w:rPr>
                <w:rFonts w:hint="eastAsia" w:cs="Times New Roman"/>
                <w:color w:val="auto"/>
                <w:sz w:val="24"/>
                <w:szCs w:val="24"/>
                <w:highlight w:val="none"/>
                <w:lang w:val="en-US" w:eastAsia="zh-CN"/>
              </w:rPr>
              <w:t>，热解</w:t>
            </w:r>
            <w:r>
              <w:rPr>
                <w:rFonts w:hint="default" w:ascii="Times New Roman" w:hAnsi="Times New Roman" w:cs="Times New Roman"/>
                <w:color w:val="auto"/>
                <w:sz w:val="24"/>
                <w:szCs w:val="24"/>
                <w:highlight w:val="none"/>
                <w:lang w:val="en-US" w:eastAsia="zh-CN"/>
              </w:rPr>
              <w:t>原料骨渣带有的少量油脂及蛋白质。上部分料经</w:t>
            </w:r>
            <w:r>
              <w:rPr>
                <w:rFonts w:hint="eastAsia" w:cs="Times New Roman"/>
                <w:color w:val="auto"/>
                <w:sz w:val="24"/>
                <w:szCs w:val="24"/>
                <w:highlight w:val="none"/>
                <w:lang w:val="en-US" w:eastAsia="zh-CN"/>
              </w:rPr>
              <w:t>热解碳化</w:t>
            </w:r>
            <w:r>
              <w:rPr>
                <w:rFonts w:hint="default" w:ascii="Times New Roman" w:hAnsi="Times New Roman" w:cs="Times New Roman"/>
                <w:color w:val="auto"/>
                <w:sz w:val="24"/>
                <w:szCs w:val="24"/>
                <w:highlight w:val="none"/>
                <w:lang w:val="en-US" w:eastAsia="zh-CN"/>
              </w:rPr>
              <w:t>后在重力作用下下落，</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温度为</w:t>
            </w:r>
            <w:r>
              <w:rPr>
                <w:rFonts w:hint="eastAsia" w:cs="Times New Roman"/>
                <w:color w:val="auto"/>
                <w:sz w:val="24"/>
                <w:szCs w:val="24"/>
                <w:highlight w:val="none"/>
                <w:lang w:val="en-US" w:eastAsia="zh-CN"/>
              </w:rPr>
              <w:t>750</w:t>
            </w:r>
            <w:r>
              <w:rPr>
                <w:rFonts w:hint="default" w:ascii="Times New Roman" w:hAnsi="Times New Roman" w:cs="Times New Roman"/>
                <w:color w:val="auto"/>
                <w:sz w:val="24"/>
                <w:szCs w:val="24"/>
                <w:highlight w:val="none"/>
                <w:lang w:val="en-US" w:eastAsia="zh-CN"/>
              </w:rPr>
              <w:t>摄氏度，</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时间约为</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h，</w:t>
            </w:r>
            <w:r>
              <w:rPr>
                <w:rFonts w:hint="eastAsia" w:cs="Times New Roman"/>
                <w:color w:val="auto"/>
                <w:sz w:val="24"/>
                <w:szCs w:val="24"/>
                <w:highlight w:val="none"/>
                <w:lang w:val="en-US" w:eastAsia="zh-CN"/>
              </w:rPr>
              <w:t>碳化完成后</w:t>
            </w:r>
            <w:r>
              <w:rPr>
                <w:rFonts w:hint="default" w:ascii="Times New Roman" w:hAnsi="Times New Roman" w:cs="Times New Roman"/>
                <w:color w:val="auto"/>
                <w:sz w:val="24"/>
                <w:szCs w:val="24"/>
                <w:highlight w:val="none"/>
                <w:lang w:val="en-US" w:eastAsia="zh-CN"/>
              </w:rPr>
              <w:t>自然冷却，</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过程为连续作业。本项目</w:t>
            </w:r>
            <w:r>
              <w:rPr>
                <w:rFonts w:hint="eastAsia" w:cs="Times New Roman"/>
                <w:color w:val="auto"/>
                <w:sz w:val="24"/>
                <w:szCs w:val="24"/>
                <w:highlight w:val="none"/>
                <w:lang w:val="en-US" w:eastAsia="zh-CN"/>
              </w:rPr>
              <w:t>单台碳化机整机出料量为1t/次。6小时完成一次碳化过程整体完成出料，2台碳化机整机每天最大出料量8t，年最大出料量为2400t，可满足本项目</w:t>
            </w:r>
            <w:r>
              <w:rPr>
                <w:rFonts w:hint="default" w:ascii="Times New Roman" w:hAnsi="Times New Roman" w:cs="Times New Roman"/>
                <w:color w:val="auto"/>
                <w:sz w:val="24"/>
                <w:highlight w:val="none"/>
                <w:lang w:val="en-US" w:eastAsia="zh-CN"/>
              </w:rPr>
              <w:t>年产陶瓷骨炭</w:t>
            </w:r>
            <w:r>
              <w:rPr>
                <w:rFonts w:hint="eastAsia" w:ascii="Times New Roman" w:hAnsi="Times New Roman" w:cs="Times New Roman"/>
                <w:color w:val="auto"/>
                <w:sz w:val="24"/>
                <w:highlight w:val="none"/>
                <w:lang w:val="en-US" w:eastAsia="zh-CN"/>
              </w:rPr>
              <w:t>2128</w:t>
            </w:r>
            <w:r>
              <w:rPr>
                <w:rFonts w:hint="default" w:ascii="Times New Roman" w:hAnsi="Times New Roman" w:cs="Times New Roman"/>
                <w:color w:val="auto"/>
                <w:sz w:val="24"/>
                <w:highlight w:val="none"/>
                <w:lang w:val="en-US" w:eastAsia="zh-CN"/>
              </w:rPr>
              <w:t>吨</w:t>
            </w:r>
            <w:r>
              <w:rPr>
                <w:rFonts w:hint="eastAsia" w:cs="Times New Roman"/>
                <w:color w:val="auto"/>
                <w:sz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此工段产生的污染物主要为</w:t>
            </w:r>
            <w:r>
              <w:rPr>
                <w:rFonts w:hint="eastAsia" w:cs="Times New Roman"/>
                <w:b/>
                <w:bCs/>
                <w:color w:val="auto"/>
                <w:sz w:val="24"/>
                <w:highlight w:val="none"/>
                <w:lang w:val="en-US" w:eastAsia="zh-CN"/>
              </w:rPr>
              <w:t>碳化</w:t>
            </w:r>
            <w:r>
              <w:rPr>
                <w:rFonts w:hint="default" w:ascii="Times New Roman" w:hAnsi="Times New Roman" w:eastAsia="宋体" w:cs="Times New Roman"/>
                <w:b/>
                <w:bCs/>
                <w:color w:val="auto"/>
                <w:sz w:val="24"/>
                <w:highlight w:val="none"/>
                <w:lang w:val="en-US" w:eastAsia="zh-CN"/>
              </w:rPr>
              <w:t>过程产生的颗粒物</w:t>
            </w:r>
            <w:r>
              <w:rPr>
                <w:rFonts w:hint="default" w:ascii="Times New Roman" w:hAnsi="Times New Roman" w:cs="Times New Roman"/>
                <w:b/>
                <w:bCs/>
                <w:color w:val="auto"/>
                <w:sz w:val="24"/>
                <w:highlight w:val="none"/>
                <w:lang w:val="en-US" w:eastAsia="zh-CN"/>
              </w:rPr>
              <w:t>、恶臭</w:t>
            </w:r>
            <w:r>
              <w:rPr>
                <w:rFonts w:hint="default" w:ascii="Times New Roman" w:hAnsi="Times New Roman" w:eastAsia="宋体" w:cs="Times New Roman"/>
                <w:b/>
                <w:bCs/>
                <w:color w:val="auto"/>
                <w:sz w:val="24"/>
                <w:highlight w:val="none"/>
                <w:lang w:val="en-US" w:eastAsia="zh-CN"/>
              </w:rPr>
              <w:t>，设备噪声。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注：因碳化温低于800摄氏度，故不产生氮氧化物。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4）筛分、色选、包装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后的骨渣经窑底部出料口落料至皮带输送机，经皮带输送机进入振动筛进行筛分，筛网尺寸为18目，筛下料直接通过出料口进行袋装，作为骨粉产品入库储存待售，筛上料通过皮带输送机输送至色选机，白色物料通过色选机进入包装机，经袋装包装后作为骨粒产品入库储存待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cs="Times New Roman"/>
                <w:b/>
                <w:color w:val="auto"/>
                <w:highlight w:val="none"/>
              </w:rPr>
            </w:pPr>
            <w:r>
              <w:rPr>
                <w:rFonts w:hint="default" w:ascii="Times New Roman" w:hAnsi="Times New Roman" w:eastAsia="宋体" w:cs="Times New Roman"/>
                <w:b/>
                <w:bCs/>
                <w:color w:val="auto"/>
                <w:sz w:val="24"/>
                <w:highlight w:val="none"/>
                <w:lang w:val="en-US" w:eastAsia="zh-CN"/>
              </w:rPr>
              <w:t>此工段产生的污染物主要为</w:t>
            </w:r>
            <w:r>
              <w:rPr>
                <w:rFonts w:hint="default" w:ascii="Times New Roman" w:hAnsi="Times New Roman" w:cs="Times New Roman"/>
                <w:b/>
                <w:bCs/>
                <w:color w:val="auto"/>
                <w:sz w:val="24"/>
                <w:highlight w:val="none"/>
                <w:lang w:val="en-US" w:eastAsia="zh-CN"/>
              </w:rPr>
              <w:t>筛分、色选、包装产生的颗粒物，</w:t>
            </w:r>
            <w:r>
              <w:rPr>
                <w:rFonts w:hint="default" w:ascii="Times New Roman" w:hAnsi="Times New Roman" w:eastAsia="宋体" w:cs="Times New Roman"/>
                <w:b/>
                <w:bCs/>
                <w:color w:val="auto"/>
                <w:sz w:val="24"/>
                <w:highlight w:val="none"/>
                <w:lang w:val="en-US" w:eastAsia="zh-CN"/>
              </w:rPr>
              <w:t>设备噪声</w:t>
            </w:r>
            <w:r>
              <w:rPr>
                <w:rFonts w:hint="default" w:ascii="Times New Roman" w:hAnsi="Times New Roman" w:cs="Times New Roman"/>
                <w:b/>
                <w:bCs/>
                <w:color w:val="auto"/>
                <w:sz w:val="24"/>
                <w:highlight w:val="none"/>
                <w:lang w:val="en-US" w:eastAsia="zh-CN"/>
              </w:rPr>
              <w:t>，色选</w:t>
            </w:r>
            <w:r>
              <w:rPr>
                <w:rFonts w:hint="default" w:ascii="Times New Roman" w:hAnsi="Times New Roman" w:eastAsia="宋体" w:cs="Times New Roman"/>
                <w:b/>
                <w:bCs/>
                <w:color w:val="auto"/>
                <w:sz w:val="24"/>
                <w:highlight w:val="none"/>
                <w:lang w:val="en-US" w:eastAsia="zh-CN"/>
              </w:rPr>
              <w:t>过程产生未</w:t>
            </w:r>
            <w:r>
              <w:rPr>
                <w:rFonts w:hint="eastAsia" w:cs="Times New Roman"/>
                <w:b/>
                <w:bCs/>
                <w:color w:val="auto"/>
                <w:sz w:val="24"/>
                <w:highlight w:val="none"/>
                <w:lang w:val="en-US" w:eastAsia="zh-CN"/>
              </w:rPr>
              <w:t>碳化</w:t>
            </w:r>
            <w:r>
              <w:rPr>
                <w:rFonts w:hint="default" w:ascii="Times New Roman" w:hAnsi="Times New Roman" w:eastAsia="宋体" w:cs="Times New Roman"/>
                <w:b/>
                <w:bCs/>
                <w:color w:val="auto"/>
                <w:sz w:val="24"/>
                <w:highlight w:val="none"/>
                <w:lang w:val="en-US" w:eastAsia="zh-CN"/>
              </w:rPr>
              <w:t>充分的杂质。</w:t>
            </w:r>
          </w:p>
          <w:p>
            <w:pPr>
              <w:adjustRightInd w:val="0"/>
              <w:snapToGrid w:val="0"/>
              <w:spacing w:line="360" w:lineRule="auto"/>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color w:val="auto"/>
                <w:highlight w:val="none"/>
              </w:rPr>
              <w:object>
                <v:shape id="_x0000_i1025" o:spt="75" type="#_x0000_t75" style="height:292.15pt;width:375.2pt;" o:ole="t" filled="f" o:preferrelative="t" stroked="f" coordsize="21600,21600">
                  <v:path/>
                  <v:fill on="f" focussize="0,0"/>
                  <v:stroke on="f"/>
                  <v:imagedata r:id="rId14" cropleft="1905f" croptop="3609f" cropright="5065f" cropbottom="29585f" o:title=""/>
                  <o:lock v:ext="edit" aspectratio="f"/>
                  <w10:wrap type="none"/>
                  <w10:anchorlock/>
                </v:shape>
                <o:OLEObject Type="Embed" ProgID="Visio.Drawing.11" ShapeID="_x0000_i1025" DrawAspect="Content" ObjectID="_1468075726" r:id="rId13">
                  <o:LockedField>false</o:LockedField>
                </o:OLEObject>
              </w:object>
            </w:r>
          </w:p>
          <w:p>
            <w:pPr>
              <w:adjustRightInd w:val="0"/>
              <w:snapToGrid w:val="0"/>
              <w:spacing w:line="360" w:lineRule="auto"/>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图5   </w:t>
            </w:r>
            <w:r>
              <w:rPr>
                <w:rFonts w:hint="default" w:ascii="Times New Roman" w:hAnsi="Times New Roman" w:cs="Times New Roman"/>
                <w:b/>
                <w:bCs/>
                <w:color w:val="auto"/>
                <w:lang w:val="en-US" w:eastAsia="zh-CN"/>
              </w:rPr>
              <w:t>本项目</w:t>
            </w:r>
            <w:r>
              <w:rPr>
                <w:rFonts w:hint="default" w:ascii="Times New Roman" w:hAnsi="Times New Roman" w:eastAsia="宋体" w:cs="Times New Roman"/>
                <w:b/>
                <w:bCs/>
                <w:color w:val="auto"/>
                <w:lang w:val="en-US" w:eastAsia="zh-CN"/>
              </w:rPr>
              <w:t>生产工艺及排污节点图</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辅助生产工艺：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全厂除尘设施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此工序产污节点：除尘器设备噪声、除尘器收集的除尘灰、废布袋</w:t>
            </w:r>
            <w:r>
              <w:rPr>
                <w:rFonts w:hint="eastAsia" w:cs="Times New Roman"/>
                <w:b/>
                <w:bCs/>
                <w:color w:val="auto"/>
                <w:sz w:val="24"/>
                <w:szCs w:val="24"/>
                <w:highlight w:val="none"/>
                <w:lang w:val="en-US" w:eastAsia="zh-CN"/>
              </w:rPr>
              <w:t>、废水</w:t>
            </w:r>
            <w:r>
              <w:rPr>
                <w:rFonts w:hint="default" w:ascii="Times New Roman" w:hAnsi="Times New Roman"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eastAsia="zh-CN"/>
              </w:rPr>
            </w:pP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）职工生活</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lang w:val="en-US" w:eastAsia="zh-CN"/>
              </w:rPr>
              <w:t>此工序产污节点：</w:t>
            </w:r>
            <w:r>
              <w:rPr>
                <w:rFonts w:hint="eastAsia" w:ascii="Times New Roman" w:hAnsi="Times New Roman" w:cs="Times New Roman"/>
                <w:b/>
                <w:bCs/>
                <w:color w:val="auto"/>
                <w:sz w:val="24"/>
                <w:szCs w:val="24"/>
                <w:highlight w:val="none"/>
                <w:lang w:val="en-US" w:eastAsia="zh-CN"/>
              </w:rPr>
              <w:t>职工生活污水</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生活垃圾</w:t>
            </w:r>
            <w:r>
              <w:rPr>
                <w:rFonts w:hint="default" w:ascii="Times New Roman" w:hAnsi="Times New Roman"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b w:val="0"/>
                <w:bCs w:val="0"/>
                <w:color w:val="auto"/>
                <w:sz w:val="24"/>
                <w:szCs w:val="24"/>
                <w:highlight w:val="none"/>
              </w:rPr>
            </w:pPr>
          </w:p>
          <w:p>
            <w:pPr>
              <w:pStyle w:val="19"/>
              <w:rPr>
                <w:rFonts w:hint="default" w:ascii="Times New Roman" w:hAnsi="Times New Roman" w:cs="Times New Roman"/>
                <w:b w:val="0"/>
                <w:bCs w:val="0"/>
                <w:color w:val="auto"/>
                <w:sz w:val="24"/>
                <w:szCs w:val="24"/>
                <w:highlight w:val="none"/>
              </w:rPr>
            </w:pPr>
          </w:p>
          <w:p>
            <w:pPr>
              <w:pStyle w:val="19"/>
              <w:rPr>
                <w:rFonts w:hint="default" w:ascii="Times New Roman" w:hAnsi="Times New Roman" w:cs="Times New Roman"/>
                <w:b w:val="0"/>
                <w:bCs w:val="0"/>
                <w:color w:val="auto"/>
                <w:sz w:val="24"/>
                <w:szCs w:val="24"/>
                <w:highlight w:val="none"/>
              </w:rPr>
            </w:pPr>
          </w:p>
          <w:p>
            <w:pPr>
              <w:pStyle w:val="19"/>
              <w:rPr>
                <w:rFonts w:hint="default" w:ascii="Times New Roman" w:hAnsi="Times New Roman" w:cs="Times New Roman"/>
                <w:b w:val="0"/>
                <w:bCs w:val="0"/>
                <w:color w:val="auto"/>
                <w:sz w:val="24"/>
                <w:szCs w:val="24"/>
                <w:highlight w:val="none"/>
              </w:rPr>
            </w:pPr>
          </w:p>
          <w:p>
            <w:pPr>
              <w:pStyle w:val="19"/>
              <w:rPr>
                <w:rFonts w:hint="default" w:ascii="Times New Roman" w:hAnsi="Times New Roman" w:cs="Times New Roman"/>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cs="Times New Roman"/>
                <w:b w:val="0"/>
                <w:bCs w:val="0"/>
                <w:color w:val="auto"/>
                <w:sz w:val="24"/>
                <w:szCs w:val="24"/>
                <w:highlight w:val="none"/>
                <w:lang w:eastAsia="zh-CN"/>
              </w:rPr>
              <w:t>本项目主要污染工序</w:t>
            </w:r>
            <w:r>
              <w:rPr>
                <w:rFonts w:hint="default" w:ascii="Times New Roman" w:hAnsi="Times New Roman" w:cs="Times New Roman"/>
                <w:b w:val="0"/>
                <w:bCs w:val="0"/>
                <w:color w:val="auto"/>
                <w:sz w:val="24"/>
                <w:szCs w:val="24"/>
                <w:highlight w:val="none"/>
                <w:lang w:val="en-US" w:eastAsia="zh-CN"/>
              </w:rPr>
              <w:t>见下表。</w:t>
            </w:r>
          </w:p>
          <w:p>
            <w:pPr>
              <w:keepNext w:val="0"/>
              <w:keepLines w:val="0"/>
              <w:pageBreakBefore w:val="0"/>
              <w:widowControl w:val="0"/>
              <w:tabs>
                <w:tab w:val="left" w:pos="2373"/>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主要污染工序一览表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244"/>
              <w:gridCol w:w="1376"/>
              <w:gridCol w:w="708"/>
              <w:gridCol w:w="45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57"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类型</w:t>
                  </w: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产生工序</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污染因子</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排放特征</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治理措施及排放去向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257"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bCs/>
                      <w:color w:val="auto"/>
                      <w:szCs w:val="21"/>
                    </w:rPr>
                    <w:t>废气</w:t>
                  </w:r>
                </w:p>
              </w:tc>
              <w:tc>
                <w:tcPr>
                  <w:tcW w:w="74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上料、</w:t>
                  </w:r>
                  <w:r>
                    <w:rPr>
                      <w:rFonts w:hint="eastAsia" w:cs="Times New Roman"/>
                      <w:color w:val="auto"/>
                      <w:szCs w:val="21"/>
                      <w:lang w:eastAsia="zh-CN"/>
                    </w:rPr>
                    <w:t>皮带运输、</w:t>
                  </w:r>
                  <w:r>
                    <w:rPr>
                      <w:rFonts w:hint="default" w:ascii="Times New Roman" w:hAnsi="Times New Roman" w:cs="Times New Roman"/>
                      <w:color w:val="auto"/>
                      <w:szCs w:val="21"/>
                      <w:lang w:eastAsia="zh-CN"/>
                    </w:rPr>
                    <w:t>布料</w:t>
                  </w:r>
                  <w:r>
                    <w:rPr>
                      <w:rFonts w:hint="eastAsia" w:cs="Times New Roman"/>
                      <w:color w:val="auto"/>
                      <w:szCs w:val="21"/>
                      <w:lang w:eastAsia="zh-CN"/>
                    </w:rPr>
                    <w:t>、</w:t>
                  </w:r>
                  <w:r>
                    <w:rPr>
                      <w:rFonts w:hint="default" w:ascii="Times New Roman" w:hAnsi="Times New Roman" w:cs="Times New Roman"/>
                      <w:color w:val="auto"/>
                      <w:szCs w:val="21"/>
                      <w:lang w:eastAsia="zh-CN"/>
                    </w:rPr>
                    <w:t>筛分、色选、包装</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废气</w:t>
                  </w:r>
                  <w:r>
                    <w:rPr>
                      <w:rFonts w:hint="default" w:ascii="Times New Roman" w:hAnsi="Times New Roman" w:cs="Times New Roman"/>
                      <w:color w:val="auto"/>
                      <w:szCs w:val="21"/>
                      <w:lang w:eastAsia="zh-CN"/>
                    </w:rPr>
                    <w:t>经管道或者集气罩引入</w:t>
                  </w:r>
                  <w:r>
                    <w:rPr>
                      <w:rFonts w:hint="eastAsia" w:cs="Times New Roman"/>
                      <w:color w:val="auto"/>
                      <w:szCs w:val="21"/>
                      <w:lang w:val="en-US" w:eastAsia="zh-CN"/>
                    </w:rPr>
                    <w:t>1</w:t>
                  </w:r>
                  <w:r>
                    <w:rPr>
                      <w:rFonts w:hint="default" w:ascii="Times New Roman" w:hAnsi="Times New Roman" w:cs="Times New Roman"/>
                      <w:color w:val="auto"/>
                      <w:szCs w:val="21"/>
                      <w:lang w:eastAsia="zh-CN"/>
                    </w:rPr>
                    <w:t>#脉冲布袋除尘器处理（风量为</w:t>
                  </w:r>
                  <w:r>
                    <w:rPr>
                      <w:rFonts w:hint="eastAsia" w:cs="Times New Roman"/>
                      <w:color w:val="auto"/>
                      <w:szCs w:val="21"/>
                      <w:lang w:val="en-US" w:eastAsia="zh-CN"/>
                    </w:rPr>
                    <w:t>30</w:t>
                  </w:r>
                  <w:r>
                    <w:rPr>
                      <w:rFonts w:hint="default" w:ascii="Times New Roman" w:hAnsi="Times New Roman" w:cs="Times New Roman"/>
                      <w:color w:val="auto"/>
                      <w:szCs w:val="21"/>
                      <w:lang w:val="en-US" w:eastAsia="zh-CN"/>
                    </w:rPr>
                    <w:t>000m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/h，过滤材质为</w:t>
                  </w:r>
                  <w:r>
                    <w:rPr>
                      <w:rFonts w:hint="default" w:ascii="Times New Roman" w:hAnsi="Times New Roman" w:cs="Times New Roman"/>
                      <w:color w:val="auto"/>
                      <w:szCs w:val="21"/>
                      <w:lang w:eastAsia="zh-CN"/>
                    </w:rPr>
                    <w:t>覆膜涤纶针刺毡）后经15m高排气筒【DA00</w:t>
                  </w:r>
                  <w:r>
                    <w:rPr>
                      <w:rFonts w:hint="eastAsia" w:cs="Times New Roman"/>
                      <w:color w:val="auto"/>
                      <w:szCs w:val="21"/>
                      <w:lang w:val="en-US" w:eastAsia="zh-CN"/>
                    </w:rPr>
                    <w:t>1</w:t>
                  </w:r>
                  <w:r>
                    <w:rPr>
                      <w:rFonts w:hint="default" w:ascii="Times New Roman" w:hAnsi="Times New Roman" w:cs="Times New Roman"/>
                      <w:color w:val="auto"/>
                      <w:szCs w:val="21"/>
                      <w:lang w:eastAsia="zh-CN"/>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碳化</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颗粒物、臭气浓度</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碳化机</w:t>
                  </w:r>
                  <w:r>
                    <w:rPr>
                      <w:rFonts w:hint="default" w:ascii="Times New Roman" w:hAnsi="Times New Roman" w:cs="Times New Roman"/>
                      <w:color w:val="auto"/>
                      <w:szCs w:val="21"/>
                    </w:rPr>
                    <w:t>废气经</w:t>
                  </w:r>
                  <w:r>
                    <w:rPr>
                      <w:rFonts w:hint="default" w:ascii="Times New Roman" w:hAnsi="Times New Roman" w:cs="Times New Roman"/>
                      <w:color w:val="auto"/>
                      <w:szCs w:val="21"/>
                      <w:lang w:eastAsia="zh-CN"/>
                    </w:rPr>
                    <w:t>烟道</w:t>
                  </w:r>
                  <w:r>
                    <w:rPr>
                      <w:rFonts w:hint="default" w:ascii="Times New Roman" w:hAnsi="Times New Roman" w:cs="Times New Roman"/>
                      <w:color w:val="auto"/>
                      <w:szCs w:val="21"/>
                    </w:rPr>
                    <w:t>引入</w:t>
                  </w:r>
                  <w:r>
                    <w:rPr>
                      <w:rFonts w:hint="eastAsia" w:cs="Times New Roman"/>
                      <w:color w:val="auto"/>
                      <w:szCs w:val="21"/>
                      <w:lang w:val="en-US" w:eastAsia="zh-CN"/>
                    </w:rPr>
                    <w:t>2</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旋风除尘</w:t>
                  </w:r>
                  <w:r>
                    <w:rPr>
                      <w:rFonts w:hint="default" w:ascii="Times New Roman" w:hAnsi="Times New Roman" w:cs="Times New Roman"/>
                      <w:color w:val="auto"/>
                      <w:szCs w:val="21"/>
                      <w:lang w:val="en-US" w:eastAsia="zh-CN"/>
                    </w:rPr>
                    <w:t>+水浴除尘+</w:t>
                  </w:r>
                  <w:r>
                    <w:rPr>
                      <w:rFonts w:hint="eastAsia" w:cs="Times New Roman"/>
                      <w:color w:val="auto"/>
                      <w:szCs w:val="21"/>
                      <w:lang w:val="en-US" w:eastAsia="zh-CN"/>
                    </w:rPr>
                    <w:t>湿式静电除尘</w:t>
                  </w:r>
                  <w:r>
                    <w:rPr>
                      <w:rFonts w:hint="default" w:ascii="Times New Roman" w:hAnsi="Times New Roman" w:cs="Times New Roman"/>
                      <w:color w:val="auto"/>
                      <w:szCs w:val="21"/>
                      <w:lang w:eastAsia="zh-CN"/>
                    </w:rPr>
                    <w:t>装置</w:t>
                  </w:r>
                  <w:r>
                    <w:rPr>
                      <w:rFonts w:hint="default" w:ascii="Times New Roman" w:hAnsi="Times New Roman" w:cs="Times New Roman"/>
                      <w:color w:val="auto"/>
                      <w:szCs w:val="21"/>
                    </w:rPr>
                    <w:t>处理</w:t>
                  </w:r>
                  <w:r>
                    <w:rPr>
                      <w:rFonts w:hint="default" w:ascii="Times New Roman" w:hAnsi="Times New Roman" w:cs="Times New Roman"/>
                      <w:color w:val="auto"/>
                      <w:szCs w:val="21"/>
                      <w:lang w:eastAsia="zh-CN"/>
                    </w:rPr>
                    <w:t>（风量为</w:t>
                  </w:r>
                  <w:r>
                    <w:rPr>
                      <w:rFonts w:hint="eastAsia" w:cs="Times New Roman"/>
                      <w:color w:val="auto"/>
                      <w:szCs w:val="21"/>
                      <w:lang w:val="en-US" w:eastAsia="zh-CN"/>
                    </w:rPr>
                    <w:t>1</w:t>
                  </w:r>
                  <w:r>
                    <w:rPr>
                      <w:rFonts w:hint="default" w:ascii="Times New Roman" w:hAnsi="Times New Roman" w:cs="Times New Roman"/>
                      <w:color w:val="auto"/>
                      <w:szCs w:val="21"/>
                      <w:lang w:val="en-US" w:eastAsia="zh-CN"/>
                    </w:rPr>
                    <w:t>0000m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/h</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后经15m</w:t>
                  </w:r>
                  <w:r>
                    <w:rPr>
                      <w:rFonts w:hint="default" w:ascii="Times New Roman" w:hAnsi="Times New Roman" w:cs="Times New Roman"/>
                      <w:color w:val="auto"/>
                      <w:szCs w:val="21"/>
                      <w:lang w:eastAsia="zh-CN"/>
                    </w:rPr>
                    <w:t>高</w:t>
                  </w:r>
                  <w:r>
                    <w:rPr>
                      <w:rFonts w:hint="default" w:ascii="Times New Roman" w:hAnsi="Times New Roman" w:cs="Times New Roman"/>
                      <w:color w:val="auto"/>
                      <w:szCs w:val="21"/>
                    </w:rPr>
                    <w:t>排气筒【DA00</w:t>
                  </w:r>
                  <w:r>
                    <w:rPr>
                      <w:rFonts w:hint="eastAsia" w:cs="Times New Roman"/>
                      <w:color w:val="auto"/>
                      <w:szCs w:val="21"/>
                      <w:lang w:val="en-US" w:eastAsia="zh-CN"/>
                    </w:rPr>
                    <w:t>2</w:t>
                  </w:r>
                  <w:r>
                    <w:rPr>
                      <w:rFonts w:hint="default" w:ascii="Times New Roman" w:hAnsi="Times New Roman" w:cs="Times New Roman"/>
                      <w:color w:val="auto"/>
                      <w:szCs w:val="21"/>
                    </w:rPr>
                    <w:t>】排放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Cs w:val="21"/>
                    </w:rPr>
                  </w:pPr>
                </w:p>
              </w:tc>
              <w:tc>
                <w:tcPr>
                  <w:tcW w:w="745"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原料运输、装卸、储存</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无组织</w:t>
                  </w:r>
                  <w:r>
                    <w:rPr>
                      <w:rFonts w:hint="default" w:ascii="Times New Roman" w:hAnsi="Times New Roman" w:cs="Times New Roman"/>
                      <w:color w:val="auto"/>
                      <w:szCs w:val="21"/>
                    </w:rPr>
                    <w:t>颗粒物</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2"/>
                    </w:rPr>
                  </w:pPr>
                  <w:r>
                    <w:rPr>
                      <w:rFonts w:hint="default" w:ascii="Times New Roman" w:hAnsi="Times New Roman" w:cs="Times New Roman"/>
                      <w:color w:val="auto"/>
                      <w:szCs w:val="21"/>
                      <w:lang w:val="en-US" w:eastAsia="zh-CN"/>
                    </w:rPr>
                    <w:t>采取设置洗车平台、原料库喷淋降尘后无组织排放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Cs w:val="21"/>
                    </w:rPr>
                  </w:pPr>
                </w:p>
              </w:tc>
              <w:tc>
                <w:tcPr>
                  <w:tcW w:w="74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无组织</w:t>
                  </w:r>
                  <w:r>
                    <w:rPr>
                      <w:rFonts w:hint="default" w:ascii="Times New Roman" w:hAnsi="Times New Roman" w:cs="Times New Roman"/>
                      <w:color w:val="auto"/>
                      <w:szCs w:val="21"/>
                      <w:lang w:eastAsia="zh-CN"/>
                    </w:rPr>
                    <w:t>臭气</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定期喷洒生物除臭剂后无组织排放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57" w:type="pct"/>
                  <w:vMerge w:val="restar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废水</w:t>
                  </w:r>
                </w:p>
              </w:tc>
              <w:tc>
                <w:tcPr>
                  <w:tcW w:w="74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喷淋</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SS等</w:t>
                  </w:r>
                </w:p>
              </w:tc>
              <w:tc>
                <w:tcPr>
                  <w:tcW w:w="4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喷淋废水自然蒸发或进入产品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洗车</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SS等</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洗车废水循环使用，不外排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冷却</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SS等</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冷却废水循环使用，不外排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水浴除尘</w:t>
                  </w:r>
                  <w:r>
                    <w:rPr>
                      <w:rFonts w:hint="eastAsia" w:cs="Times New Roman"/>
                      <w:color w:val="auto"/>
                      <w:szCs w:val="21"/>
                      <w:lang w:val="en-US" w:eastAsia="zh-CN"/>
                    </w:rPr>
                    <w:t>、湿式静电除尘</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SS等</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水浴除尘</w:t>
                  </w:r>
                  <w:r>
                    <w:rPr>
                      <w:rFonts w:hint="eastAsia" w:cs="Times New Roman"/>
                      <w:color w:val="auto"/>
                      <w:szCs w:val="21"/>
                      <w:lang w:val="en-US" w:eastAsia="zh-CN"/>
                    </w:rPr>
                    <w:t>、湿式静电除尘</w:t>
                  </w:r>
                  <w:r>
                    <w:rPr>
                      <w:rFonts w:hint="default" w:ascii="Times New Roman" w:hAnsi="Times New Roman" w:cs="Times New Roman"/>
                      <w:color w:val="auto"/>
                      <w:szCs w:val="21"/>
                      <w:lang w:val="en-US" w:eastAsia="zh-CN"/>
                    </w:rPr>
                    <w:t>废水循环使用，不外排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职工生活</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SS等</w:t>
                  </w:r>
                </w:p>
              </w:tc>
              <w:tc>
                <w:tcPr>
                  <w:tcW w:w="4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直接泼洒抑尘，不外排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57" w:type="pc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噪声</w:t>
                  </w:r>
                </w:p>
              </w:tc>
              <w:tc>
                <w:tcPr>
                  <w:tcW w:w="1569" w:type="pct"/>
                  <w:gridSpan w:val="2"/>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生产设备噪声</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厂房隔声+基础减振+低噪声设备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257" w:type="pct"/>
                  <w:vMerge w:val="restart"/>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固废</w:t>
                  </w:r>
                </w:p>
              </w:tc>
              <w:tc>
                <w:tcPr>
                  <w:tcW w:w="745"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除尘器</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除尘灰</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eastAsia="zh-CN"/>
                    </w:rPr>
                    <w:t>即产即清，</w:t>
                  </w:r>
                  <w:r>
                    <w:rPr>
                      <w:rFonts w:hint="default" w:ascii="Times New Roman" w:hAnsi="Times New Roman" w:cs="Times New Roman"/>
                      <w:color w:val="auto"/>
                      <w:szCs w:val="21"/>
                    </w:rPr>
                    <w:t>除尘灰</w:t>
                  </w:r>
                  <w:r>
                    <w:rPr>
                      <w:rFonts w:hint="default" w:ascii="Times New Roman" w:hAnsi="Times New Roman" w:cs="Times New Roman"/>
                      <w:color w:val="auto"/>
                      <w:szCs w:val="21"/>
                      <w:lang w:eastAsia="zh-CN"/>
                    </w:rPr>
                    <w:t>集中收集外售饲料厂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废布袋</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eastAsia="zh-CN"/>
                    </w:rPr>
                    <w:t>即产即清，</w:t>
                  </w:r>
                  <w:r>
                    <w:rPr>
                      <w:rFonts w:hint="default" w:ascii="Times New Roman" w:hAnsi="Times New Roman" w:cs="Times New Roman"/>
                      <w:color w:val="auto"/>
                      <w:szCs w:val="21"/>
                    </w:rPr>
                    <w:t>集中收集，厂家定期回收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生产过程</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废除臭剂桶</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eastAsia="zh-CN"/>
                    </w:rPr>
                    <w:t>即产即清，</w:t>
                  </w:r>
                  <w:r>
                    <w:rPr>
                      <w:rFonts w:hint="default" w:ascii="Times New Roman" w:hAnsi="Times New Roman" w:cs="Times New Roman"/>
                      <w:color w:val="auto"/>
                      <w:szCs w:val="21"/>
                      <w:lang w:eastAsia="zh-CN"/>
                    </w:rPr>
                    <w:t>集中收集，外售废品站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b/>
                      <w:color w:val="auto"/>
                      <w:szCs w:val="21"/>
                    </w:rPr>
                  </w:pPr>
                </w:p>
              </w:tc>
              <w:tc>
                <w:tcPr>
                  <w:tcW w:w="74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未</w:t>
                  </w:r>
                  <w:r>
                    <w:rPr>
                      <w:rFonts w:hint="eastAsia" w:cs="Times New Roman"/>
                      <w:color w:val="auto"/>
                      <w:szCs w:val="21"/>
                      <w:lang w:eastAsia="zh-CN"/>
                    </w:rPr>
                    <w:t>碳化</w:t>
                  </w:r>
                  <w:r>
                    <w:rPr>
                      <w:rFonts w:hint="default" w:ascii="Times New Roman" w:hAnsi="Times New Roman" w:cs="Times New Roman"/>
                      <w:color w:val="auto"/>
                      <w:szCs w:val="21"/>
                      <w:lang w:eastAsia="zh-CN"/>
                    </w:rPr>
                    <w:t>充分的杂质</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即产即清，</w:t>
                  </w:r>
                  <w:r>
                    <w:rPr>
                      <w:rFonts w:hint="default" w:ascii="Times New Roman" w:hAnsi="Times New Roman" w:cs="Times New Roman"/>
                      <w:color w:val="auto"/>
                      <w:szCs w:val="21"/>
                      <w:lang w:eastAsia="zh-CN"/>
                    </w:rPr>
                    <w:t>集中收集，</w:t>
                  </w:r>
                  <w:r>
                    <w:rPr>
                      <w:rFonts w:hint="eastAsia" w:cs="Times New Roman"/>
                      <w:color w:val="auto"/>
                      <w:szCs w:val="21"/>
                      <w:lang w:eastAsia="zh-CN"/>
                    </w:rPr>
                    <w:t>回用于生产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生产设备</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废润滑油</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eastAsia="zh-CN"/>
                    </w:rPr>
                    <w:t>即产即清，</w:t>
                  </w:r>
                  <w:r>
                    <w:rPr>
                      <w:rFonts w:hint="default" w:ascii="Times New Roman" w:hAnsi="Times New Roman" w:cs="Times New Roman"/>
                      <w:color w:val="auto"/>
                      <w:szCs w:val="21"/>
                    </w:rPr>
                    <w:t>分别集中收集，用耐腐蚀的容器收集后加盖封存，交有资质单位处置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c>
                <w:tcPr>
                  <w:tcW w:w="745"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生产设备</w:t>
                  </w:r>
                </w:p>
              </w:tc>
              <w:tc>
                <w:tcPr>
                  <w:tcW w:w="824"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废油桶</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257"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p>
              </w:tc>
              <w:tc>
                <w:tcPr>
                  <w:tcW w:w="745"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职工生活</w:t>
                  </w:r>
                </w:p>
              </w:tc>
              <w:tc>
                <w:tcPr>
                  <w:tcW w:w="8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rPr>
                  </w:pPr>
                  <w:r>
                    <w:rPr>
                      <w:rFonts w:hint="eastAsia" w:cs="Times New Roman"/>
                      <w:color w:val="auto"/>
                      <w:szCs w:val="21"/>
                      <w:lang w:eastAsia="zh-CN"/>
                    </w:rPr>
                    <w:t>生活垃圾</w:t>
                  </w:r>
                </w:p>
              </w:tc>
              <w:tc>
                <w:tcPr>
                  <w:tcW w:w="42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间断</w:t>
                  </w:r>
                </w:p>
              </w:tc>
              <w:tc>
                <w:tcPr>
                  <w:tcW w:w="274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集中收集交环卫部门统一处理</w:t>
                  </w:r>
                </w:p>
              </w:tc>
            </w:tr>
          </w:tbl>
          <w:p>
            <w:pPr>
              <w:pStyle w:val="27"/>
              <w:jc w:val="both"/>
              <w:rPr>
                <w:rFonts w:hint="default" w:ascii="Times New Roman" w:hAnsi="Times New Roman"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9" w:hRule="atLeast"/>
          <w:jc w:val="center"/>
        </w:trPr>
        <w:tc>
          <w:tcPr>
            <w:tcW w:w="618"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b/>
                <w:color w:val="auto"/>
                <w:szCs w:val="24"/>
                <w:highlight w:val="none"/>
              </w:rPr>
            </w:pPr>
            <w:r>
              <w:rPr>
                <w:rFonts w:hint="default" w:ascii="Times New Roman" w:hAnsi="Times New Roman" w:cs="Times New Roman"/>
                <w:b/>
                <w:color w:val="auto"/>
                <w:kern w:val="2"/>
                <w:szCs w:val="24"/>
                <w:highlight w:val="none"/>
              </w:rPr>
              <w:t>与项目有关的原有环境污染问题</w:t>
            </w:r>
          </w:p>
        </w:tc>
        <w:tc>
          <w:tcPr>
            <w:tcW w:w="8442" w:type="dxa"/>
            <w:noWrap w:val="0"/>
            <w:vAlign w:val="center"/>
          </w:tcPr>
          <w:p>
            <w:pPr>
              <w:pStyle w:val="2"/>
              <w:ind w:left="0" w:leftChars="0"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color w:val="auto"/>
              </w:rPr>
            </w:pPr>
          </w:p>
          <w:p>
            <w:pPr>
              <w:adjustRightInd w:val="0"/>
              <w:snapToGrid w:val="0"/>
              <w:spacing w:line="500" w:lineRule="exact"/>
              <w:ind w:firstLine="480" w:firstLineChars="200"/>
              <w:rPr>
                <w:color w:val="auto"/>
                <w:sz w:val="24"/>
              </w:rPr>
            </w:pPr>
            <w:r>
              <w:rPr>
                <w:color w:val="auto"/>
                <w:sz w:val="24"/>
              </w:rPr>
              <w:t>根据现场勘查</w:t>
            </w:r>
            <w:r>
              <w:rPr>
                <w:rFonts w:hint="eastAsia"/>
                <w:color w:val="auto"/>
                <w:sz w:val="24"/>
                <w:lang w:eastAsia="zh-CN"/>
              </w:rPr>
              <w:t>，</w:t>
            </w:r>
            <w:r>
              <w:rPr>
                <w:color w:val="auto"/>
                <w:sz w:val="24"/>
              </w:rPr>
              <w:t>本项目</w:t>
            </w:r>
            <w:r>
              <w:rPr>
                <w:rFonts w:hint="eastAsia"/>
                <w:color w:val="auto"/>
                <w:sz w:val="24"/>
                <w:lang w:eastAsia="zh-CN"/>
              </w:rPr>
              <w:t>占地为空地</w:t>
            </w:r>
            <w:r>
              <w:rPr>
                <w:color w:val="auto"/>
                <w:sz w:val="24"/>
              </w:rPr>
              <w:t>，项目占地内无生产设备等设施，因此无与本项目有关的原有污染情况和环境问题</w:t>
            </w:r>
            <w:r>
              <w:rPr>
                <w:rFonts w:hint="eastAsia"/>
                <w:color w:val="auto"/>
                <w:sz w:val="24"/>
              </w:rPr>
              <w:t>。</w:t>
            </w:r>
          </w:p>
          <w:p>
            <w:pPr>
              <w:widowControl/>
              <w:adjustRightInd w:val="0"/>
              <w:snapToGrid w:val="0"/>
              <w:spacing w:line="360" w:lineRule="auto"/>
              <w:jc w:val="left"/>
              <w:rPr>
                <w:rFonts w:hint="default" w:ascii="Times New Roman" w:hAnsi="Times New Roman" w:cs="Times New Roman"/>
                <w:color w:val="auto"/>
                <w:kern w:val="0"/>
                <w:sz w:val="24"/>
                <w:lang w:val="en-US" w:eastAsia="zh-CN" w:bidi="ar"/>
              </w:rPr>
            </w:pPr>
          </w:p>
          <w:p>
            <w:pPr>
              <w:widowControl/>
              <w:adjustRightInd w:val="0"/>
              <w:snapToGrid w:val="0"/>
              <w:spacing w:line="360" w:lineRule="auto"/>
              <w:ind w:firstLine="480" w:firstLineChars="200"/>
              <w:jc w:val="left"/>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ascii="Times New Roman" w:hAnsi="Times New Roman" w:cs="Times New Roman"/>
                <w:color w:val="auto"/>
                <w:kern w:val="0"/>
                <w:sz w:val="24"/>
                <w:lang w:val="en-US" w:eastAsia="zh-CN" w:bidi="ar"/>
              </w:rPr>
            </w:pPr>
          </w:p>
          <w:p>
            <w:pPr>
              <w:rPr>
                <w:rFonts w:hint="default" w:ascii="Times New Roman" w:hAnsi="Times New Roman" w:cs="Times New Roman"/>
                <w:color w:val="auto"/>
                <w:kern w:val="0"/>
                <w:sz w:val="24"/>
                <w:lang w:val="en-US" w:eastAsia="zh-CN" w:bidi="ar"/>
              </w:rPr>
            </w:pPr>
          </w:p>
          <w:p>
            <w:pPr>
              <w:pStyle w:val="2"/>
              <w:rPr>
                <w:rFonts w:hint="default"/>
                <w:color w:val="auto"/>
                <w:lang w:val="en-US" w:eastAsia="zh-CN"/>
              </w:rPr>
            </w:pPr>
          </w:p>
          <w:p>
            <w:pPr>
              <w:widowControl/>
              <w:adjustRightInd w:val="0"/>
              <w:snapToGrid w:val="0"/>
              <w:spacing w:line="360" w:lineRule="auto"/>
              <w:jc w:val="left"/>
              <w:rPr>
                <w:rFonts w:hint="default" w:ascii="Times New Roman" w:hAnsi="Times New Roman" w:cs="Times New Roman"/>
                <w:color w:val="auto"/>
                <w:lang w:val="en-US" w:eastAsia="zh-CN"/>
              </w:rPr>
            </w:pPr>
          </w:p>
        </w:tc>
      </w:tr>
    </w:tbl>
    <w:p>
      <w:pPr>
        <w:pStyle w:val="17"/>
        <w:jc w:val="center"/>
        <w:rPr>
          <w:rFonts w:hint="default" w:ascii="Times New Roman" w:hAnsi="Times New Roman" w:cs="Times New Roman"/>
          <w:snapToGrid w:val="0"/>
          <w:color w:val="auto"/>
          <w:sz w:val="36"/>
          <w:szCs w:val="36"/>
          <w:highlight w:val="none"/>
        </w:rPr>
        <w:sectPr>
          <w:pgSz w:w="11906" w:h="16838"/>
          <w:pgMar w:top="1134" w:right="1531" w:bottom="1134"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7"/>
        <w:adjustRightInd w:val="0"/>
        <w:snapToGrid w:val="0"/>
        <w:spacing w:before="0" w:beforeAutospacing="0" w:after="0" w:afterAutospacing="0" w:line="14" w:lineRule="auto"/>
        <w:jc w:val="center"/>
        <w:outlineLvl w:val="9"/>
        <w:rPr>
          <w:rFonts w:hint="default" w:ascii="Times New Roman" w:hAnsi="Times New Roman" w:cs="Times New Roman"/>
          <w:b/>
          <w:bCs/>
          <w:snapToGrid w:val="0"/>
          <w:color w:val="auto"/>
          <w:sz w:val="30"/>
          <w:szCs w:val="30"/>
          <w:highlight w:val="none"/>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default" w:ascii="Times New Roman" w:hAnsi="Times New Roman" w:cs="Times New Roman"/>
          <w:b/>
          <w:bCs/>
          <w:snapToGrid w:val="0"/>
          <w:color w:val="auto"/>
          <w:sz w:val="30"/>
          <w:szCs w:val="30"/>
          <w:highlight w:val="none"/>
        </w:rPr>
      </w:pPr>
      <w:bookmarkStart w:id="12" w:name="_Toc9442"/>
      <w:bookmarkStart w:id="13" w:name="_Toc15344"/>
      <w:r>
        <w:rPr>
          <w:rFonts w:hint="default" w:ascii="Times New Roman" w:hAnsi="Times New Roman" w:cs="Times New Roman"/>
          <w:b/>
          <w:bCs/>
          <w:snapToGrid w:val="0"/>
          <w:color w:val="auto"/>
          <w:sz w:val="30"/>
          <w:szCs w:val="30"/>
          <w:highlight w:val="none"/>
        </w:rPr>
        <w:t>三、区域环境质量现状、环境保护目标及评价标准</w:t>
      </w:r>
      <w:bookmarkEnd w:id="12"/>
      <w:bookmarkEnd w:id="13"/>
    </w:p>
    <w:tbl>
      <w:tblPr>
        <w:tblStyle w:val="20"/>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52" w:type="dxa"/>
            <w:noWrap w:val="0"/>
            <w:vAlign w:val="center"/>
          </w:tcPr>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区域</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环境</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质量</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 w:val="24"/>
                <w:highlight w:val="none"/>
              </w:rPr>
              <w:t>现状</w:t>
            </w:r>
          </w:p>
        </w:tc>
        <w:tc>
          <w:tcPr>
            <w:tcW w:w="86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一、环境空气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80" w:lineRule="exact"/>
              <w:ind w:left="0" w:right="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1、项目所在区域达标情况：</w:t>
            </w:r>
          </w:p>
          <w:p>
            <w:pPr>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根据《环境影响评价技术导则 大气环境》（HJ2.2-2018），项目所在区域达标判定优先采用国家或地方生态环境主管部门公开发布的评价基准年环境质量公告或环境质量报告中的数据或结论。 </w:t>
            </w:r>
          </w:p>
          <w:p>
            <w:pPr>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项目所在区域环境空气质量现状数据采用唐山市生态环境局发布的《202</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年唐山市环境状况公报》中唐山空气质量数据，具体情况见下表。</w:t>
            </w:r>
          </w:p>
          <w:p>
            <w:pPr>
              <w:adjustRightInd w:val="0"/>
              <w:snapToGrid w:val="0"/>
              <w:spacing w:line="480" w:lineRule="exact"/>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 xml:space="preserve">  </w:t>
            </w:r>
            <w:r>
              <w:rPr>
                <w:rFonts w:hint="default" w:ascii="Times New Roman" w:hAnsi="Times New Roman" w:cs="Times New Roman"/>
                <w:b/>
                <w:bCs/>
                <w:color w:val="auto"/>
                <w:sz w:val="24"/>
                <w:highlight w:val="none"/>
                <w:lang w:eastAsia="zh-CN"/>
              </w:rPr>
              <w:t>唐山市</w:t>
            </w:r>
            <w:r>
              <w:rPr>
                <w:rFonts w:hint="default" w:ascii="Times New Roman" w:hAnsi="Times New Roman" w:cs="Times New Roman"/>
                <w:b/>
                <w:bCs/>
                <w:color w:val="auto"/>
                <w:sz w:val="24"/>
                <w:highlight w:val="none"/>
              </w:rPr>
              <w:t>基本污染物环境空气质量现状评价结果</w:t>
            </w:r>
          </w:p>
          <w:tbl>
            <w:tblPr>
              <w:tblStyle w:val="20"/>
              <w:tblW w:w="4998" w:type="pct"/>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850"/>
              <w:gridCol w:w="2459"/>
              <w:gridCol w:w="1415"/>
              <w:gridCol w:w="1494"/>
              <w:gridCol w:w="1066"/>
              <w:gridCol w:w="1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年评价指标</w:t>
                  </w:r>
                </w:p>
              </w:tc>
              <w:tc>
                <w:tcPr>
                  <w:tcW w:w="8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现状浓度/（µg/m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标准值/（µg/m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6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占标率/%</w:t>
                  </w:r>
                </w:p>
              </w:tc>
              <w:tc>
                <w:tcPr>
                  <w:tcW w:w="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1.67</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82.5</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10</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74</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105.71</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
                      <w:sz w:val="21"/>
                      <w:szCs w:val="21"/>
                      <w:highlight w:val="none"/>
                      <w:lang w:eastAsia="zh-CN"/>
                    </w:rPr>
                    <w:t>不</w:t>
                  </w: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2.5</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114.29</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
                      <w:sz w:val="21"/>
                      <w:szCs w:val="21"/>
                      <w:highlight w:val="none"/>
                      <w:lang w:eastAsia="zh-CN"/>
                    </w:rPr>
                    <w:t>不</w:t>
                  </w: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24小时平均第95百分位数</w:t>
                  </w:r>
                </w:p>
              </w:tc>
              <w:tc>
                <w:tcPr>
                  <w:tcW w:w="846" w:type="pct"/>
                  <w:tcBorders>
                    <w:tl2br w:val="nil"/>
                    <w:tr2bl w:val="nil"/>
                  </w:tcBorders>
                  <w:noWrap w:val="0"/>
                  <w:vAlign w:val="center"/>
                </w:tcPr>
                <w:p>
                  <w:pPr>
                    <w:pStyle w:val="3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1500</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4000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eastAsia" w:cs="Times New Roman"/>
                      <w:color w:val="auto"/>
                      <w:sz w:val="21"/>
                      <w:szCs w:val="21"/>
                      <w:highlight w:val="none"/>
                      <w:lang w:val="en-US" w:eastAsia="zh-CN"/>
                    </w:rPr>
                    <w:t>7.5</w:t>
                  </w:r>
                </w:p>
              </w:tc>
              <w:tc>
                <w:tcPr>
                  <w:tcW w:w="64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O</w:t>
                  </w:r>
                  <w:r>
                    <w:rPr>
                      <w:rFonts w:hint="default" w:ascii="Times New Roman" w:hAnsi="Times New Roman" w:cs="Times New Roman"/>
                      <w:color w:val="auto"/>
                      <w:sz w:val="21"/>
                      <w:szCs w:val="21"/>
                      <w:highlight w:val="none"/>
                      <w:vertAlign w:val="subscript"/>
                    </w:rPr>
                    <w:t>3</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日最大8小时平均第90百分位数</w:t>
                  </w:r>
                </w:p>
              </w:tc>
              <w:tc>
                <w:tcPr>
                  <w:tcW w:w="846" w:type="pct"/>
                  <w:tcBorders>
                    <w:tl2br w:val="nil"/>
                    <w:tr2bl w:val="nil"/>
                  </w:tcBorders>
                  <w:noWrap w:val="0"/>
                  <w:vAlign w:val="center"/>
                </w:tcPr>
                <w:p>
                  <w:pPr>
                    <w:pStyle w:val="3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181</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r>
                    <w:rPr>
                      <w:rFonts w:hint="eastAsia" w:cs="Times New Roman"/>
                      <w:color w:val="auto"/>
                      <w:sz w:val="21"/>
                      <w:szCs w:val="21"/>
                      <w:highlight w:val="none"/>
                      <w:lang w:val="en-US" w:eastAsia="zh-CN"/>
                    </w:rPr>
                    <w:t>3.13</w:t>
                  </w:r>
                </w:p>
              </w:tc>
              <w:tc>
                <w:tcPr>
                  <w:tcW w:w="64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不</w:t>
                  </w:r>
                  <w:r>
                    <w:rPr>
                      <w:rFonts w:hint="default" w:ascii="Times New Roman" w:hAnsi="Times New Roman" w:cs="Times New Roman"/>
                      <w:color w:val="auto"/>
                    </w:rPr>
                    <w:t>达标</w:t>
                  </w:r>
                </w:p>
              </w:tc>
            </w:tr>
          </w:tbl>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根据公报结果，项目区域为环境空气质量不达标区，不达标因子为PM</w:t>
            </w:r>
            <w:r>
              <w:rPr>
                <w:rFonts w:hint="default" w:ascii="Times New Roman" w:hAnsi="Times New Roman" w:cs="Times New Roman"/>
                <w:color w:val="auto"/>
                <w:sz w:val="24"/>
                <w:highlight w:val="none"/>
                <w:vertAlign w:val="subscript"/>
                <w:lang w:val="en-US" w:eastAsia="zh-CN"/>
              </w:rPr>
              <w:t>2.5</w:t>
            </w:r>
            <w:r>
              <w:rPr>
                <w:rFonts w:hint="default" w:ascii="Times New Roman" w:hAnsi="Times New Roman" w:cs="Times New Roman"/>
                <w:color w:val="auto"/>
                <w:sz w:val="24"/>
                <w:highlight w:val="none"/>
              </w:rPr>
              <w:t>、PM</w:t>
            </w:r>
            <w:r>
              <w:rPr>
                <w:rFonts w:hint="eastAsia" w:cs="Times New Roman"/>
                <w:color w:val="auto"/>
                <w:sz w:val="24"/>
                <w:highlight w:val="none"/>
                <w:vertAlign w:val="subscript"/>
                <w:lang w:val="en-US" w:eastAsia="zh-CN"/>
              </w:rPr>
              <w:t>10</w:t>
            </w:r>
            <w:r>
              <w:rPr>
                <w:rFonts w:hint="default" w:ascii="Times New Roman" w:hAnsi="Times New Roman" w:cs="Times New Roman"/>
                <w:color w:val="auto"/>
                <w:sz w:val="24"/>
                <w:highlight w:val="none"/>
                <w:lang w:eastAsia="zh-CN"/>
              </w:rPr>
              <w:t>和</w:t>
            </w:r>
            <w:r>
              <w:rPr>
                <w:rFonts w:hint="default" w:ascii="Times New Roman" w:hAnsi="Times New Roman" w:cs="Times New Roman"/>
                <w:color w:val="auto"/>
                <w:sz w:val="24"/>
                <w:szCs w:val="24"/>
                <w:highlight w:val="none"/>
              </w:rPr>
              <w:t>O</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highlight w:val="none"/>
              </w:rPr>
              <w:t>。唐山市属于大气污染重点区域，监测数据客观反映了唐山市环境空气质量的现状。分析超标原因为：随着唐山市工业的快速发展、能源消耗和机动车保有量快速增长，排放大量二氧化硫、氮氧化物与挥发性有机物导致颗粒物等二次污染呈加剧态势。根据《建设生态唐山实现绿色发展工作方案》(唐办发[2018]2号)、《唐山市</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退出后十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大气污染防治工作实施方案》可知，通过调整优化产业结构、能源结构，深入开展大气污染治理攻坚行动，切实改善环境空气质量，通过控制扬尘污染、削减燃煤总量、控制机动车污染和严把燃煤质量关等方面的行动，项目所在区域将会逐步得到改善。</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480" w:firstLineChars="200"/>
              <w:textAlignment w:val="auto"/>
              <w:rPr>
                <w:rFonts w:hint="default" w:ascii="Times New Roman" w:hAnsi="Times New Roman" w:cs="Times New Roman"/>
                <w:color w:val="auto"/>
                <w:kern w:val="24"/>
                <w:sz w:val="24"/>
                <w:szCs w:val="24"/>
                <w:highlight w:val="none"/>
                <w:lang w:val="en-US" w:eastAsia="zh-CN"/>
              </w:rPr>
            </w:pPr>
            <w:r>
              <w:rPr>
                <w:rFonts w:hint="default" w:ascii="Times New Roman" w:hAnsi="Times New Roman" w:eastAsia="宋体" w:cs="Times New Roman"/>
                <w:color w:val="auto"/>
                <w:kern w:val="24"/>
                <w:sz w:val="24"/>
                <w:szCs w:val="24"/>
                <w:highlight w:val="none"/>
                <w:lang w:val="en-US" w:eastAsia="zh-CN"/>
              </w:rPr>
              <w:t>2、环境空气质量现状监测与评价</w:t>
            </w:r>
          </w:p>
          <w:p>
            <w:pPr>
              <w:pageBreakBefore w:val="0"/>
              <w:widowControl w:val="0"/>
              <w:kinsoku/>
              <w:wordWrap/>
              <w:overflowPunct/>
              <w:topLinePunct w:val="0"/>
              <w:autoSpaceDE/>
              <w:autoSpaceDN/>
              <w:bidi w:val="0"/>
              <w:spacing w:line="480" w:lineRule="exact"/>
              <w:ind w:firstLine="496" w:firstLineChars="200"/>
              <w:rPr>
                <w:rFonts w:hint="default" w:ascii="Times New Roman" w:hAnsi="Times New Roman" w:eastAsia="宋体" w:cs="Times New Roman"/>
                <w:color w:val="auto"/>
                <w:spacing w:val="4"/>
                <w:kern w:val="0"/>
                <w:sz w:val="24"/>
                <w:szCs w:val="24"/>
                <w:highlight w:val="none"/>
                <w:lang w:val="en-US" w:eastAsia="zh-CN"/>
              </w:rPr>
            </w:pPr>
            <w:r>
              <w:rPr>
                <w:rFonts w:hint="default" w:ascii="Times New Roman" w:hAnsi="Times New Roman" w:eastAsia="宋体" w:cs="Times New Roman"/>
                <w:color w:val="auto"/>
                <w:spacing w:val="4"/>
                <w:kern w:val="0"/>
                <w:sz w:val="24"/>
                <w:szCs w:val="24"/>
                <w:highlight w:val="none"/>
              </w:rPr>
              <w:t>本项目PM</w:t>
            </w:r>
            <w:r>
              <w:rPr>
                <w:rFonts w:hint="default" w:ascii="Times New Roman" w:hAnsi="Times New Roman" w:eastAsia="宋体" w:cs="Times New Roman"/>
                <w:color w:val="auto"/>
                <w:spacing w:val="4"/>
                <w:kern w:val="0"/>
                <w:sz w:val="24"/>
                <w:szCs w:val="24"/>
                <w:highlight w:val="none"/>
                <w:vertAlign w:val="subscript"/>
              </w:rPr>
              <w:t>10</w:t>
            </w:r>
            <w:r>
              <w:rPr>
                <w:rFonts w:hint="default" w:ascii="Times New Roman" w:hAnsi="Times New Roman" w:eastAsia="宋体" w:cs="Times New Roman"/>
                <w:color w:val="auto"/>
                <w:spacing w:val="4"/>
                <w:kern w:val="0"/>
                <w:sz w:val="24"/>
                <w:szCs w:val="24"/>
                <w:highlight w:val="none"/>
              </w:rPr>
              <w:t>、PM</w:t>
            </w:r>
            <w:r>
              <w:rPr>
                <w:rFonts w:hint="default" w:ascii="Times New Roman" w:hAnsi="Times New Roman" w:eastAsia="宋体" w:cs="Times New Roman"/>
                <w:color w:val="auto"/>
                <w:spacing w:val="4"/>
                <w:kern w:val="0"/>
                <w:sz w:val="24"/>
                <w:szCs w:val="24"/>
                <w:highlight w:val="none"/>
                <w:vertAlign w:val="subscript"/>
              </w:rPr>
              <w:t>2.5</w:t>
            </w:r>
            <w:r>
              <w:rPr>
                <w:rFonts w:hint="default" w:ascii="Times New Roman" w:hAnsi="Times New Roman" w:eastAsia="宋体" w:cs="Times New Roman"/>
                <w:color w:val="auto"/>
                <w:spacing w:val="4"/>
                <w:kern w:val="0"/>
                <w:sz w:val="24"/>
                <w:szCs w:val="24"/>
                <w:highlight w:val="none"/>
              </w:rPr>
              <w:t>、SO</w:t>
            </w:r>
            <w:r>
              <w:rPr>
                <w:rFonts w:hint="default" w:ascii="Times New Roman" w:hAnsi="Times New Roman" w:eastAsia="宋体" w:cs="Times New Roman"/>
                <w:color w:val="auto"/>
                <w:spacing w:val="4"/>
                <w:kern w:val="0"/>
                <w:sz w:val="24"/>
                <w:szCs w:val="24"/>
                <w:highlight w:val="none"/>
                <w:vertAlign w:val="subscript"/>
              </w:rPr>
              <w:t>2</w:t>
            </w:r>
            <w:r>
              <w:rPr>
                <w:rFonts w:hint="default" w:ascii="Times New Roman" w:hAnsi="Times New Roman" w:eastAsia="宋体" w:cs="Times New Roman"/>
                <w:color w:val="auto"/>
                <w:spacing w:val="4"/>
                <w:kern w:val="0"/>
                <w:sz w:val="24"/>
                <w:szCs w:val="24"/>
                <w:highlight w:val="none"/>
              </w:rPr>
              <w:t>、NO</w:t>
            </w:r>
            <w:r>
              <w:rPr>
                <w:rFonts w:hint="default" w:ascii="Times New Roman" w:hAnsi="Times New Roman" w:eastAsia="宋体" w:cs="Times New Roman"/>
                <w:color w:val="auto"/>
                <w:spacing w:val="4"/>
                <w:kern w:val="0"/>
                <w:sz w:val="24"/>
                <w:szCs w:val="24"/>
                <w:highlight w:val="none"/>
                <w:vertAlign w:val="subscript"/>
              </w:rPr>
              <w:t>2</w:t>
            </w:r>
            <w:r>
              <w:rPr>
                <w:rFonts w:hint="default" w:ascii="Times New Roman" w:hAnsi="Times New Roman" w:eastAsia="宋体" w:cs="Times New Roman"/>
                <w:color w:val="auto"/>
                <w:spacing w:val="4"/>
                <w:kern w:val="0"/>
                <w:sz w:val="24"/>
                <w:szCs w:val="24"/>
                <w:highlight w:val="none"/>
              </w:rPr>
              <w:t>、CO、O</w:t>
            </w:r>
            <w:r>
              <w:rPr>
                <w:rFonts w:hint="default" w:ascii="Times New Roman" w:hAnsi="Times New Roman" w:eastAsia="宋体" w:cs="Times New Roman"/>
                <w:color w:val="auto"/>
                <w:spacing w:val="4"/>
                <w:kern w:val="0"/>
                <w:sz w:val="24"/>
                <w:szCs w:val="24"/>
                <w:highlight w:val="none"/>
                <w:vertAlign w:val="subscript"/>
              </w:rPr>
              <w:t>3</w:t>
            </w:r>
            <w:r>
              <w:rPr>
                <w:rFonts w:hint="default" w:ascii="Times New Roman" w:hAnsi="Times New Roman" w:eastAsia="宋体" w:cs="Times New Roman"/>
                <w:color w:val="auto"/>
                <w:spacing w:val="4"/>
                <w:kern w:val="0"/>
                <w:sz w:val="24"/>
                <w:szCs w:val="24"/>
                <w:highlight w:val="none"/>
              </w:rPr>
              <w:t>引用</w:t>
            </w:r>
            <w:r>
              <w:rPr>
                <w:rFonts w:hint="default" w:ascii="Times New Roman" w:hAnsi="Times New Roman" w:eastAsia="宋体" w:cs="Times New Roman"/>
                <w:color w:val="auto"/>
                <w:spacing w:val="6"/>
                <w:sz w:val="24"/>
                <w:szCs w:val="24"/>
                <w:highlight w:val="none"/>
              </w:rPr>
              <w:t>《</w:t>
            </w:r>
            <w:r>
              <w:rPr>
                <w:rFonts w:hint="default" w:ascii="Times New Roman" w:hAnsi="Times New Roman" w:eastAsia="宋体" w:cs="Times New Roman"/>
                <w:color w:val="auto"/>
                <w:spacing w:val="6"/>
                <w:sz w:val="24"/>
                <w:szCs w:val="24"/>
                <w:highlight w:val="none"/>
                <w:lang w:val="en-US" w:eastAsia="zh-CN"/>
              </w:rPr>
              <w:t>202</w:t>
            </w:r>
            <w:r>
              <w:rPr>
                <w:rFonts w:hint="eastAsia" w:cs="Times New Roman"/>
                <w:color w:val="auto"/>
                <w:spacing w:val="6"/>
                <w:sz w:val="24"/>
                <w:szCs w:val="24"/>
                <w:highlight w:val="none"/>
                <w:lang w:val="en-US" w:eastAsia="zh-CN"/>
              </w:rPr>
              <w:t>3</w:t>
            </w:r>
            <w:r>
              <w:rPr>
                <w:rFonts w:hint="default" w:ascii="Times New Roman" w:hAnsi="Times New Roman" w:eastAsia="宋体" w:cs="Times New Roman"/>
                <w:color w:val="auto"/>
                <w:spacing w:val="6"/>
                <w:sz w:val="24"/>
                <w:szCs w:val="24"/>
                <w:highlight w:val="none"/>
              </w:rPr>
              <w:t>年唐山市环境状况公报》</w:t>
            </w:r>
            <w:r>
              <w:rPr>
                <w:rFonts w:hint="default" w:ascii="Times New Roman" w:hAnsi="Times New Roman" w:eastAsia="宋体" w:cs="Times New Roman"/>
                <w:color w:val="auto"/>
                <w:spacing w:val="4"/>
                <w:kern w:val="0"/>
                <w:sz w:val="24"/>
                <w:szCs w:val="24"/>
                <w:highlight w:val="none"/>
                <w:lang w:val="en-US" w:eastAsia="zh-CN"/>
              </w:rPr>
              <w:t>中</w:t>
            </w:r>
            <w:r>
              <w:rPr>
                <w:rFonts w:hint="default" w:ascii="Times New Roman" w:hAnsi="Times New Roman" w:cs="Times New Roman"/>
                <w:color w:val="auto"/>
                <w:spacing w:val="4"/>
                <w:kern w:val="0"/>
                <w:sz w:val="24"/>
                <w:szCs w:val="24"/>
                <w:highlight w:val="none"/>
                <w:lang w:val="en-US" w:eastAsia="zh-CN"/>
              </w:rPr>
              <w:t>开平区</w:t>
            </w:r>
            <w:r>
              <w:rPr>
                <w:rFonts w:hint="default" w:ascii="Times New Roman" w:hAnsi="Times New Roman" w:eastAsia="宋体" w:cs="Times New Roman"/>
                <w:color w:val="auto"/>
                <w:spacing w:val="4"/>
                <w:kern w:val="0"/>
                <w:sz w:val="24"/>
                <w:szCs w:val="24"/>
                <w:highlight w:val="none"/>
              </w:rPr>
              <w:t>的六项污染物浓度。</w:t>
            </w:r>
            <w:r>
              <w:rPr>
                <w:rFonts w:hint="default" w:ascii="Times New Roman" w:hAnsi="Times New Roman" w:cs="Times New Roman"/>
                <w:color w:val="auto"/>
                <w:sz w:val="24"/>
                <w:szCs w:val="24"/>
                <w:highlight w:val="none"/>
                <w:lang w:eastAsia="zh-CN"/>
              </w:rPr>
              <w:t>本区域监测期间环境空气质量</w:t>
            </w:r>
            <w:r>
              <w:rPr>
                <w:rFonts w:hint="default" w:ascii="Times New Roman" w:hAnsi="Times New Roman" w:cs="Times New Roman"/>
                <w:color w:val="auto"/>
                <w:sz w:val="24"/>
                <w:highlight w:val="none"/>
              </w:rPr>
              <w:t>PM</w:t>
            </w:r>
            <w:r>
              <w:rPr>
                <w:rFonts w:hint="eastAsia" w:cs="Times New Roman"/>
                <w:color w:val="auto"/>
                <w:sz w:val="24"/>
                <w:highlight w:val="none"/>
                <w:vertAlign w:val="subscript"/>
                <w:lang w:val="en-US" w:eastAsia="zh-CN"/>
              </w:rPr>
              <w:t>10</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O</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lang w:eastAsia="zh-CN"/>
              </w:rPr>
              <w:t>不能满足《环境空气质量标准》（GB3095-2012）及其修改单中二级标准要求。</w:t>
            </w:r>
          </w:p>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p>
          <w:p>
            <w:pPr>
              <w:adjustRightInd w:val="0"/>
              <w:snapToGrid w:val="0"/>
              <w:spacing w:line="480" w:lineRule="exact"/>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1</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 xml:space="preserve">  </w:t>
            </w:r>
            <w:r>
              <w:rPr>
                <w:rFonts w:hint="default" w:ascii="Times New Roman" w:hAnsi="Times New Roman" w:cs="Times New Roman"/>
                <w:b/>
                <w:bCs/>
                <w:color w:val="auto"/>
                <w:sz w:val="24"/>
                <w:highlight w:val="none"/>
                <w:lang w:eastAsia="zh-CN"/>
              </w:rPr>
              <w:t>开平区</w:t>
            </w:r>
            <w:r>
              <w:rPr>
                <w:rFonts w:hint="default" w:ascii="Times New Roman" w:hAnsi="Times New Roman" w:cs="Times New Roman"/>
                <w:b/>
                <w:bCs/>
                <w:color w:val="auto"/>
                <w:sz w:val="24"/>
                <w:highlight w:val="none"/>
              </w:rPr>
              <w:t>基本污染物环境空气质量现状评价结果</w:t>
            </w:r>
          </w:p>
          <w:tbl>
            <w:tblPr>
              <w:tblStyle w:val="20"/>
              <w:tblW w:w="4998" w:type="pct"/>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850"/>
              <w:gridCol w:w="2459"/>
              <w:gridCol w:w="1415"/>
              <w:gridCol w:w="1494"/>
              <w:gridCol w:w="1066"/>
              <w:gridCol w:w="1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年评价指标</w:t>
                  </w:r>
                </w:p>
              </w:tc>
              <w:tc>
                <w:tcPr>
                  <w:tcW w:w="8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现状浓度/（µg/m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标准值/（µg/m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c>
                <w:tcPr>
                  <w:tcW w:w="6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占标率/%</w:t>
                  </w:r>
                </w:p>
              </w:tc>
              <w:tc>
                <w:tcPr>
                  <w:tcW w:w="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6.67</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10</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101.43</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kern w:val="2"/>
                      <w:sz w:val="21"/>
                      <w:szCs w:val="21"/>
                      <w:highlight w:val="none"/>
                      <w:lang w:eastAsia="zh-CN"/>
                    </w:rPr>
                    <w:t>不</w:t>
                  </w: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2.5</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846"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34</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97.14</w:t>
                  </w:r>
                </w:p>
              </w:tc>
              <w:tc>
                <w:tcPr>
                  <w:tcW w:w="643"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24小时平均第95百分位数</w:t>
                  </w:r>
                </w:p>
              </w:tc>
              <w:tc>
                <w:tcPr>
                  <w:tcW w:w="846" w:type="pct"/>
                  <w:tcBorders>
                    <w:tl2br w:val="nil"/>
                    <w:tr2bl w:val="nil"/>
                  </w:tcBorders>
                  <w:noWrap w:val="0"/>
                  <w:vAlign w:val="center"/>
                </w:tcPr>
                <w:p>
                  <w:pPr>
                    <w:pStyle w:val="3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700</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4000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42.5</w:t>
                  </w:r>
                </w:p>
              </w:tc>
              <w:tc>
                <w:tcPr>
                  <w:tcW w:w="64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3" w:hRule="atLeast"/>
              </w:trPr>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O</w:t>
                  </w:r>
                  <w:r>
                    <w:rPr>
                      <w:rFonts w:hint="default" w:ascii="Times New Roman" w:hAnsi="Times New Roman" w:cs="Times New Roman"/>
                      <w:color w:val="auto"/>
                      <w:sz w:val="21"/>
                      <w:szCs w:val="21"/>
                      <w:highlight w:val="none"/>
                      <w:vertAlign w:val="subscript"/>
                    </w:rPr>
                    <w:t>3</w:t>
                  </w:r>
                </w:p>
              </w:tc>
              <w:tc>
                <w:tcPr>
                  <w:tcW w:w="1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日最大8小时平均第90百分位数</w:t>
                  </w:r>
                </w:p>
              </w:tc>
              <w:tc>
                <w:tcPr>
                  <w:tcW w:w="846" w:type="pct"/>
                  <w:tcBorders>
                    <w:tl2br w:val="nil"/>
                    <w:tr2bl w:val="nil"/>
                  </w:tcBorders>
                  <w:noWrap w:val="0"/>
                  <w:vAlign w:val="center"/>
                </w:tcPr>
                <w:p>
                  <w:pPr>
                    <w:pStyle w:val="3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83</w:t>
                  </w:r>
                </w:p>
              </w:tc>
              <w:tc>
                <w:tcPr>
                  <w:tcW w:w="8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w:t>
                  </w:r>
                </w:p>
              </w:tc>
              <w:tc>
                <w:tcPr>
                  <w:tcW w:w="637" w:type="pct"/>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r>
                    <w:rPr>
                      <w:rFonts w:hint="eastAsia" w:cs="Times New Roman"/>
                      <w:color w:val="auto"/>
                      <w:sz w:val="21"/>
                      <w:szCs w:val="21"/>
                      <w:highlight w:val="none"/>
                      <w:lang w:val="en-US" w:eastAsia="zh-CN"/>
                    </w:rPr>
                    <w:t>4.38</w:t>
                  </w:r>
                </w:p>
              </w:tc>
              <w:tc>
                <w:tcPr>
                  <w:tcW w:w="643" w:type="pct"/>
                  <w:tcBorders>
                    <w:tl2br w:val="nil"/>
                    <w:tr2bl w:val="nil"/>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不</w:t>
                  </w:r>
                  <w:r>
                    <w:rPr>
                      <w:rFonts w:hint="default" w:ascii="Times New Roman" w:hAnsi="Times New Roman" w:cs="Times New Roman"/>
                      <w:color w:val="auto"/>
                    </w:rPr>
                    <w:t>达标</w:t>
                  </w:r>
                </w:p>
              </w:tc>
            </w:tr>
          </w:tbl>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3、大气环境质量现状补充监测</w:t>
            </w:r>
          </w:p>
          <w:p>
            <w:pPr>
              <w:pStyle w:val="35"/>
              <w:spacing w:before="165" w:line="367" w:lineRule="auto"/>
              <w:ind w:left="103" w:right="93" w:firstLine="48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根据《环境影响评价技术导则 大气环境》（HJ2.2-2018）规范要求，本项目大气环境影响评价特征因子为TSP。为了解项目所在地特征污染物TSP环境质量现状，本次评价引用</w:t>
            </w:r>
            <w:r>
              <w:rPr>
                <w:rFonts w:hint="default" w:ascii="Times New Roman" w:hAnsi="Times New Roman" w:cs="Times New Roman"/>
                <w:color w:val="auto"/>
                <w:sz w:val="24"/>
              </w:rPr>
              <w:t>《唐山市利国脱硫剂有限公司环境质量现状监测项目》中的唐山天华环境检测有限公司对后屯村环境空气质量检</w:t>
            </w:r>
            <w:r>
              <w:rPr>
                <w:rFonts w:hint="default" w:ascii="Times New Roman" w:hAnsi="Times New Roman" w:cs="Times New Roman"/>
                <w:color w:val="auto"/>
                <w:spacing w:val="-9"/>
                <w:sz w:val="24"/>
              </w:rPr>
              <w:t>测的现有数据，监测因子为</w:t>
            </w:r>
            <w:r>
              <w:rPr>
                <w:rFonts w:hint="default" w:ascii="Times New Roman" w:hAnsi="Times New Roman" w:eastAsia="Times New Roman" w:cs="Times New Roman"/>
                <w:color w:val="auto"/>
                <w:spacing w:val="-7"/>
                <w:sz w:val="24"/>
              </w:rPr>
              <w:t>TSP</w:t>
            </w:r>
            <w:r>
              <w:rPr>
                <w:rFonts w:hint="default" w:ascii="Times New Roman" w:hAnsi="Times New Roman" w:cs="Times New Roman"/>
                <w:color w:val="auto"/>
                <w:spacing w:val="-13"/>
                <w:sz w:val="24"/>
              </w:rPr>
              <w:t xml:space="preserve">，监测时间 </w:t>
            </w:r>
            <w:r>
              <w:rPr>
                <w:rFonts w:hint="default" w:ascii="Times New Roman" w:hAnsi="Times New Roman" w:eastAsia="Times New Roman" w:cs="Times New Roman"/>
                <w:color w:val="auto"/>
                <w:sz w:val="24"/>
              </w:rPr>
              <w:t>2022</w:t>
            </w:r>
            <w:r>
              <w:rPr>
                <w:rFonts w:hint="default" w:ascii="Times New Roman" w:hAnsi="Times New Roman" w:cs="Times New Roman"/>
                <w:color w:val="auto"/>
                <w:spacing w:val="-30"/>
                <w:sz w:val="24"/>
              </w:rPr>
              <w:t xml:space="preserve">年 </w:t>
            </w:r>
            <w:r>
              <w:rPr>
                <w:rFonts w:hint="default" w:ascii="Times New Roman" w:hAnsi="Times New Roman" w:eastAsia="Times New Roman" w:cs="Times New Roman"/>
                <w:color w:val="auto"/>
                <w:sz w:val="24"/>
              </w:rPr>
              <w:t>5</w:t>
            </w:r>
            <w:r>
              <w:rPr>
                <w:rFonts w:hint="default" w:ascii="Times New Roman" w:hAnsi="Times New Roman" w:cs="Times New Roman"/>
                <w:color w:val="auto"/>
                <w:spacing w:val="-30"/>
                <w:sz w:val="24"/>
              </w:rPr>
              <w:t xml:space="preserve">月 </w:t>
            </w:r>
            <w:r>
              <w:rPr>
                <w:rFonts w:hint="default" w:ascii="Times New Roman" w:hAnsi="Times New Roman" w:eastAsia="Times New Roman" w:cs="Times New Roman"/>
                <w:color w:val="auto"/>
                <w:sz w:val="24"/>
              </w:rPr>
              <w:t>27</w:t>
            </w:r>
            <w:r>
              <w:rPr>
                <w:rFonts w:hint="default" w:ascii="Times New Roman" w:hAnsi="Times New Roman" w:cs="Times New Roman"/>
                <w:color w:val="auto"/>
                <w:sz w:val="24"/>
              </w:rPr>
              <w:t>日</w:t>
            </w:r>
            <w:r>
              <w:rPr>
                <w:rFonts w:hint="default" w:ascii="Times New Roman" w:hAnsi="Times New Roman" w:eastAsia="Times New Roman" w:cs="Times New Roman"/>
                <w:color w:val="auto"/>
                <w:sz w:val="24"/>
              </w:rPr>
              <w:t>-5</w:t>
            </w:r>
            <w:r>
              <w:rPr>
                <w:rFonts w:hint="default" w:ascii="Times New Roman" w:hAnsi="Times New Roman" w:cs="Times New Roman"/>
                <w:color w:val="auto"/>
                <w:spacing w:val="-29"/>
                <w:sz w:val="24"/>
              </w:rPr>
              <w:t xml:space="preserve">月 </w:t>
            </w:r>
            <w:r>
              <w:rPr>
                <w:rFonts w:hint="default" w:ascii="Times New Roman" w:hAnsi="Times New Roman" w:eastAsia="Times New Roman" w:cs="Times New Roman"/>
                <w:color w:val="auto"/>
                <w:sz w:val="24"/>
              </w:rPr>
              <w:t>29</w:t>
            </w:r>
            <w:r>
              <w:rPr>
                <w:rFonts w:hint="default" w:ascii="Times New Roman" w:hAnsi="Times New Roman" w:cs="Times New Roman"/>
                <w:color w:val="auto"/>
                <w:spacing w:val="-10"/>
                <w:sz w:val="24"/>
              </w:rPr>
              <w:t>日，该</w:t>
            </w:r>
            <w:r>
              <w:rPr>
                <w:rFonts w:hint="default" w:ascii="Times New Roman" w:hAnsi="Times New Roman" w:cs="Times New Roman"/>
                <w:color w:val="auto"/>
                <w:sz w:val="24"/>
              </w:rPr>
              <w:t>监测点后屯村位于本项目东南侧</w:t>
            </w:r>
            <w:r>
              <w:rPr>
                <w:rFonts w:hint="default" w:ascii="Times New Roman" w:hAnsi="Times New Roman" w:eastAsia="Times New Roman" w:cs="Times New Roman"/>
                <w:color w:val="auto"/>
                <w:sz w:val="24"/>
              </w:rPr>
              <w:t>4</w:t>
            </w:r>
            <w:r>
              <w:rPr>
                <w:rFonts w:hint="eastAsia" w:eastAsia="宋体" w:cs="Times New Roman"/>
                <w:color w:val="auto"/>
                <w:sz w:val="24"/>
                <w:lang w:val="en-US" w:eastAsia="zh-CN"/>
              </w:rPr>
              <w:t>0</w:t>
            </w:r>
            <w:r>
              <w:rPr>
                <w:rFonts w:hint="default" w:ascii="Times New Roman" w:hAnsi="Times New Roman" w:eastAsia="Times New Roman" w:cs="Times New Roman"/>
                <w:color w:val="auto"/>
                <w:sz w:val="24"/>
              </w:rPr>
              <w:t>00</w:t>
            </w:r>
            <w:r>
              <w:rPr>
                <w:rFonts w:hint="default" w:ascii="Times New Roman" w:hAnsi="Times New Roman" w:cs="Times New Roman"/>
                <w:color w:val="auto"/>
                <w:sz w:val="24"/>
              </w:rPr>
              <w:t>米处，</w:t>
            </w:r>
            <w:r>
              <w:rPr>
                <w:rFonts w:hint="default" w:ascii="Times New Roman" w:hAnsi="Times New Roman" w:cs="Times New Roman"/>
                <w:color w:val="auto"/>
                <w:kern w:val="0"/>
                <w:sz w:val="24"/>
                <w:highlight w:val="none"/>
              </w:rPr>
              <w:t>因此监测数据符合《建设项目环境影响报告表编制技术指南（污染影响类）（试行）》</w:t>
            </w:r>
            <w:r>
              <w:rPr>
                <w:rFonts w:hint="default" w:ascii="Times New Roman" w:hAnsi="Times New Roman" w:cs="Times New Roman"/>
                <w:color w:val="auto"/>
                <w:kern w:val="0"/>
                <w:sz w:val="24"/>
                <w:highlight w:val="none"/>
                <w:lang w:val="en-US" w:eastAsia="zh-CN"/>
              </w:rPr>
              <w:t>3年5公里</w:t>
            </w:r>
            <w:r>
              <w:rPr>
                <w:rFonts w:hint="default" w:ascii="Times New Roman" w:hAnsi="Times New Roman" w:cs="Times New Roman"/>
                <w:color w:val="auto"/>
                <w:kern w:val="0"/>
                <w:sz w:val="24"/>
                <w:highlight w:val="none"/>
              </w:rPr>
              <w:t>引用要求</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2"/>
                <w:sz w:val="24"/>
                <w:szCs w:val="24"/>
                <w:highlight w:val="none"/>
                <w:lang w:val="en-US" w:eastAsia="zh-CN" w:bidi="ar"/>
              </w:rPr>
              <w:t>监测内容如下。</w:t>
            </w:r>
          </w:p>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①监测布点及监测因子</w:t>
            </w:r>
          </w:p>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本次评价引用环境空气质量现状监测数据，具体监测布点及监测因子见下表。</w:t>
            </w:r>
          </w:p>
          <w:p>
            <w:pPr>
              <w:adjustRightInd w:val="0"/>
              <w:snapToGrid w:val="0"/>
              <w:spacing w:line="480" w:lineRule="exact"/>
              <w:jc w:val="center"/>
              <w:rPr>
                <w:rFonts w:hint="default" w:ascii="Times New Roman" w:hAnsi="Times New Roman" w:cs="Times New Roman"/>
                <w:b/>
                <w:bCs/>
                <w:color w:val="auto"/>
                <w:sz w:val="24"/>
                <w:highlight w:val="none"/>
                <w:vertAlign w:val="baseline"/>
                <w:lang w:val="en-US" w:eastAsia="zh-CN"/>
              </w:rPr>
            </w:pPr>
            <w:r>
              <w:rPr>
                <w:rFonts w:hint="default" w:ascii="Times New Roman" w:hAnsi="Times New Roman" w:cs="Times New Roman"/>
                <w:b/>
                <w:bCs/>
                <w:color w:val="auto"/>
                <w:sz w:val="24"/>
                <w:highlight w:val="none"/>
                <w:lang w:val="en-US" w:eastAsia="zh-CN"/>
              </w:rPr>
              <w:t>表1</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lang w:val="en-US" w:eastAsia="zh-CN"/>
              </w:rPr>
              <w:t xml:space="preserve">     监测点位及监测因子一览表</w:t>
            </w:r>
          </w:p>
          <w:tbl>
            <w:tblPr>
              <w:tblStyle w:val="21"/>
              <w:tblW w:w="83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0"/>
              <w:gridCol w:w="1890"/>
              <w:gridCol w:w="157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监测点名称</w:t>
                  </w:r>
                </w:p>
              </w:tc>
              <w:tc>
                <w:tcPr>
                  <w:tcW w:w="1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监测因子</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相对厂址方位</w:t>
                  </w:r>
                </w:p>
              </w:tc>
              <w:tc>
                <w:tcPr>
                  <w:tcW w:w="17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3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唐山市利国脱硫剂有限公司</w:t>
                  </w:r>
                </w:p>
              </w:tc>
              <w:tc>
                <w:tcPr>
                  <w:tcW w:w="1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TSP</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SE</w:t>
                  </w:r>
                </w:p>
              </w:tc>
              <w:tc>
                <w:tcPr>
                  <w:tcW w:w="17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w:t>
                  </w:r>
                  <w:r>
                    <w:rPr>
                      <w:rFonts w:hint="eastAsia" w:cs="Times New Roman"/>
                      <w:b w:val="0"/>
                      <w:bCs w:val="0"/>
                      <w:color w:val="auto"/>
                      <w:sz w:val="21"/>
                      <w:szCs w:val="21"/>
                      <w:highlight w:val="none"/>
                      <w:vertAlign w:val="baseline"/>
                      <w:lang w:val="en-US" w:eastAsia="zh-CN"/>
                    </w:rPr>
                    <w:t>0</w:t>
                  </w:r>
                  <w:r>
                    <w:rPr>
                      <w:rFonts w:hint="default" w:ascii="Times New Roman" w:hAnsi="Times New Roman" w:cs="Times New Roman"/>
                      <w:b w:val="0"/>
                      <w:bCs w:val="0"/>
                      <w:color w:val="auto"/>
                      <w:sz w:val="21"/>
                      <w:szCs w:val="21"/>
                      <w:highlight w:val="none"/>
                      <w:vertAlign w:val="baseline"/>
                      <w:lang w:val="en-US" w:eastAsia="zh-CN"/>
                    </w:rPr>
                    <w:t>00</w:t>
                  </w:r>
                </w:p>
              </w:tc>
            </w:tr>
          </w:tbl>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②监测结果及评价结果 </w:t>
            </w:r>
          </w:p>
          <w:p>
            <w:pPr>
              <w:spacing w:line="480" w:lineRule="exact"/>
              <w:ind w:firstLine="472" w:firstLineChars="197"/>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监测结果见下表。</w:t>
            </w:r>
          </w:p>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outlineLvl w:val="9"/>
              <w:rPr>
                <w:rFonts w:hint="default" w:ascii="Times New Roman" w:hAnsi="Times New Roman" w:eastAsia="宋体" w:cs="Times New Roman"/>
                <w:b/>
                <w:bCs/>
                <w:color w:val="auto"/>
                <w:spacing w:val="6"/>
                <w:sz w:val="24"/>
                <w:szCs w:val="24"/>
                <w:highlight w:val="none"/>
              </w:rPr>
            </w:pPr>
            <w:r>
              <w:rPr>
                <w:rFonts w:hint="default" w:ascii="Times New Roman" w:hAnsi="Times New Roman" w:eastAsia="宋体" w:cs="Times New Roman"/>
                <w:b/>
                <w:bCs/>
                <w:color w:val="auto"/>
                <w:spacing w:val="6"/>
                <w:sz w:val="24"/>
                <w:szCs w:val="24"/>
                <w:highlight w:val="none"/>
              </w:rPr>
              <w:t>表</w:t>
            </w:r>
            <w:r>
              <w:rPr>
                <w:rFonts w:hint="eastAsia" w:cs="Times New Roman"/>
                <w:b/>
                <w:bCs/>
                <w:color w:val="auto"/>
                <w:spacing w:val="6"/>
                <w:sz w:val="24"/>
                <w:szCs w:val="24"/>
                <w:highlight w:val="none"/>
                <w:lang w:val="en-US" w:eastAsia="zh-CN"/>
              </w:rPr>
              <w:t>13</w:t>
            </w:r>
            <w:r>
              <w:rPr>
                <w:rFonts w:hint="default" w:ascii="Times New Roman" w:hAnsi="Times New Roman" w:cs="Times New Roman"/>
                <w:b/>
                <w:bCs/>
                <w:color w:val="auto"/>
                <w:spacing w:val="6"/>
                <w:sz w:val="24"/>
                <w:szCs w:val="24"/>
                <w:highlight w:val="none"/>
                <w:lang w:val="en-US" w:eastAsia="zh-CN"/>
              </w:rPr>
              <w:t xml:space="preserve">    </w:t>
            </w:r>
            <w:r>
              <w:rPr>
                <w:rFonts w:hint="default" w:ascii="Times New Roman" w:hAnsi="Times New Roman" w:eastAsia="宋体" w:cs="Times New Roman"/>
                <w:b/>
                <w:bCs/>
                <w:color w:val="auto"/>
                <w:spacing w:val="6"/>
                <w:sz w:val="24"/>
                <w:szCs w:val="24"/>
                <w:highlight w:val="none"/>
              </w:rPr>
              <w:t xml:space="preserve"> 评价区环境空气现状监测结果统计表</w:t>
            </w:r>
          </w:p>
          <w:tbl>
            <w:tblPr>
              <w:tblStyle w:val="20"/>
              <w:tblW w:w="84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885"/>
              <w:gridCol w:w="990"/>
              <w:gridCol w:w="1575"/>
              <w:gridCol w:w="1185"/>
              <w:gridCol w:w="1042"/>
              <w:gridCol w:w="9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 w:hRule="atLeast"/>
                <w:jc w:val="center"/>
              </w:trPr>
              <w:tc>
                <w:tcPr>
                  <w:tcW w:w="1838"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监测点位</w:t>
                  </w:r>
                </w:p>
              </w:tc>
              <w:tc>
                <w:tcPr>
                  <w:tcW w:w="885"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污染物</w:t>
                  </w:r>
                </w:p>
              </w:tc>
              <w:tc>
                <w:tcPr>
                  <w:tcW w:w="990"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平均时间</w:t>
                  </w:r>
                </w:p>
              </w:tc>
              <w:tc>
                <w:tcPr>
                  <w:tcW w:w="1575"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监测浓度范围（mg/m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p>
              </w:tc>
              <w:tc>
                <w:tcPr>
                  <w:tcW w:w="1185"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标准限值</w:t>
                  </w:r>
                  <w:r>
                    <w:rPr>
                      <w:rFonts w:hint="default" w:ascii="Times New Roman" w:hAnsi="Times New Roman" w:eastAsia="宋体" w:cs="Times New Roman"/>
                      <w:color w:val="auto"/>
                      <w:kern w:val="0"/>
                      <w:sz w:val="21"/>
                      <w:szCs w:val="21"/>
                      <w:highlight w:val="none"/>
                    </w:rPr>
                    <w:t>（mg/m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p>
              </w:tc>
              <w:tc>
                <w:tcPr>
                  <w:tcW w:w="1042"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超标率（%）</w:t>
                  </w:r>
                </w:p>
              </w:tc>
              <w:tc>
                <w:tcPr>
                  <w:tcW w:w="910"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1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b w:val="0"/>
                      <w:bCs w:val="0"/>
                      <w:color w:val="auto"/>
                      <w:sz w:val="21"/>
                      <w:szCs w:val="21"/>
                      <w:highlight w:val="none"/>
                      <w:vertAlign w:val="baseline"/>
                      <w:lang w:val="en-US" w:eastAsia="zh-CN"/>
                    </w:rPr>
                    <w:t>唐山市利国脱硫剂有限公司</w:t>
                  </w:r>
                </w:p>
              </w:tc>
              <w:tc>
                <w:tcPr>
                  <w:tcW w:w="88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TSP</w:t>
                  </w:r>
                </w:p>
              </w:tc>
              <w:tc>
                <w:tcPr>
                  <w:tcW w:w="99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snapToGrid w:val="0"/>
                      <w:color w:val="auto"/>
                      <w:kern w:val="0"/>
                      <w:sz w:val="21"/>
                      <w:szCs w:val="21"/>
                      <w:highlight w:val="none"/>
                    </w:rPr>
                  </w:pPr>
                  <w:r>
                    <w:rPr>
                      <w:rFonts w:hint="default" w:ascii="Times New Roman" w:hAnsi="Times New Roman" w:cs="Times New Roman"/>
                      <w:bCs/>
                      <w:snapToGrid w:val="0"/>
                      <w:color w:val="auto"/>
                      <w:kern w:val="0"/>
                      <w:sz w:val="21"/>
                      <w:szCs w:val="21"/>
                      <w:highlight w:val="none"/>
                    </w:rPr>
                    <w:t>24小时平均</w:t>
                  </w:r>
                </w:p>
              </w:tc>
              <w:tc>
                <w:tcPr>
                  <w:tcW w:w="1575"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0.101-0.119</w:t>
                  </w:r>
                </w:p>
              </w:tc>
              <w:tc>
                <w:tcPr>
                  <w:tcW w:w="118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0.3</w:t>
                  </w:r>
                </w:p>
              </w:tc>
              <w:tc>
                <w:tcPr>
                  <w:tcW w:w="104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0</w:t>
                  </w:r>
                </w:p>
              </w:tc>
              <w:tc>
                <w:tcPr>
                  <w:tcW w:w="91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snapToGrid w:val="0"/>
                      <w:color w:val="auto"/>
                      <w:kern w:val="0"/>
                      <w:sz w:val="21"/>
                      <w:szCs w:val="21"/>
                      <w:highlight w:val="none"/>
                    </w:rPr>
                  </w:pPr>
                  <w:r>
                    <w:rPr>
                      <w:rFonts w:hint="default" w:ascii="Times New Roman" w:hAnsi="Times New Roman" w:cs="Times New Roman"/>
                      <w:bCs/>
                      <w:snapToGrid w:val="0"/>
                      <w:color w:val="auto"/>
                      <w:kern w:val="0"/>
                      <w:sz w:val="21"/>
                      <w:szCs w:val="21"/>
                      <w:highlight w:val="none"/>
                    </w:rPr>
                    <w:t>达标</w:t>
                  </w:r>
                </w:p>
              </w:tc>
            </w:tr>
          </w:tbl>
          <w:p>
            <w:pPr>
              <w:spacing w:line="500" w:lineRule="exact"/>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rPr>
              <w:t>由</w:t>
            </w:r>
            <w:r>
              <w:rPr>
                <w:rFonts w:hint="default" w:ascii="Times New Roman" w:hAnsi="Times New Roman" w:cs="Times New Roman"/>
                <w:color w:val="auto"/>
                <w:kern w:val="0"/>
                <w:sz w:val="24"/>
                <w:szCs w:val="24"/>
                <w:highlight w:val="none"/>
                <w:lang w:val="en-US" w:eastAsia="zh-CN"/>
              </w:rPr>
              <w:t>上表</w:t>
            </w:r>
            <w:r>
              <w:rPr>
                <w:rFonts w:hint="default" w:ascii="Times New Roman" w:hAnsi="Times New Roman" w:cs="Times New Roman"/>
                <w:color w:val="auto"/>
                <w:kern w:val="0"/>
                <w:sz w:val="24"/>
                <w:szCs w:val="24"/>
                <w:highlight w:val="none"/>
              </w:rPr>
              <w:t>可知，监测点</w:t>
            </w:r>
            <w:r>
              <w:rPr>
                <w:rFonts w:hint="default" w:ascii="Times New Roman" w:hAnsi="Times New Roman" w:cs="Times New Roman"/>
                <w:color w:val="auto"/>
                <w:kern w:val="0"/>
                <w:sz w:val="24"/>
                <w:szCs w:val="24"/>
                <w:highlight w:val="none"/>
                <w:lang w:val="en-US" w:eastAsia="zh-CN"/>
              </w:rPr>
              <w:t>TSP监测参数</w:t>
            </w:r>
            <w:r>
              <w:rPr>
                <w:rFonts w:hint="default" w:ascii="Times New Roman" w:hAnsi="Times New Roman" w:cs="Times New Roman"/>
                <w:color w:val="auto"/>
                <w:kern w:val="0"/>
                <w:sz w:val="24"/>
                <w:szCs w:val="24"/>
                <w:highlight w:val="none"/>
              </w:rPr>
              <w:t>满足</w:t>
            </w:r>
            <w:r>
              <w:rPr>
                <w:rFonts w:hint="default" w:ascii="Times New Roman" w:hAnsi="Times New Roman" w:cs="Times New Roman"/>
                <w:color w:val="auto"/>
                <w:sz w:val="24"/>
                <w:szCs w:val="24"/>
                <w:highlight w:val="none"/>
                <w:lang w:val="en-US" w:eastAsia="zh-CN"/>
              </w:rPr>
              <w:t>《环境空气质量标准》（GB3095-2012）表2二级标准及其修改单要求</w:t>
            </w:r>
            <w:r>
              <w:rPr>
                <w:rFonts w:hint="default" w:ascii="Times New Roman" w:hAnsi="Times New Roman" w:cs="Times New Roman"/>
                <w:color w:val="auto"/>
                <w:sz w:val="24"/>
                <w:szCs w:val="24"/>
                <w:highlight w:val="none"/>
              </w:rPr>
              <w:t>。</w:t>
            </w:r>
          </w:p>
          <w:p>
            <w:pPr>
              <w:spacing w:line="500" w:lineRule="exact"/>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二</w:t>
            </w:r>
            <w:r>
              <w:rPr>
                <w:rFonts w:hint="default" w:ascii="Times New Roman" w:hAnsi="Times New Roman" w:cs="Times New Roman"/>
                <w:b/>
                <w:color w:val="auto"/>
                <w:sz w:val="24"/>
                <w:szCs w:val="24"/>
                <w:highlight w:val="none"/>
              </w:rPr>
              <w:t>、地表水环境</w:t>
            </w:r>
          </w:p>
          <w:p>
            <w:pPr>
              <w:spacing w:line="480" w:lineRule="exact"/>
              <w:ind w:firstLine="472" w:firstLineChars="197"/>
              <w:rPr>
                <w:rFonts w:hint="default" w:ascii="Times New Roman" w:hAnsi="Times New Roman" w:eastAsia="宋体" w:cs="Times New Roman"/>
                <w:color w:val="auto"/>
                <w:spacing w:val="4"/>
                <w:kern w:val="0"/>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
              </w:rPr>
              <w:t>根据《202</w:t>
            </w:r>
            <w:r>
              <w:rPr>
                <w:rFonts w:hint="default" w:ascii="Times New Roman" w:hAnsi="Times New Roman" w:cs="Times New Roman"/>
                <w:color w:val="auto"/>
                <w:kern w:val="2"/>
                <w:sz w:val="24"/>
                <w:szCs w:val="24"/>
                <w:highlight w:val="none"/>
                <w:lang w:val="en-US" w:eastAsia="zh-CN" w:bidi="ar"/>
              </w:rPr>
              <w:t>2</w:t>
            </w:r>
            <w:r>
              <w:rPr>
                <w:rFonts w:hint="default" w:ascii="Times New Roman" w:hAnsi="Times New Roman" w:eastAsia="宋体" w:cs="Times New Roman"/>
                <w:color w:val="auto"/>
                <w:kern w:val="2"/>
                <w:sz w:val="24"/>
                <w:szCs w:val="24"/>
                <w:highlight w:val="none"/>
                <w:lang w:val="en-US" w:eastAsia="zh-CN" w:bidi="ar"/>
              </w:rPr>
              <w:t>年唐山市生态环境状况公报》，2021 年全市共有地表水国、省考监测断面11个，分布于陡河、滦河、还乡河等8条河流，</w:t>
            </w:r>
            <w:r>
              <w:rPr>
                <w:rFonts w:hint="default" w:ascii="Times New Roman" w:hAnsi="Times New Roman" w:cs="Times New Roman"/>
                <w:color w:val="auto"/>
                <w:sz w:val="24"/>
                <w:highlight w:val="none"/>
                <w:lang w:val="en-US" w:eastAsia="zh-CN"/>
              </w:rPr>
              <w:t>2018-2021年全市地表水国、省考断面优良水体（Ⅰ-Ⅲ类）比例持续保持在72.73%以上，且无劣Ⅴ类水体</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kern w:val="2"/>
                <w:sz w:val="24"/>
                <w:szCs w:val="24"/>
                <w:highlight w:val="none"/>
                <w:lang w:val="en-US" w:eastAsia="zh-CN" w:bidi="ar"/>
              </w:rPr>
              <w:t>本项目所在区域地表水体为</w:t>
            </w:r>
            <w:r>
              <w:rPr>
                <w:rFonts w:hint="eastAsia" w:cs="Times New Roman"/>
                <w:color w:val="auto"/>
                <w:kern w:val="2"/>
                <w:sz w:val="24"/>
                <w:szCs w:val="24"/>
                <w:highlight w:val="none"/>
                <w:lang w:val="en-US" w:eastAsia="zh-CN" w:bidi="ar"/>
              </w:rPr>
              <w:t>陡河</w:t>
            </w:r>
            <w:r>
              <w:rPr>
                <w:rFonts w:hint="default" w:ascii="Times New Roman" w:hAnsi="Times New Roman" w:eastAsia="宋体" w:cs="Times New Roman"/>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SA"/>
              </w:rPr>
              <w:t>水质</w:t>
            </w:r>
            <w:r>
              <w:rPr>
                <w:rFonts w:hint="default" w:ascii="Times New Roman" w:hAnsi="Times New Roman" w:cs="Times New Roman"/>
                <w:color w:val="auto"/>
                <w:sz w:val="24"/>
                <w:highlight w:val="none"/>
                <w:lang w:val="en-US" w:eastAsia="zh-CN"/>
              </w:rPr>
              <w:t>满足Ⅱ类水质标</w:t>
            </w:r>
            <w:r>
              <w:rPr>
                <w:rFonts w:hint="default" w:ascii="Times New Roman" w:hAnsi="Times New Roman" w:cs="Times New Roman" w:eastAsiaTheme="minorEastAsia"/>
                <w:bCs/>
                <w:color w:val="auto"/>
                <w:kern w:val="2"/>
                <w:sz w:val="24"/>
                <w:szCs w:val="24"/>
                <w:highlight w:val="none"/>
                <w:lang w:val="en-US" w:eastAsia="zh-CN" w:bidi="ar-SA"/>
              </w:rPr>
              <w:t>准。</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2" w:firstLineChars="200"/>
              <w:jc w:val="both"/>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lang w:val="en-US" w:eastAsia="zh-CN"/>
              </w:rPr>
              <w:t>三、</w:t>
            </w:r>
            <w:r>
              <w:rPr>
                <w:rFonts w:hint="default" w:ascii="Times New Roman" w:hAnsi="Times New Roman" w:cs="Times New Roman"/>
                <w:b/>
                <w:color w:val="auto"/>
                <w:sz w:val="24"/>
                <w:szCs w:val="24"/>
                <w:highlight w:val="none"/>
              </w:rPr>
              <w:t>声环境质量现状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cs="Times New Roman"/>
                <w:bCs/>
                <w:color w:val="auto"/>
                <w:sz w:val="24"/>
                <w:szCs w:val="24"/>
                <w:highlight w:val="none"/>
              </w:rPr>
            </w:pPr>
            <w:r>
              <w:rPr>
                <w:rFonts w:hint="default" w:ascii="Times New Roman" w:hAnsi="Times New Roman" w:eastAsia="宋体" w:cs="Times New Roman"/>
                <w:color w:val="auto"/>
                <w:sz w:val="24"/>
                <w:szCs w:val="24"/>
                <w:highlight w:val="none"/>
              </w:rPr>
              <w:t>项目厂界外50米无居民区等声环境保护目标</w:t>
            </w:r>
            <w:r>
              <w:rPr>
                <w:rFonts w:hint="default" w:ascii="Times New Roman" w:hAnsi="Times New Roman" w:cs="Times New Roman"/>
                <w:bCs/>
                <w:color w:val="auto"/>
                <w:sz w:val="24"/>
                <w:szCs w:val="24"/>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200" w:right="0" w:rightChars="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四</w:t>
            </w: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eastAsia="zh-CN"/>
              </w:rPr>
              <w:t>土壤、</w:t>
            </w:r>
            <w:r>
              <w:rPr>
                <w:rFonts w:hint="default" w:ascii="Times New Roman" w:hAnsi="Times New Roman" w:cs="Times New Roman"/>
                <w:b/>
                <w:color w:val="auto"/>
                <w:sz w:val="24"/>
                <w:szCs w:val="24"/>
                <w:highlight w:val="none"/>
                <w:lang w:val="en-US" w:eastAsia="zh-CN"/>
              </w:rPr>
              <w:t>地下水</w:t>
            </w:r>
            <w:r>
              <w:rPr>
                <w:rFonts w:hint="default" w:ascii="Times New Roman" w:hAnsi="Times New Roman" w:cs="Times New Roman"/>
                <w:b/>
                <w:color w:val="auto"/>
                <w:sz w:val="24"/>
                <w:szCs w:val="24"/>
                <w:highlight w:val="none"/>
              </w:rPr>
              <w:t>环境</w:t>
            </w:r>
            <w:r>
              <w:rPr>
                <w:rFonts w:hint="default" w:ascii="Times New Roman" w:hAnsi="Times New Roman" w:cs="Times New Roman"/>
                <w:b/>
                <w:color w:val="auto"/>
                <w:sz w:val="24"/>
                <w:szCs w:val="24"/>
                <w:highlight w:val="none"/>
                <w:lang w:val="en-US" w:eastAsia="zh-CN"/>
              </w:rPr>
              <w:t>质量现状</w:t>
            </w:r>
          </w:p>
          <w:p>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rPr>
                <w:rFonts w:hint="default" w:ascii="Times New Roman" w:hAnsi="Times New Roman" w:cs="Times New Roman"/>
                <w:color w:val="auto"/>
                <w:kern w:val="24"/>
                <w:sz w:val="24"/>
                <w:szCs w:val="24"/>
                <w:highlight w:val="none"/>
                <w:lang w:eastAsia="zh-CN"/>
              </w:rPr>
            </w:pPr>
            <w:r>
              <w:rPr>
                <w:rFonts w:hint="default" w:ascii="Times New Roman" w:hAnsi="Times New Roman" w:cs="Times New Roman"/>
                <w:color w:val="auto"/>
                <w:kern w:val="24"/>
                <w:sz w:val="24"/>
                <w:szCs w:val="24"/>
                <w:highlight w:val="none"/>
                <w:lang w:eastAsia="zh-CN"/>
              </w:rPr>
              <w:t>根据</w:t>
            </w:r>
            <w:r>
              <w:rPr>
                <w:rFonts w:hint="default" w:ascii="Times New Roman" w:hAnsi="Times New Roman" w:cs="Times New Roman"/>
                <w:color w:val="auto"/>
                <w:kern w:val="24"/>
                <w:sz w:val="24"/>
                <w:szCs w:val="24"/>
                <w:highlight w:val="none"/>
                <w:lang w:val="en-US" w:eastAsia="zh-CN"/>
              </w:rPr>
              <w:t>关于印发《建设项目环境影响报告表》内容、格式及编制技术指南的通知（环办环评</w:t>
            </w:r>
            <w:r>
              <w:rPr>
                <w:rFonts w:hint="default" w:ascii="Times New Roman" w:hAnsi="Times New Roman" w:eastAsia="微软雅黑" w:cs="Times New Roman"/>
                <w:color w:val="auto"/>
                <w:kern w:val="24"/>
                <w:sz w:val="24"/>
                <w:szCs w:val="24"/>
                <w:highlight w:val="none"/>
                <w:lang w:val="en-US" w:eastAsia="zh-CN"/>
              </w:rPr>
              <w:t>〔</w:t>
            </w:r>
            <w:r>
              <w:rPr>
                <w:rFonts w:hint="default" w:ascii="Times New Roman" w:hAnsi="Times New Roman" w:cs="Times New Roman"/>
                <w:color w:val="auto"/>
                <w:kern w:val="24"/>
                <w:sz w:val="24"/>
                <w:szCs w:val="24"/>
                <w:highlight w:val="none"/>
                <w:lang w:val="en-US" w:eastAsia="zh-CN"/>
              </w:rPr>
              <w:t>2020</w:t>
            </w:r>
            <w:r>
              <w:rPr>
                <w:rFonts w:hint="default" w:ascii="Times New Roman" w:hAnsi="Times New Roman" w:eastAsia="微软雅黑" w:cs="Times New Roman"/>
                <w:color w:val="auto"/>
                <w:kern w:val="24"/>
                <w:sz w:val="24"/>
                <w:szCs w:val="24"/>
                <w:highlight w:val="none"/>
                <w:lang w:val="en-US" w:eastAsia="zh-CN"/>
              </w:rPr>
              <w:t>］</w:t>
            </w:r>
            <w:r>
              <w:rPr>
                <w:rFonts w:hint="default" w:ascii="Times New Roman" w:hAnsi="Times New Roman" w:cs="Times New Roman"/>
                <w:color w:val="auto"/>
                <w:kern w:val="24"/>
                <w:sz w:val="24"/>
                <w:szCs w:val="24"/>
                <w:highlight w:val="none"/>
                <w:lang w:val="en-US" w:eastAsia="zh-CN"/>
              </w:rPr>
              <w:t>33号）附件</w:t>
            </w:r>
            <w:r>
              <w:rPr>
                <w:rFonts w:hint="default" w:ascii="Times New Roman" w:hAnsi="Times New Roman" w:cs="Times New Roman"/>
                <w:color w:val="auto"/>
                <w:kern w:val="24"/>
                <w:sz w:val="24"/>
                <w:szCs w:val="24"/>
                <w:highlight w:val="none"/>
                <w:lang w:eastAsia="zh-CN"/>
              </w:rPr>
              <w:t>建设项目环境影响报告表编制技术指南（</w:t>
            </w:r>
            <w:r>
              <w:rPr>
                <w:rFonts w:hint="default" w:ascii="Times New Roman" w:hAnsi="Times New Roman" w:cs="Times New Roman"/>
                <w:color w:val="auto"/>
                <w:kern w:val="24"/>
                <w:sz w:val="24"/>
                <w:szCs w:val="24"/>
                <w:highlight w:val="none"/>
                <w:lang w:val="en-US" w:eastAsia="zh-CN"/>
              </w:rPr>
              <w:t>污染影响类）</w:t>
            </w:r>
            <w:r>
              <w:rPr>
                <w:rFonts w:hint="default" w:ascii="Times New Roman" w:hAnsi="Times New Roman" w:cs="Times New Roman"/>
                <w:color w:val="auto"/>
                <w:kern w:val="24"/>
                <w:sz w:val="24"/>
                <w:szCs w:val="24"/>
                <w:highlight w:val="none"/>
                <w:lang w:eastAsia="zh-CN"/>
              </w:rPr>
              <w:t>，原则上不开展</w:t>
            </w:r>
            <w:r>
              <w:rPr>
                <w:rFonts w:hint="default" w:ascii="Times New Roman" w:hAnsi="Times New Roman" w:cs="Times New Roman"/>
                <w:color w:val="auto"/>
                <w:kern w:val="24"/>
                <w:sz w:val="24"/>
                <w:szCs w:val="24"/>
                <w:highlight w:val="none"/>
                <w:lang w:val="en-US" w:eastAsia="zh-CN"/>
              </w:rPr>
              <w:t>土壤、地下水</w:t>
            </w:r>
            <w:r>
              <w:rPr>
                <w:rFonts w:hint="default" w:ascii="Times New Roman" w:hAnsi="Times New Roman" w:cs="Times New Roman"/>
                <w:color w:val="auto"/>
                <w:kern w:val="24"/>
                <w:sz w:val="24"/>
                <w:szCs w:val="24"/>
                <w:highlight w:val="none"/>
                <w:lang w:eastAsia="zh-CN"/>
              </w:rPr>
              <w:t>环境质量现状调查，</w:t>
            </w:r>
            <w:r>
              <w:rPr>
                <w:rFonts w:hint="default" w:ascii="Times New Roman" w:hAnsi="Times New Roman" w:cs="Times New Roman"/>
                <w:color w:val="auto"/>
                <w:kern w:val="24"/>
                <w:sz w:val="24"/>
                <w:szCs w:val="24"/>
                <w:highlight w:val="none"/>
                <w:lang w:val="en-US" w:eastAsia="zh-CN"/>
              </w:rPr>
              <w:t>本项目</w:t>
            </w:r>
            <w:r>
              <w:rPr>
                <w:rFonts w:hint="default" w:ascii="Times New Roman" w:hAnsi="Times New Roman" w:cs="Times New Roman"/>
                <w:color w:val="auto"/>
                <w:kern w:val="24"/>
                <w:sz w:val="24"/>
                <w:szCs w:val="24"/>
                <w:highlight w:val="none"/>
                <w:lang w:eastAsia="zh-CN"/>
              </w:rPr>
              <w:t>不再开展</w:t>
            </w:r>
            <w:r>
              <w:rPr>
                <w:rFonts w:hint="default" w:ascii="Times New Roman" w:hAnsi="Times New Roman" w:cs="Times New Roman"/>
                <w:color w:val="auto"/>
                <w:kern w:val="24"/>
                <w:sz w:val="24"/>
                <w:szCs w:val="24"/>
                <w:highlight w:val="none"/>
                <w:lang w:val="en-US" w:eastAsia="zh-CN"/>
              </w:rPr>
              <w:t>土壤、地下水环境质量</w:t>
            </w:r>
            <w:r>
              <w:rPr>
                <w:rFonts w:hint="default" w:ascii="Times New Roman" w:hAnsi="Times New Roman" w:cs="Times New Roman"/>
                <w:color w:val="auto"/>
                <w:kern w:val="24"/>
                <w:sz w:val="24"/>
                <w:szCs w:val="24"/>
                <w:highlight w:val="none"/>
                <w:lang w:eastAsia="zh-CN"/>
              </w:rPr>
              <w:t>现状监测。</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五、生态环境质量现状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sz w:val="24"/>
                <w:lang w:eastAsia="zh-CN"/>
              </w:rPr>
              <w:t>。本工程不会对周边生态环境造成明显影响。</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评价区目前生态环境特征为天然植被覆盖较少，物种较少，主要植被均为农作物，生态环境质量一般</w:t>
            </w:r>
            <w:r>
              <w:rPr>
                <w:rFonts w:hint="default" w:ascii="Times New Roman" w:hAnsi="Times New Roman" w:cs="Times New Roman"/>
                <w:color w:val="auto"/>
                <w:sz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rPr>
                <w:rFonts w:hint="default" w:ascii="Times New Roman" w:hAnsi="Times New Roman" w:eastAsia="宋体" w:cs="Times New Roman"/>
                <w:color w:val="auto"/>
                <w:kern w:val="24"/>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7" w:hRule="atLeast"/>
          <w:jc w:val="center"/>
        </w:trPr>
        <w:tc>
          <w:tcPr>
            <w:tcW w:w="452" w:type="dxa"/>
            <w:noWrap w:val="0"/>
            <w:vAlign w:val="center"/>
          </w:tcPr>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环境</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保护</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 w:val="24"/>
                <w:highlight w:val="none"/>
              </w:rPr>
              <w:t>目标</w:t>
            </w:r>
          </w:p>
        </w:tc>
        <w:tc>
          <w:tcPr>
            <w:tcW w:w="8609" w:type="dxa"/>
            <w:noWrap w:val="0"/>
            <w:vAlign w:val="top"/>
          </w:tcPr>
          <w:p>
            <w:pPr>
              <w:spacing w:line="480" w:lineRule="exact"/>
              <w:ind w:firstLine="480" w:firstLineChars="200"/>
              <w:rPr>
                <w:rFonts w:hint="default" w:ascii="Times New Roman" w:hAnsi="Times New Roman" w:cs="Times New Roman"/>
                <w:color w:val="auto"/>
                <w:sz w:val="24"/>
                <w:szCs w:val="24"/>
                <w:highlight w:val="none"/>
              </w:rPr>
            </w:pPr>
          </w:p>
          <w:p>
            <w:pPr>
              <w:spacing w:line="480" w:lineRule="exact"/>
              <w:ind w:firstLine="480" w:firstLineChars="200"/>
              <w:rPr>
                <w:rFonts w:hint="default" w:ascii="Times New Roman" w:hAnsi="Times New Roman" w:cs="Times New Roman"/>
                <w:color w:val="auto"/>
                <w:sz w:val="24"/>
                <w:szCs w:val="24"/>
                <w:highlight w:val="none"/>
              </w:rPr>
            </w:pPr>
          </w:p>
          <w:p>
            <w:pPr>
              <w:spacing w:line="480" w:lineRule="exact"/>
              <w:ind w:firstLine="480" w:firstLineChars="200"/>
              <w:rPr>
                <w:rFonts w:hint="default" w:ascii="Times New Roman" w:hAnsi="Times New Roman" w:cs="Times New Roman"/>
                <w:color w:val="auto"/>
                <w:sz w:val="24"/>
                <w:szCs w:val="24"/>
                <w:highlight w:val="none"/>
              </w:rPr>
            </w:pPr>
          </w:p>
          <w:p>
            <w:pPr>
              <w:spacing w:line="480" w:lineRule="exact"/>
              <w:ind w:firstLine="480" w:firstLineChars="200"/>
              <w:rPr>
                <w:rFonts w:hint="default" w:ascii="Times New Roman" w:hAnsi="Times New Roman" w:cs="Times New Roman"/>
                <w:color w:val="auto"/>
                <w:sz w:val="24"/>
                <w:szCs w:val="24"/>
                <w:highlight w:val="none"/>
              </w:rPr>
            </w:pPr>
          </w:p>
          <w:p>
            <w:pPr>
              <w:pStyle w:val="4"/>
              <w:rPr>
                <w:rFonts w:hint="default" w:ascii="Times New Roman" w:hAnsi="Times New Roman" w:cs="Times New Roman"/>
                <w:color w:val="auto"/>
              </w:rPr>
            </w:pPr>
          </w:p>
          <w:p>
            <w:pPr>
              <w:spacing w:line="480" w:lineRule="exact"/>
              <w:ind w:firstLine="480" w:firstLineChars="200"/>
              <w:rPr>
                <w:rFonts w:hint="default" w:ascii="Times New Roman" w:hAnsi="Times New Roman" w:cs="Times New Roman"/>
                <w:color w:val="auto"/>
                <w:sz w:val="24"/>
                <w:szCs w:val="24"/>
                <w:highlight w:val="none"/>
              </w:rPr>
            </w:pPr>
          </w:p>
          <w:p>
            <w:pPr>
              <w:spacing w:line="480" w:lineRule="exact"/>
              <w:ind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本项目位于</w:t>
            </w:r>
            <w:r>
              <w:rPr>
                <w:rFonts w:hint="eastAsia" w:cs="Times New Roman"/>
                <w:color w:val="auto"/>
                <w:sz w:val="24"/>
                <w:highlight w:val="none"/>
                <w:lang w:val="en-US" w:eastAsia="zh-CN"/>
              </w:rPr>
              <w:t>唐山市开平区栗园镇荆各庄村西南，唐山市开平云鹏陶瓷材料有限公司东侧</w:t>
            </w:r>
            <w:r>
              <w:rPr>
                <w:rFonts w:hint="default" w:ascii="Times New Roman" w:hAnsi="Times New Roman" w:cs="Times New Roman"/>
                <w:color w:val="auto"/>
                <w:kern w:val="0"/>
                <w:sz w:val="24"/>
                <w:szCs w:val="24"/>
                <w:highlight w:val="none"/>
              </w:rPr>
              <w:t>。项目厂界外500米范围内无地下水集中饮用水水源和热水、矿泉水、温泉等特殊地下水资源，</w:t>
            </w:r>
            <w:r>
              <w:rPr>
                <w:rFonts w:hint="default" w:ascii="Times New Roman" w:hAnsi="Times New Roman" w:cs="Times New Roman"/>
                <w:color w:val="auto"/>
                <w:kern w:val="0"/>
                <w:sz w:val="24"/>
                <w:szCs w:val="24"/>
                <w:highlight w:val="none"/>
                <w:lang w:val="en-US" w:eastAsia="zh-CN"/>
              </w:rPr>
              <w:t>不涉及</w:t>
            </w:r>
            <w:r>
              <w:rPr>
                <w:rFonts w:hint="default" w:ascii="Times New Roman" w:hAnsi="Times New Roman" w:cs="Times New Roman"/>
                <w:color w:val="auto"/>
                <w:kern w:val="0"/>
                <w:sz w:val="24"/>
                <w:szCs w:val="24"/>
                <w:highlight w:val="none"/>
              </w:rPr>
              <w:t>地下水环境保护目标。</w:t>
            </w:r>
          </w:p>
          <w:p>
            <w:pPr>
              <w:spacing w:line="480" w:lineRule="exact"/>
              <w:ind w:firstLine="480" w:firstLineChars="200"/>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根据资料收集及现场踏勘主要环境保护目标分布见</w:t>
            </w:r>
            <w:r>
              <w:rPr>
                <w:rFonts w:hint="default" w:ascii="Times New Roman" w:hAnsi="Times New Roman" w:cs="Times New Roman"/>
                <w:color w:val="auto"/>
                <w:sz w:val="24"/>
                <w:szCs w:val="24"/>
                <w:highlight w:val="none"/>
                <w:lang w:eastAsia="zh-CN"/>
              </w:rPr>
              <w:t>下表</w:t>
            </w:r>
            <w:r>
              <w:rPr>
                <w:rFonts w:hint="default" w:ascii="Times New Roman" w:hAnsi="Times New Roman" w:cs="Times New Roman"/>
                <w:color w:val="auto"/>
                <w:sz w:val="24"/>
                <w:szCs w:val="24"/>
                <w:highlight w:val="none"/>
                <w:lang w:val="en-US" w:eastAsia="zh-CN"/>
              </w:rPr>
              <w:t>。</w:t>
            </w:r>
          </w:p>
          <w:p>
            <w:pPr>
              <w:adjustRightInd w:val="0"/>
              <w:snapToGrid w:val="0"/>
              <w:spacing w:line="480" w:lineRule="exact"/>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rPr>
              <w:t>表</w:t>
            </w:r>
            <w:r>
              <w:rPr>
                <w:rFonts w:hint="eastAsia" w:cs="Times New Roman"/>
                <w:b/>
                <w:bCs/>
                <w:color w:val="auto"/>
                <w:sz w:val="24"/>
                <w:highlight w:val="none"/>
                <w:lang w:val="en-US" w:eastAsia="zh-CN"/>
              </w:rPr>
              <w:t>14</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lang w:val="en-US" w:eastAsia="zh-CN"/>
              </w:rPr>
              <w:t xml:space="preserve"> 环境</w:t>
            </w:r>
            <w:r>
              <w:rPr>
                <w:rFonts w:hint="default" w:ascii="Times New Roman" w:hAnsi="Times New Roman" w:eastAsia="宋体" w:cs="Times New Roman"/>
                <w:b/>
                <w:bCs/>
                <w:color w:val="auto"/>
                <w:sz w:val="24"/>
                <w:highlight w:val="none"/>
              </w:rPr>
              <w:t>保护目标及保护</w:t>
            </w:r>
            <w:r>
              <w:rPr>
                <w:rFonts w:hint="default" w:ascii="Times New Roman" w:hAnsi="Times New Roman" w:eastAsia="宋体" w:cs="Times New Roman"/>
                <w:b/>
                <w:bCs/>
                <w:color w:val="auto"/>
                <w:sz w:val="24"/>
                <w:highlight w:val="none"/>
                <w:lang w:val="en-US" w:eastAsia="zh-CN"/>
              </w:rPr>
              <w:t>级别</w:t>
            </w:r>
          </w:p>
          <w:tbl>
            <w:tblPr>
              <w:tblStyle w:val="20"/>
              <w:tblW w:w="84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036"/>
              <w:gridCol w:w="1109"/>
              <w:gridCol w:w="1004"/>
              <w:gridCol w:w="789"/>
              <w:gridCol w:w="581"/>
              <w:gridCol w:w="767"/>
              <w:gridCol w:w="730"/>
              <w:gridCol w:w="1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75"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环境要素</w:t>
                  </w:r>
                </w:p>
              </w:tc>
              <w:tc>
                <w:tcPr>
                  <w:tcW w:w="1036"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名称</w:t>
                  </w:r>
                </w:p>
              </w:tc>
              <w:tc>
                <w:tcPr>
                  <w:tcW w:w="2113"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坐标</w:t>
                  </w:r>
                </w:p>
              </w:tc>
              <w:tc>
                <w:tcPr>
                  <w:tcW w:w="789"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保护内容</w:t>
                  </w:r>
                </w:p>
              </w:tc>
              <w:tc>
                <w:tcPr>
                  <w:tcW w:w="581" w:type="dxa"/>
                  <w:vMerge w:val="restart"/>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eastAsia="zh-CN"/>
                    </w:rPr>
                    <w:t>人数</w:t>
                  </w:r>
                  <w:r>
                    <w:rPr>
                      <w:rFonts w:hint="default" w:ascii="Times New Roman" w:hAnsi="Times New Roman" w:cs="Times New Roman"/>
                      <w:b w:val="0"/>
                      <w:bCs/>
                      <w:color w:val="auto"/>
                      <w:szCs w:val="21"/>
                      <w:highlight w:val="none"/>
                      <w:lang w:val="en-US" w:eastAsia="zh-CN"/>
                    </w:rPr>
                    <w:t>/人</w:t>
                  </w:r>
                </w:p>
              </w:tc>
              <w:tc>
                <w:tcPr>
                  <w:tcW w:w="767"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相对厂址位置</w:t>
                  </w:r>
                </w:p>
              </w:tc>
              <w:tc>
                <w:tcPr>
                  <w:tcW w:w="730"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相对厂界距离/m</w:t>
                  </w:r>
                </w:p>
              </w:tc>
              <w:tc>
                <w:tcPr>
                  <w:tcW w:w="1838" w:type="dxa"/>
                  <w:vMerge w:val="restart"/>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Cs w:val="21"/>
                      <w:highlight w:val="none"/>
                    </w:rPr>
                    <w:t>环境功能区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75"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103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1109"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经度</w:t>
                  </w:r>
                </w:p>
              </w:tc>
              <w:tc>
                <w:tcPr>
                  <w:tcW w:w="100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Cs w:val="21"/>
                      <w:highlight w:val="none"/>
                      <w:lang w:eastAsia="zh-CN"/>
                    </w:rPr>
                  </w:pPr>
                  <w:r>
                    <w:rPr>
                      <w:rFonts w:hint="default" w:ascii="Times New Roman" w:hAnsi="Times New Roman" w:cs="Times New Roman"/>
                      <w:b w:val="0"/>
                      <w:bCs/>
                      <w:color w:val="auto"/>
                      <w:szCs w:val="21"/>
                      <w:highlight w:val="none"/>
                      <w:lang w:val="en-US" w:eastAsia="zh-CN"/>
                    </w:rPr>
                    <w:t>纬度</w:t>
                  </w:r>
                </w:p>
              </w:tc>
              <w:tc>
                <w:tcPr>
                  <w:tcW w:w="789"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581"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767"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730"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rPr>
                  </w:pPr>
                </w:p>
              </w:tc>
              <w:tc>
                <w:tcPr>
                  <w:tcW w:w="1838"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75" w:type="dxa"/>
                  <w:tcBorders>
                    <w:tl2br w:val="nil"/>
                    <w:tr2bl w:val="nil"/>
                  </w:tcBorders>
                  <w:noWrap w:val="0"/>
                  <w:vAlign w:val="center"/>
                </w:tcPr>
                <w:p>
                  <w:pPr>
                    <w:bidi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大气环境</w:t>
                  </w:r>
                </w:p>
              </w:tc>
              <w:tc>
                <w:tcPr>
                  <w:tcW w:w="6016" w:type="dxa"/>
                  <w:gridSpan w:val="7"/>
                  <w:tcBorders>
                    <w:tl2br w:val="nil"/>
                    <w:tr2bl w:val="nil"/>
                  </w:tcBorders>
                  <w:noWrap w:val="0"/>
                  <w:vAlign w:val="center"/>
                </w:tcPr>
                <w:p>
                  <w:pPr>
                    <w:bidi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项目区域厂界外50</w:t>
                  </w:r>
                  <w:r>
                    <w:rPr>
                      <w:rFonts w:hint="default" w:ascii="Times New Roman" w:hAnsi="Times New Roman" w:cs="Times New Roman"/>
                      <w:b w:val="0"/>
                      <w:bCs w:val="0"/>
                      <w:color w:val="auto"/>
                      <w:kern w:val="0"/>
                      <w:sz w:val="21"/>
                      <w:szCs w:val="21"/>
                      <w:highlight w:val="none"/>
                      <w:lang w:val="en-US" w:eastAsia="zh-CN" w:bidi="ar-SA"/>
                    </w:rPr>
                    <w:t>0</w:t>
                  </w:r>
                  <w:r>
                    <w:rPr>
                      <w:rFonts w:hint="default" w:ascii="Times New Roman" w:hAnsi="Times New Roman" w:eastAsia="宋体" w:cs="Times New Roman"/>
                      <w:b w:val="0"/>
                      <w:bCs w:val="0"/>
                      <w:color w:val="auto"/>
                      <w:kern w:val="0"/>
                      <w:sz w:val="21"/>
                      <w:szCs w:val="21"/>
                      <w:highlight w:val="none"/>
                      <w:lang w:val="en-US" w:eastAsia="zh-CN" w:bidi="ar-SA"/>
                    </w:rPr>
                    <w:t>m</w:t>
                  </w:r>
                  <w:r>
                    <w:rPr>
                      <w:rFonts w:hint="default" w:ascii="Times New Roman" w:hAnsi="Times New Roman" w:cs="Times New Roman"/>
                      <w:b w:val="0"/>
                      <w:bCs w:val="0"/>
                      <w:color w:val="auto"/>
                      <w:kern w:val="0"/>
                      <w:sz w:val="21"/>
                      <w:szCs w:val="21"/>
                      <w:highlight w:val="none"/>
                      <w:lang w:val="en-US" w:eastAsia="zh-CN" w:bidi="ar-SA"/>
                    </w:rPr>
                    <w:t>内的大气环境</w:t>
                  </w:r>
                </w:p>
              </w:tc>
              <w:tc>
                <w:tcPr>
                  <w:tcW w:w="1838" w:type="dxa"/>
                  <w:tcBorders>
                    <w:tl2br w:val="nil"/>
                    <w:tr2bl w:val="nil"/>
                  </w:tcBorders>
                  <w:noWrap w:val="0"/>
                  <w:vAlign w:val="center"/>
                </w:tcPr>
                <w:p>
                  <w:pPr>
                    <w:bidi w:val="0"/>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《环境空气质量标准》（GB3095-2012）表2二级标准及其修改单要求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75"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声环境</w:t>
                  </w:r>
                </w:p>
              </w:tc>
              <w:tc>
                <w:tcPr>
                  <w:tcW w:w="6016" w:type="dxa"/>
                  <w:gridSpan w:val="7"/>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项目区域厂界外50m无声环境保护目标</w:t>
                  </w:r>
                </w:p>
              </w:tc>
              <w:tc>
                <w:tcPr>
                  <w:tcW w:w="1838"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《声环境质量标准》（GB3096-2008）</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类区</w:t>
                  </w:r>
                  <w:r>
                    <w:rPr>
                      <w:rFonts w:hint="default" w:ascii="Times New Roman" w:hAnsi="Times New Roman" w:cs="Times New Roman"/>
                      <w:color w:val="auto"/>
                      <w:highlight w:val="none"/>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75"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地下水环境</w:t>
                  </w:r>
                </w:p>
              </w:tc>
              <w:tc>
                <w:tcPr>
                  <w:tcW w:w="6016" w:type="dxa"/>
                  <w:gridSpan w:val="7"/>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rPr>
                    <w:t>厂界外500米范围内无地下水集中式饮用水水源和热水、矿泉水、温泉等特殊地下水资源保护目标；项目所在区域及周边水井</w:t>
                  </w:r>
                </w:p>
              </w:tc>
              <w:tc>
                <w:tcPr>
                  <w:tcW w:w="1838"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rPr>
                    <w:t>《地下水质量标准》（GB/T 14848-2017）Ⅲ类标准要求</w:t>
                  </w:r>
                </w:p>
              </w:tc>
            </w:tr>
          </w:tbl>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2" w:type="dxa"/>
            <w:noWrap w:val="0"/>
            <w:tcMar>
              <w:left w:w="28" w:type="dxa"/>
              <w:right w:w="28" w:type="dxa"/>
            </w:tcMar>
            <w:vAlign w:val="center"/>
          </w:tcPr>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污染</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物排</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放控</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制标</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 w:val="24"/>
                <w:highlight w:val="none"/>
              </w:rPr>
              <w:t>准</w:t>
            </w:r>
          </w:p>
        </w:tc>
        <w:tc>
          <w:tcPr>
            <w:tcW w:w="8609" w:type="dxa"/>
            <w:noWrap w:val="0"/>
            <w:vAlign w:val="top"/>
          </w:tcPr>
          <w:p>
            <w:pPr>
              <w:pStyle w:val="12"/>
              <w:numPr>
                <w:ilvl w:val="0"/>
                <w:numId w:val="0"/>
              </w:numPr>
              <w:spacing w:line="460" w:lineRule="exact"/>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一、施工期：</w:t>
            </w:r>
          </w:p>
          <w:p>
            <w:pPr>
              <w:pStyle w:val="12"/>
              <w:numPr>
                <w:ilvl w:val="0"/>
                <w:numId w:val="0"/>
              </w:num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1、废气：施工期扬尘执行河北省地方标准《施工场地扬尘排放标准》（DB13/2934—2019）施工场地扬尘排放浓度限值（与当地PM</w:t>
            </w:r>
            <w:r>
              <w:rPr>
                <w:rFonts w:hint="eastAsia" w:ascii="Times New Roman" w:hAnsi="Times New Roman" w:eastAsia="宋体" w:cs="Times New Roman"/>
                <w:color w:val="auto"/>
                <w:sz w:val="24"/>
                <w:szCs w:val="24"/>
                <w:highlight w:val="none"/>
                <w:vertAlign w:val="subscript"/>
                <w:lang w:val="en-US" w:eastAsia="zh-CN"/>
              </w:rPr>
              <w:t>10</w:t>
            </w:r>
            <w:r>
              <w:rPr>
                <w:rFonts w:hint="eastAsia" w:ascii="Times New Roman" w:hAnsi="Times New Roman" w:eastAsia="宋体" w:cs="Times New Roman"/>
                <w:color w:val="auto"/>
                <w:sz w:val="24"/>
                <w:szCs w:val="24"/>
                <w:highlight w:val="none"/>
                <w:lang w:val="en-US" w:eastAsia="zh-CN"/>
              </w:rPr>
              <w:t>小时平均浓度差值）：0.08mg/m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kern w:val="0"/>
                <w:sz w:val="24"/>
                <w:szCs w:val="24"/>
                <w:highlight w:val="none"/>
              </w:rPr>
              <w:t>。</w:t>
            </w:r>
          </w:p>
          <w:p>
            <w:pPr>
              <w:pStyle w:val="12"/>
              <w:numPr>
                <w:ilvl w:val="0"/>
                <w:numId w:val="4"/>
              </w:num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噪声：</w:t>
            </w:r>
            <w:r>
              <w:rPr>
                <w:rFonts w:hint="default" w:ascii="Times New Roman" w:hAnsi="Times New Roman" w:eastAsia="宋体" w:cs="Times New Roman"/>
                <w:color w:val="auto"/>
                <w:sz w:val="24"/>
                <w:szCs w:val="24"/>
                <w:highlight w:val="none"/>
                <w:lang w:val="en-US" w:eastAsia="zh-CN"/>
              </w:rPr>
              <w:t>执行《建筑施工场界环境噪声排放标准》（GB12523-2011）：昼间：70dB（A）；夜间：55dB（A）</w:t>
            </w:r>
          </w:p>
          <w:p>
            <w:pPr>
              <w:pStyle w:val="12"/>
              <w:numPr>
                <w:ilvl w:val="0"/>
                <w:numId w:val="0"/>
              </w:numPr>
              <w:spacing w:line="460" w:lineRule="exact"/>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二、营运期</w:t>
            </w:r>
          </w:p>
          <w:p>
            <w:pPr>
              <w:pStyle w:val="12"/>
              <w:numPr>
                <w:ilvl w:val="0"/>
                <w:numId w:val="0"/>
              </w:numPr>
              <w:spacing w:line="460" w:lineRule="exact"/>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1、废气</w:t>
            </w:r>
            <w:r>
              <w:rPr>
                <w:rFonts w:hint="default" w:ascii="Times New Roman" w:hAnsi="Times New Roman" w:cs="Times New Roman"/>
                <w:color w:val="auto"/>
                <w:sz w:val="24"/>
                <w:szCs w:val="24"/>
                <w:highlight w:val="none"/>
                <w:lang w:val="en-US" w:eastAsia="zh-CN"/>
              </w:rPr>
              <w:t>：</w:t>
            </w:r>
          </w:p>
          <w:p>
            <w:pPr>
              <w:pStyle w:val="12"/>
              <w:numPr>
                <w:ilvl w:val="0"/>
                <w:numId w:val="0"/>
              </w:numPr>
              <w:spacing w:line="460" w:lineRule="exact"/>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szCs w:val="24"/>
                <w:highlight w:val="none"/>
                <w:lang w:val="en-US" w:eastAsia="zh-CN"/>
              </w:rPr>
              <w:t>上料、</w:t>
            </w:r>
            <w:r>
              <w:rPr>
                <w:rFonts w:hint="eastAsia" w:ascii="Times New Roman" w:hAnsi="Times New Roman" w:eastAsia="宋体"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布料、筛分、色选、包装工序</w:t>
            </w:r>
            <w:r>
              <w:rPr>
                <w:rFonts w:hint="default" w:ascii="Times New Roman" w:hAnsi="Times New Roman" w:cs="Times New Roman"/>
                <w:color w:val="auto"/>
                <w:sz w:val="24"/>
                <w:szCs w:val="24"/>
                <w:highlight w:val="none"/>
                <w:lang w:val="en-US" w:eastAsia="zh-CN"/>
              </w:rPr>
              <w:t>产生的颗粒物执行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产生的颗粒物执行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原料库、碳化机</w:t>
            </w:r>
            <w:r>
              <w:rPr>
                <w:rFonts w:hint="default" w:ascii="Times New Roman" w:hAnsi="Times New Roman" w:cs="Times New Roman"/>
                <w:color w:val="auto"/>
                <w:sz w:val="24"/>
                <w:szCs w:val="24"/>
                <w:highlight w:val="none"/>
                <w:lang w:val="en-US" w:eastAsia="zh-CN"/>
              </w:rPr>
              <w:t>产生的臭气浓度执行</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sz w:val="24"/>
                <w:lang w:eastAsia="zh-CN"/>
              </w:rPr>
              <w:t>恶臭污染物排放标准</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G</w:t>
            </w:r>
            <w:r>
              <w:rPr>
                <w:rFonts w:hint="default" w:ascii="Times New Roman" w:hAnsi="Times New Roman" w:eastAsia="宋体" w:cs="Times New Roman"/>
                <w:color w:val="auto"/>
                <w:sz w:val="24"/>
              </w:rPr>
              <w:t>B</w:t>
            </w:r>
            <w:r>
              <w:rPr>
                <w:rFonts w:hint="default" w:ascii="Times New Roman" w:hAnsi="Times New Roman" w:cs="Times New Roman"/>
                <w:color w:val="auto"/>
                <w:sz w:val="24"/>
                <w:lang w:val="en-US" w:eastAsia="zh-CN"/>
              </w:rPr>
              <w:t>14554</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93</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eastAsia="zh-CN"/>
              </w:rPr>
              <w:t>有</w:t>
            </w:r>
            <w:r>
              <w:rPr>
                <w:rFonts w:hint="default" w:ascii="Times New Roman" w:hAnsi="Times New Roman" w:eastAsia="宋体" w:cs="Times New Roman"/>
                <w:color w:val="auto"/>
                <w:sz w:val="24"/>
                <w:lang w:eastAsia="zh-CN"/>
              </w:rPr>
              <w:t>组织</w:t>
            </w:r>
            <w:r>
              <w:rPr>
                <w:rFonts w:hint="default" w:ascii="Times New Roman" w:hAnsi="Times New Roman" w:cs="Times New Roman"/>
                <w:color w:val="auto"/>
                <w:sz w:val="24"/>
                <w:lang w:eastAsia="zh-CN"/>
              </w:rPr>
              <w:t>臭气浓度</w:t>
            </w:r>
            <w:r>
              <w:rPr>
                <w:rFonts w:hint="default" w:ascii="Times New Roman" w:hAnsi="Times New Roman" w:cs="Times New Roman"/>
                <w:color w:val="auto"/>
                <w:sz w:val="24"/>
                <w:lang w:val="en-US" w:eastAsia="zh-CN"/>
              </w:rPr>
              <w:t>2000</w:t>
            </w:r>
            <w:r>
              <w:rPr>
                <w:rFonts w:hint="default" w:ascii="Times New Roman" w:hAnsi="Times New Roman" w:cs="Times New Roman"/>
                <w:color w:val="auto"/>
                <w:kern w:val="0"/>
                <w:sz w:val="24"/>
                <w:lang w:val="en-US" w:eastAsia="zh-CN" w:bidi="ar"/>
              </w:rPr>
              <w:t>无量纲</w:t>
            </w:r>
            <w:r>
              <w:rPr>
                <w:rFonts w:hint="default" w:ascii="Times New Roman" w:hAnsi="Times New Roman" w:eastAsia="宋体" w:cs="Times New Roman"/>
                <w:color w:val="auto"/>
                <w:sz w:val="24"/>
                <w:lang w:val="en-US" w:eastAsia="zh-CN"/>
              </w:rPr>
              <w:t>要求</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kern w:val="0"/>
                <w:sz w:val="24"/>
                <w:lang w:bidi="ar"/>
              </w:rPr>
              <w:t>厂界无组织排放的</w:t>
            </w:r>
            <w:r>
              <w:rPr>
                <w:rFonts w:hint="default" w:ascii="Times New Roman" w:hAnsi="Times New Roman" w:cs="Times New Roman"/>
                <w:color w:val="auto"/>
                <w:kern w:val="0"/>
                <w:sz w:val="24"/>
                <w:lang w:eastAsia="zh-CN" w:bidi="ar"/>
              </w:rPr>
              <w:t>颗</w:t>
            </w:r>
            <w:r>
              <w:rPr>
                <w:rFonts w:hint="default" w:ascii="Times New Roman" w:hAnsi="Times New Roman" w:eastAsia="宋体" w:cs="Times New Roman"/>
                <w:color w:val="auto"/>
                <w:sz w:val="24"/>
                <w:lang w:eastAsia="zh-CN"/>
              </w:rPr>
              <w:t>粒物</w:t>
            </w:r>
            <w:r>
              <w:rPr>
                <w:rFonts w:hint="default" w:ascii="Times New Roman" w:hAnsi="Times New Roman" w:cs="Times New Roman"/>
                <w:color w:val="auto"/>
                <w:sz w:val="24"/>
                <w:szCs w:val="24"/>
                <w:highlight w:val="none"/>
                <w:lang w:val="en-US" w:eastAsia="zh-CN"/>
              </w:rPr>
              <w:t>执行</w:t>
            </w:r>
            <w:r>
              <w:rPr>
                <w:rFonts w:hint="eastAsia" w:ascii="Times New Roman" w:hAnsi="Times New Roman" w:cs="Times New Roman"/>
                <w:color w:val="auto"/>
                <w:sz w:val="24"/>
                <w:szCs w:val="24"/>
                <w:highlight w:val="none"/>
                <w:lang w:val="en-US" w:eastAsia="zh-CN"/>
              </w:rPr>
              <w:t>《大气污染物综合排放标准》（GB16297-1996）表2 中无组织颗粒物排放标准1.0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厂界无组织排放的</w:t>
            </w:r>
            <w:r>
              <w:rPr>
                <w:rFonts w:hint="default" w:ascii="Times New Roman" w:hAnsi="Times New Roman" w:cs="Times New Roman"/>
                <w:color w:val="auto"/>
                <w:kern w:val="0"/>
                <w:sz w:val="24"/>
                <w:lang w:eastAsia="zh-CN" w:bidi="ar"/>
              </w:rPr>
              <w:t>臭气浓度</w:t>
            </w:r>
            <w:r>
              <w:rPr>
                <w:rFonts w:hint="default" w:ascii="Times New Roman" w:hAnsi="Times New Roman" w:cs="Times New Roman"/>
                <w:color w:val="auto"/>
                <w:kern w:val="0"/>
                <w:sz w:val="24"/>
                <w:lang w:bidi="ar"/>
              </w:rPr>
              <w:t>浓度</w:t>
            </w:r>
            <w:r>
              <w:rPr>
                <w:rFonts w:hint="default" w:ascii="Times New Roman" w:hAnsi="Times New Roman" w:cs="Times New Roman"/>
                <w:color w:val="auto"/>
                <w:kern w:val="0"/>
                <w:sz w:val="24"/>
                <w:lang w:eastAsia="zh-CN" w:bidi="ar"/>
              </w:rPr>
              <w:t>执行《</w:t>
            </w:r>
            <w:r>
              <w:rPr>
                <w:rFonts w:hint="default" w:ascii="Times New Roman" w:hAnsi="Times New Roman" w:cs="Times New Roman"/>
                <w:color w:val="auto"/>
                <w:sz w:val="24"/>
                <w:lang w:eastAsia="zh-CN"/>
              </w:rPr>
              <w:t>恶臭污染物排放标准</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G</w:t>
            </w:r>
            <w:r>
              <w:rPr>
                <w:rFonts w:hint="default" w:ascii="Times New Roman" w:hAnsi="Times New Roman" w:eastAsia="宋体" w:cs="Times New Roman"/>
                <w:color w:val="auto"/>
                <w:sz w:val="24"/>
              </w:rPr>
              <w:t>B</w:t>
            </w:r>
            <w:r>
              <w:rPr>
                <w:rFonts w:hint="default" w:ascii="Times New Roman" w:hAnsi="Times New Roman" w:cs="Times New Roman"/>
                <w:color w:val="auto"/>
                <w:sz w:val="24"/>
                <w:lang w:val="en-US" w:eastAsia="zh-CN"/>
              </w:rPr>
              <w:t>14554</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93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无组织</w:t>
            </w:r>
            <w:r>
              <w:rPr>
                <w:rFonts w:hint="default" w:ascii="Times New Roman" w:hAnsi="Times New Roman" w:cs="Times New Roman"/>
                <w:color w:val="auto"/>
                <w:sz w:val="24"/>
                <w:lang w:eastAsia="zh-CN"/>
              </w:rPr>
              <w:t>臭气浓度</w:t>
            </w:r>
            <w:r>
              <w:rPr>
                <w:rFonts w:hint="default" w:ascii="Times New Roman" w:hAnsi="Times New Roman" w:cs="Times New Roman"/>
                <w:color w:val="auto"/>
                <w:sz w:val="24"/>
                <w:lang w:val="en-US" w:eastAsia="zh-CN"/>
              </w:rPr>
              <w:t>20</w:t>
            </w:r>
            <w:r>
              <w:rPr>
                <w:rFonts w:hint="default" w:ascii="Times New Roman" w:hAnsi="Times New Roman" w:cs="Times New Roman"/>
                <w:color w:val="auto"/>
                <w:kern w:val="0"/>
                <w:sz w:val="24"/>
                <w:lang w:val="en-US" w:eastAsia="zh-CN" w:bidi="ar"/>
              </w:rPr>
              <w:t>无量纲</w:t>
            </w:r>
            <w:r>
              <w:rPr>
                <w:rFonts w:hint="default" w:ascii="Times New Roman" w:hAnsi="Times New Roman" w:eastAsia="宋体" w:cs="Times New Roman"/>
                <w:color w:val="auto"/>
                <w:sz w:val="24"/>
                <w:lang w:val="en-US" w:eastAsia="zh-CN"/>
              </w:rPr>
              <w:t>要求</w:t>
            </w:r>
            <w:r>
              <w:rPr>
                <w:rFonts w:hint="default" w:ascii="Times New Roman" w:hAnsi="Times New Roman" w:eastAsia="宋体" w:cs="Times New Roman"/>
                <w:color w:val="auto"/>
                <w:sz w:val="24"/>
              </w:rPr>
              <w:t>。</w:t>
            </w:r>
          </w:p>
          <w:p>
            <w:pPr>
              <w:pStyle w:val="12"/>
              <w:numPr>
                <w:ilvl w:val="0"/>
                <w:numId w:val="0"/>
              </w:numPr>
              <w:spacing w:line="460" w:lineRule="exact"/>
              <w:ind w:firstLine="480" w:firstLineChars="200"/>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噪声</w:t>
            </w:r>
            <w:r>
              <w:rPr>
                <w:rFonts w:hint="eastAsia" w:ascii="Times New Roman" w:hAnsi="Times New Roman" w:cs="Times New Roman"/>
                <w:color w:val="auto"/>
                <w:sz w:val="24"/>
                <w:szCs w:val="24"/>
                <w:highlight w:val="none"/>
                <w:lang w:eastAsia="zh-CN"/>
              </w:rPr>
              <w:t>：</w:t>
            </w:r>
          </w:p>
          <w:p>
            <w:pPr>
              <w:pStyle w:val="12"/>
              <w:numPr>
                <w:ilvl w:val="0"/>
                <w:numId w:val="0"/>
              </w:numPr>
              <w:spacing w:line="460" w:lineRule="exact"/>
              <w:ind w:firstLine="480" w:firstLineChars="200"/>
              <w:rPr>
                <w:rFonts w:hint="default" w:ascii="Times New Roman" w:hAnsi="Times New Roman" w:cs="Times New Roman"/>
                <w:color w:val="auto"/>
                <w:spacing w:val="0"/>
                <w:sz w:val="24"/>
                <w:szCs w:val="24"/>
                <w:highlight w:val="none"/>
              </w:rPr>
            </w:pP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pacing w:val="0"/>
                <w:sz w:val="24"/>
                <w:szCs w:val="24"/>
                <w:highlight w:val="none"/>
              </w:rPr>
              <w:t>厂界噪声执行《工业企业厂界环境噪声排放标准》（GB12348-2008）中</w:t>
            </w:r>
            <w:r>
              <w:rPr>
                <w:rFonts w:hint="default" w:ascii="Times New Roman" w:hAnsi="Times New Roman" w:cs="Times New Roman"/>
                <w:color w:val="auto"/>
                <w:spacing w:val="0"/>
                <w:sz w:val="24"/>
                <w:szCs w:val="24"/>
                <w:highlight w:val="none"/>
                <w:lang w:val="en-US" w:eastAsia="zh-CN"/>
              </w:rPr>
              <w:t>2</w:t>
            </w:r>
            <w:r>
              <w:rPr>
                <w:rFonts w:hint="default" w:ascii="Times New Roman" w:hAnsi="Times New Roman" w:cs="Times New Roman"/>
                <w:color w:val="auto"/>
                <w:spacing w:val="0"/>
                <w:sz w:val="24"/>
                <w:szCs w:val="24"/>
                <w:highlight w:val="none"/>
              </w:rPr>
              <w:t>类标准。</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15</w:t>
            </w:r>
            <w:r>
              <w:rPr>
                <w:rFonts w:hint="default" w:ascii="Times New Roman" w:hAnsi="Times New Roman" w:cs="Times New Roman"/>
                <w:b/>
                <w:bCs/>
                <w:color w:val="auto"/>
                <w:kern w:val="2"/>
                <w:sz w:val="24"/>
                <w:szCs w:val="24"/>
                <w:highlight w:val="none"/>
                <w:lang w:val="en-US" w:eastAsia="zh-CN" w:bidi="ar-SA"/>
              </w:rPr>
              <w:t xml:space="preserve">   </w:t>
            </w:r>
            <w:r>
              <w:rPr>
                <w:rFonts w:hint="default" w:ascii="Times New Roman" w:hAnsi="Times New Roman" w:eastAsia="宋体" w:cs="Times New Roman"/>
                <w:b/>
                <w:bCs/>
                <w:color w:val="auto"/>
                <w:kern w:val="2"/>
                <w:sz w:val="24"/>
                <w:szCs w:val="24"/>
                <w:highlight w:val="none"/>
                <w:lang w:val="en-US" w:eastAsia="zh-CN" w:bidi="ar-SA"/>
              </w:rPr>
              <w:t xml:space="preserve"> 工业企业厂界环境噪声排放标准</w:t>
            </w:r>
          </w:p>
          <w:tbl>
            <w:tblPr>
              <w:tblStyle w:val="20"/>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58"/>
              <w:gridCol w:w="1154"/>
              <w:gridCol w:w="1316"/>
              <w:gridCol w:w="1432"/>
              <w:gridCol w:w="36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203" w:type="pct"/>
                  <w:gridSpan w:val="2"/>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w:t>
                  </w:r>
                </w:p>
              </w:tc>
              <w:tc>
                <w:tcPr>
                  <w:tcW w:w="787" w:type="pct"/>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标准值</w:t>
                  </w:r>
                </w:p>
              </w:tc>
              <w:tc>
                <w:tcPr>
                  <w:tcW w:w="856" w:type="pct"/>
                  <w:tcBorders>
                    <w:tl2br w:val="nil"/>
                    <w:tr2bl w:val="nil"/>
                  </w:tcBorders>
                  <w:noWrap w:val="0"/>
                  <w:vAlign w:val="top"/>
                </w:tcPr>
                <w:p>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2153" w:type="pct"/>
                  <w:tcBorders>
                    <w:tl2br w:val="nil"/>
                    <w:tr2bl w:val="nil"/>
                  </w:tcBorders>
                  <w:noWrap w:val="0"/>
                  <w:vAlign w:val="top"/>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标准来源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jc w:val="center"/>
              </w:trPr>
              <w:tc>
                <w:tcPr>
                  <w:tcW w:w="513" w:type="pct"/>
                  <w:vMerge w:val="restart"/>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690" w:type="pct"/>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昼间</w:t>
                  </w:r>
                </w:p>
              </w:tc>
              <w:tc>
                <w:tcPr>
                  <w:tcW w:w="787" w:type="pct"/>
                  <w:tcBorders>
                    <w:tl2br w:val="nil"/>
                    <w:tr2bl w:val="nil"/>
                  </w:tcBorders>
                  <w:noWrap w:val="0"/>
                  <w:vAlign w:val="center"/>
                </w:tcPr>
                <w:p>
                  <w:pPr>
                    <w:spacing w:line="36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60</w:t>
                  </w:r>
                </w:p>
              </w:tc>
              <w:tc>
                <w:tcPr>
                  <w:tcW w:w="856" w:type="pct"/>
                  <w:tcBorders>
                    <w:tl2br w:val="nil"/>
                    <w:tr2bl w:val="nil"/>
                  </w:tcBorders>
                  <w:noWrap w:val="0"/>
                  <w:vAlign w:val="center"/>
                </w:tcPr>
                <w:p>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dB(A)</w:t>
                  </w:r>
                </w:p>
              </w:tc>
              <w:tc>
                <w:tcPr>
                  <w:tcW w:w="2153" w:type="pct"/>
                  <w:vMerge w:val="restart"/>
                  <w:tcBorders>
                    <w:tl2br w:val="nil"/>
                    <w:tr2bl w:val="nil"/>
                  </w:tcBorders>
                  <w:noWrap w:val="0"/>
                  <w:vAlign w:val="top"/>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《工业企业厂界环境噪声排放标准》（GB12348-2008）中</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类标准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0" w:hRule="atLeast"/>
                <w:jc w:val="center"/>
              </w:trPr>
              <w:tc>
                <w:tcPr>
                  <w:tcW w:w="513" w:type="pct"/>
                  <w:vMerge w:val="continue"/>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p>
              </w:tc>
              <w:tc>
                <w:tcPr>
                  <w:tcW w:w="690" w:type="pct"/>
                  <w:tcBorders>
                    <w:tl2br w:val="nil"/>
                    <w:tr2bl w:val="nil"/>
                  </w:tcBorders>
                  <w:noWrap w:val="0"/>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夜间</w:t>
                  </w:r>
                </w:p>
              </w:tc>
              <w:tc>
                <w:tcPr>
                  <w:tcW w:w="787" w:type="pct"/>
                  <w:tcBorders>
                    <w:tl2br w:val="nil"/>
                    <w:tr2bl w:val="nil"/>
                  </w:tcBorders>
                  <w:noWrap w:val="0"/>
                  <w:vAlign w:val="center"/>
                </w:tcPr>
                <w:p>
                  <w:pPr>
                    <w:spacing w:line="36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856" w:type="pct"/>
                  <w:tcBorders>
                    <w:tl2br w:val="nil"/>
                    <w:tr2bl w:val="nil"/>
                  </w:tcBorders>
                  <w:noWrap w:val="0"/>
                  <w:vAlign w:val="center"/>
                </w:tcPr>
                <w:p>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dB(A)</w:t>
                  </w:r>
                </w:p>
              </w:tc>
              <w:tc>
                <w:tcPr>
                  <w:tcW w:w="2153" w:type="pct"/>
                  <w:vMerge w:val="continue"/>
                  <w:tcBorders>
                    <w:tl2br w:val="nil"/>
                    <w:tr2bl w:val="nil"/>
                  </w:tcBorders>
                  <w:noWrap w:val="0"/>
                  <w:vAlign w:val="top"/>
                </w:tcPr>
                <w:p>
                  <w:pPr>
                    <w:spacing w:line="360" w:lineRule="exact"/>
                    <w:jc w:val="center"/>
                    <w:rPr>
                      <w:rFonts w:hint="default" w:ascii="Times New Roman" w:hAnsi="Times New Roman" w:cs="Times New Roman"/>
                      <w:color w:val="auto"/>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、固体废物</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lang w:val="en-US" w:eastAsia="zh-CN"/>
              </w:rPr>
              <w:t>本项目产生的一般固体废物执行</w:t>
            </w:r>
            <w:r>
              <w:rPr>
                <w:rFonts w:hint="default" w:ascii="Times New Roman" w:hAnsi="Times New Roman" w:cs="Times New Roman"/>
                <w:color w:val="auto"/>
                <w:sz w:val="24"/>
              </w:rPr>
              <w:t>《中华人民共和国固体废物污染环境防治法》</w:t>
            </w:r>
            <w:r>
              <w:rPr>
                <w:rFonts w:hint="default" w:ascii="Times New Roman" w:hAnsi="Times New Roman" w:cs="Times New Roman"/>
                <w:color w:val="auto"/>
                <w:sz w:val="24"/>
                <w:lang w:eastAsia="zh-CN"/>
              </w:rPr>
              <w:t>相关规定</w:t>
            </w:r>
            <w:r>
              <w:rPr>
                <w:rFonts w:hint="default" w:ascii="Times New Roman" w:hAnsi="Times New Roman" w:cs="Times New Roman"/>
                <w:color w:val="auto"/>
                <w:sz w:val="24"/>
                <w:highlight w:val="none"/>
                <w:lang w:val="en-US" w:eastAsia="zh-CN"/>
              </w:rPr>
              <w:t>；危险废物执行</w:t>
            </w:r>
            <w:r>
              <w:rPr>
                <w:rFonts w:hint="default" w:ascii="Times New Roman" w:hAnsi="Times New Roman" w:eastAsia="宋体" w:cs="Times New Roman"/>
                <w:color w:val="auto"/>
                <w:kern w:val="24"/>
                <w:sz w:val="24"/>
                <w:szCs w:val="24"/>
                <w:highlight w:val="none"/>
                <w:lang w:val="en-US" w:eastAsia="zh-CN"/>
              </w:rPr>
              <w:t>《危险废物贮存污染控制标准》</w:t>
            </w:r>
            <w:r>
              <w:rPr>
                <w:rFonts w:hint="default" w:ascii="Times New Roman" w:hAnsi="Times New Roman" w:cs="Times New Roman"/>
                <w:color w:val="auto"/>
                <w:kern w:val="24"/>
                <w:sz w:val="24"/>
                <w:szCs w:val="24"/>
                <w:highlight w:val="none"/>
                <w:lang w:val="en-US" w:eastAsia="zh-CN"/>
              </w:rPr>
              <w:t>（</w:t>
            </w:r>
            <w:r>
              <w:rPr>
                <w:rFonts w:hint="default" w:ascii="Times New Roman" w:hAnsi="Times New Roman" w:eastAsia="宋体" w:cs="Times New Roman"/>
                <w:color w:val="auto"/>
                <w:kern w:val="24"/>
                <w:sz w:val="24"/>
                <w:szCs w:val="24"/>
                <w:highlight w:val="none"/>
                <w:lang w:val="en-US" w:eastAsia="zh-CN"/>
              </w:rPr>
              <w:t>GB18597-2023</w:t>
            </w:r>
            <w:r>
              <w:rPr>
                <w:rFonts w:hint="default" w:ascii="Times New Roman" w:hAnsi="Times New Roman" w:cs="Times New Roman"/>
                <w:color w:val="auto"/>
                <w:kern w:val="24"/>
                <w:sz w:val="24"/>
                <w:szCs w:val="24"/>
                <w:highlight w:val="none"/>
                <w:lang w:val="en-US" w:eastAsia="zh-CN"/>
              </w:rPr>
              <w:t>）</w:t>
            </w:r>
            <w:r>
              <w:rPr>
                <w:rFonts w:hint="eastAsia" w:cs="Times New Roman"/>
                <w:color w:val="auto"/>
                <w:kern w:val="24"/>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452" w:type="dxa"/>
            <w:noWrap w:val="0"/>
            <w:vAlign w:val="center"/>
          </w:tcPr>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总量</w:t>
            </w:r>
          </w:p>
          <w:p>
            <w:pPr>
              <w:adjustRightInd w:val="0"/>
              <w:snapToGrid w:val="0"/>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控制</w:t>
            </w:r>
          </w:p>
          <w:p>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 w:val="24"/>
                <w:highlight w:val="none"/>
              </w:rPr>
              <w:t>指标</w:t>
            </w:r>
          </w:p>
        </w:tc>
        <w:tc>
          <w:tcPr>
            <w:tcW w:w="8609" w:type="dxa"/>
            <w:noWrap w:val="0"/>
            <w:vAlign w:val="top"/>
          </w:tcPr>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p>
          <w:p>
            <w:pPr>
              <w:autoSpaceDE w:val="0"/>
              <w:autoSpaceDN w:val="0"/>
              <w:adjustRightInd w:val="0"/>
              <w:snapToGrid w:val="0"/>
              <w:spacing w:line="360" w:lineRule="auto"/>
              <w:jc w:val="left"/>
              <w:rPr>
                <w:rFonts w:hint="default" w:ascii="Times New Roman" w:hAnsi="Times New Roman" w:cs="Times New Roman"/>
                <w:color w:val="auto"/>
                <w:sz w:val="24"/>
              </w:rPr>
            </w:pP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国家环境保护“十三五”规划中，总量控制因子为COD、氨氮、烟尘、工业粉尘、SO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、工业固体废物，其中COD、SO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、氨氮和NO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为规定的考核指标。</w:t>
            </w:r>
          </w:p>
          <w:p>
            <w:pPr>
              <w:autoSpaceDE w:val="0"/>
              <w:autoSpaceDN w:val="0"/>
              <w:adjustRightInd w:val="0"/>
              <w:snapToGrid w:val="0"/>
              <w:spacing w:line="360" w:lineRule="auto"/>
              <w:ind w:firstLine="480" w:firstLineChars="200"/>
              <w:jc w:val="left"/>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参照《建设项目主要污染物排放总量指标审核及管理暂行办法》的通知（环发【2014】197号）中其他行业依照国家或地方污染物排放标准及单位产品基准排水量（行业最高允许排水量）、烟气量等予以核定。</w:t>
            </w: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（1）废水</w:t>
            </w:r>
          </w:p>
          <w:p>
            <w:pPr>
              <w:autoSpaceDE w:val="0"/>
              <w:autoSpaceDN w:val="0"/>
              <w:adjustRightInd w:val="0"/>
              <w:snapToGrid w:val="0"/>
              <w:spacing w:line="360" w:lineRule="auto"/>
              <w:ind w:firstLine="480" w:firstLineChars="200"/>
              <w:jc w:val="left"/>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项目</w:t>
            </w:r>
            <w:r>
              <w:rPr>
                <w:rFonts w:hint="default" w:ascii="Times New Roman" w:hAnsi="Times New Roman" w:cs="Times New Roman"/>
                <w:snapToGrid w:val="0"/>
                <w:color w:val="auto"/>
                <w:kern w:val="0"/>
                <w:sz w:val="24"/>
                <w:lang w:val="en-US" w:eastAsia="zh-CN"/>
              </w:rPr>
              <w:t>喷淋废水自然蒸发或进入产品。洗车废水循环使用，不外排。水浴除尘废水循环使用，不外排，冷却废水循环使用，不外排。本项目</w:t>
            </w:r>
            <w:r>
              <w:rPr>
                <w:rFonts w:hint="eastAsia" w:cs="Times New Roman"/>
                <w:snapToGrid w:val="0"/>
                <w:color w:val="auto"/>
                <w:kern w:val="0"/>
                <w:sz w:val="24"/>
                <w:lang w:val="en-US" w:eastAsia="zh-CN"/>
              </w:rPr>
              <w:t>无</w:t>
            </w:r>
            <w:r>
              <w:rPr>
                <w:rFonts w:hint="default" w:ascii="Times New Roman" w:hAnsi="Times New Roman" w:cs="Times New Roman"/>
                <w:snapToGrid w:val="0"/>
                <w:color w:val="auto"/>
                <w:kern w:val="0"/>
                <w:sz w:val="24"/>
                <w:lang w:val="en-US" w:eastAsia="zh-CN"/>
              </w:rPr>
              <w:t>生活污水排放</w:t>
            </w:r>
            <w:r>
              <w:rPr>
                <w:rFonts w:hint="default" w:ascii="Times New Roman" w:hAnsi="Times New Roman" w:cs="Times New Roman"/>
                <w:snapToGrid w:val="0"/>
                <w:color w:val="auto"/>
                <w:kern w:val="0"/>
                <w:sz w:val="24"/>
              </w:rPr>
              <w:t>。</w:t>
            </w: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（2）废气</w:t>
            </w:r>
          </w:p>
          <w:p>
            <w:pPr>
              <w:tabs>
                <w:tab w:val="left" w:pos="5040"/>
              </w:tabs>
              <w:adjustRightInd w:val="0"/>
              <w:snapToGrid w:val="0"/>
              <w:spacing w:line="360" w:lineRule="auto"/>
              <w:ind w:firstLine="480" w:firstLineChars="200"/>
              <w:rPr>
                <w:rFonts w:hint="default" w:ascii="Times New Roman" w:hAnsi="Times New Roman" w:eastAsia="宋体" w:cs="Times New Roman"/>
                <w:color w:val="auto"/>
                <w:sz w:val="24"/>
                <w:lang w:eastAsia="zh-CN" w:bidi="ar"/>
              </w:rPr>
            </w:pPr>
            <w:r>
              <w:rPr>
                <w:rFonts w:hint="default" w:ascii="Times New Roman" w:hAnsi="Times New Roman" w:cs="Times New Roman"/>
                <w:color w:val="auto"/>
                <w:sz w:val="24"/>
                <w:lang w:eastAsia="zh-CN" w:bidi="ar"/>
              </w:rPr>
              <w:t>本项目不燃烧燃料，</w:t>
            </w:r>
            <w:r>
              <w:rPr>
                <w:rFonts w:hint="eastAsia" w:cs="Times New Roman"/>
                <w:color w:val="auto"/>
                <w:sz w:val="24"/>
                <w:lang w:val="en-US" w:eastAsia="zh-CN"/>
              </w:rPr>
              <w:t>骨渣已经过粉碎、脱胶、脱硫、脱氮、脱脂处理后的残余骨渣，主要成分为磷、钙元素</w:t>
            </w:r>
            <w:r>
              <w:rPr>
                <w:rFonts w:hint="default" w:ascii="Times New Roman" w:hAnsi="Times New Roman" w:cs="Times New Roman"/>
                <w:color w:val="auto"/>
                <w:sz w:val="24"/>
                <w:lang w:eastAsia="zh-CN" w:bidi="ar"/>
              </w:rPr>
              <w:t>，故不涉及</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X</w:t>
            </w:r>
            <w:r>
              <w:rPr>
                <w:rFonts w:hint="default" w:ascii="Times New Roman" w:hAnsi="Times New Roman" w:cs="Times New Roman"/>
                <w:snapToGrid w:val="0"/>
                <w:color w:val="auto"/>
                <w:kern w:val="0"/>
                <w:sz w:val="24"/>
              </w:rPr>
              <w:t>。</w:t>
            </w:r>
          </w:p>
          <w:p>
            <w:pPr>
              <w:tabs>
                <w:tab w:val="left" w:pos="5040"/>
              </w:tabs>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本项目</w:t>
            </w:r>
            <w:r>
              <w:rPr>
                <w:rFonts w:hint="default" w:ascii="Times New Roman" w:hAnsi="Times New Roman" w:eastAsia="宋体" w:cs="Times New Roman"/>
                <w:color w:val="auto"/>
                <w:sz w:val="24"/>
                <w:szCs w:val="24"/>
                <w:highlight w:val="none"/>
                <w:lang w:val="en-US" w:eastAsia="zh-CN"/>
              </w:rPr>
              <w:t>上料、</w:t>
            </w:r>
            <w:r>
              <w:rPr>
                <w:rFonts w:hint="eastAsia" w:ascii="Times New Roman" w:hAnsi="Times New Roman" w:eastAsia="宋体"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w:t>
            </w:r>
            <w:r>
              <w:rPr>
                <w:rFonts w:hint="default" w:ascii="Times New Roman" w:hAnsi="Times New Roman" w:cs="Times New Roman"/>
                <w:color w:val="auto"/>
                <w:sz w:val="24"/>
                <w:szCs w:val="24"/>
                <w:highlight w:val="none"/>
                <w:lang w:val="en-US" w:eastAsia="zh-CN"/>
              </w:rPr>
              <w:t>、筛分、色选、包装工序产生的颗粒物执行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kern w:val="0"/>
                <w:sz w:val="24"/>
                <w:lang w:eastAsia="zh-CN" w:bidi="ar"/>
              </w:rPr>
              <w:t>。</w:t>
            </w:r>
            <w:r>
              <w:rPr>
                <w:rFonts w:hint="eastAsia"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产生的颗粒物执行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snapToGrid w:val="0"/>
                <w:color w:val="auto"/>
                <w:kern w:val="0"/>
                <w:sz w:val="24"/>
              </w:rPr>
              <w:t>。</w:t>
            </w:r>
          </w:p>
          <w:p>
            <w:pPr>
              <w:adjustRightInd w:val="0"/>
              <w:snapToGrid w:val="0"/>
              <w:spacing w:line="480" w:lineRule="exact"/>
              <w:jc w:val="left"/>
              <w:rPr>
                <w:rFonts w:hint="default" w:ascii="Times New Roman" w:hAnsi="Times New Roman" w:cs="Times New Roman"/>
                <w:color w:val="auto"/>
                <w:kern w:val="24"/>
                <w:sz w:val="24"/>
                <w:vertAlign w:val="baseline"/>
                <w:lang w:val="en-US" w:eastAsia="zh-CN"/>
              </w:rPr>
            </w:pPr>
            <w:r>
              <w:rPr>
                <w:rFonts w:hint="default" w:ascii="Times New Roman" w:hAnsi="Times New Roman" w:cs="Times New Roman"/>
                <w:color w:val="auto"/>
                <w:sz w:val="24"/>
              </w:rPr>
              <w:t>计算公式为颗粒物（t/a）</w:t>
            </w:r>
            <w:r>
              <w:rPr>
                <w:rFonts w:hint="default" w:ascii="Times New Roman" w:hAnsi="Times New Roman" w:cs="Times New Roman"/>
                <w:color w:val="auto"/>
                <w:kern w:val="24"/>
                <w:sz w:val="24"/>
              </w:rPr>
              <w:t>=</w:t>
            </w:r>
            <w:r>
              <w:rPr>
                <w:rFonts w:hint="eastAsia" w:cs="Times New Roman"/>
                <w:color w:val="auto"/>
                <w:kern w:val="24"/>
                <w:sz w:val="24"/>
                <w:lang w:val="en-US" w:eastAsia="zh-CN"/>
              </w:rPr>
              <w:t>30</w:t>
            </w:r>
            <w:r>
              <w:rPr>
                <w:rFonts w:hint="default" w:ascii="Times New Roman" w:hAnsi="Times New Roman" w:cs="Times New Roman"/>
                <w:color w:val="auto"/>
                <w:kern w:val="24"/>
                <w:sz w:val="24"/>
                <w:lang w:val="en-US" w:eastAsia="zh-CN"/>
              </w:rPr>
              <w:t>000</w:t>
            </w:r>
            <w:r>
              <w:rPr>
                <w:rFonts w:hint="default" w:ascii="Times New Roman" w:hAnsi="Times New Roman" w:cs="Times New Roman"/>
                <w:color w:val="auto"/>
                <w:kern w:val="24"/>
                <w:sz w:val="24"/>
              </w:rPr>
              <w:t>m</w:t>
            </w:r>
            <w:r>
              <w:rPr>
                <w:rFonts w:hint="default" w:ascii="Times New Roman" w:hAnsi="Times New Roman" w:cs="Times New Roman"/>
                <w:color w:val="auto"/>
                <w:kern w:val="24"/>
                <w:sz w:val="24"/>
                <w:vertAlign w:val="superscript"/>
              </w:rPr>
              <w:t>3</w:t>
            </w:r>
            <w:r>
              <w:rPr>
                <w:rFonts w:hint="default" w:ascii="Times New Roman" w:hAnsi="Times New Roman" w:cs="Times New Roman"/>
                <w:color w:val="auto"/>
                <w:kern w:val="24"/>
                <w:sz w:val="24"/>
              </w:rPr>
              <w:t>/a×</w:t>
            </w:r>
            <w:r>
              <w:rPr>
                <w:rFonts w:hint="default" w:ascii="Times New Roman" w:hAnsi="Times New Roman" w:cs="Times New Roman"/>
                <w:color w:val="auto"/>
                <w:kern w:val="24"/>
                <w:sz w:val="24"/>
                <w:lang w:val="en-US" w:eastAsia="zh-CN"/>
              </w:rPr>
              <w:t>10</w:t>
            </w:r>
            <w:r>
              <w:rPr>
                <w:rFonts w:hint="default" w:ascii="Times New Roman" w:hAnsi="Times New Roman" w:cs="Times New Roman"/>
                <w:color w:val="auto"/>
                <w:kern w:val="24"/>
                <w:sz w:val="24"/>
              </w:rPr>
              <w:t>mg/m</w:t>
            </w:r>
            <w:r>
              <w:rPr>
                <w:rFonts w:hint="default" w:ascii="Times New Roman" w:hAnsi="Times New Roman" w:cs="Times New Roman"/>
                <w:color w:val="auto"/>
                <w:kern w:val="24"/>
                <w:sz w:val="24"/>
                <w:vertAlign w:val="superscript"/>
              </w:rPr>
              <w:t>3</w:t>
            </w:r>
            <w:r>
              <w:rPr>
                <w:rFonts w:hint="default" w:ascii="Times New Roman" w:hAnsi="Times New Roman" w:cs="Times New Roman"/>
                <w:color w:val="auto"/>
                <w:sz w:val="24"/>
                <w:lang w:bidi="ar"/>
              </w:rPr>
              <w:t>×</w:t>
            </w:r>
            <w:r>
              <w:rPr>
                <w:rFonts w:hint="default" w:ascii="Times New Roman" w:hAnsi="Times New Roman" w:cs="Times New Roman"/>
                <w:color w:val="auto"/>
                <w:sz w:val="24"/>
                <w:lang w:val="en-US" w:eastAsia="zh-CN" w:bidi="ar"/>
              </w:rPr>
              <w:t>20</w:t>
            </w:r>
            <w:r>
              <w:rPr>
                <w:rFonts w:hint="default" w:ascii="Times New Roman" w:hAnsi="Times New Roman" w:cs="Times New Roman"/>
                <w:color w:val="auto"/>
                <w:sz w:val="24"/>
                <w:lang w:bidi="ar"/>
              </w:rPr>
              <w:t>00h/a</w:t>
            </w:r>
            <w:r>
              <w:rPr>
                <w:rFonts w:hint="default" w:ascii="Times New Roman" w:hAnsi="Times New Roman" w:cs="Times New Roman"/>
                <w:color w:val="auto"/>
                <w:kern w:val="24"/>
                <w:sz w:val="24"/>
              </w:rPr>
              <w:t>×10</w:t>
            </w:r>
            <w:r>
              <w:rPr>
                <w:rFonts w:hint="default" w:ascii="Times New Roman" w:hAnsi="Times New Roman" w:cs="Times New Roman"/>
                <w:color w:val="auto"/>
                <w:kern w:val="24"/>
                <w:sz w:val="24"/>
                <w:vertAlign w:val="superscript"/>
              </w:rPr>
              <w:t>-9</w:t>
            </w:r>
            <w:r>
              <w:rPr>
                <w:rFonts w:hint="default" w:ascii="Times New Roman" w:hAnsi="Times New Roman" w:cs="Times New Roman"/>
                <w:color w:val="auto"/>
                <w:kern w:val="24"/>
                <w:sz w:val="24"/>
                <w:vertAlign w:val="baseline"/>
                <w:lang w:val="en-US" w:eastAsia="zh-CN"/>
              </w:rPr>
              <w:t>+</w:t>
            </w:r>
          </w:p>
          <w:p>
            <w:pPr>
              <w:adjustRightInd w:val="0"/>
              <w:snapToGrid w:val="0"/>
              <w:spacing w:line="480" w:lineRule="exact"/>
              <w:ind w:firstLine="3360" w:firstLineChars="1400"/>
              <w:jc w:val="left"/>
              <w:rPr>
                <w:rFonts w:hint="default" w:ascii="Times New Roman" w:hAnsi="Times New Roman" w:cs="Times New Roman"/>
                <w:color w:val="auto"/>
                <w:sz w:val="24"/>
                <w:lang w:eastAsia="zh-CN" w:bidi="ar"/>
              </w:rPr>
            </w:pPr>
            <w:r>
              <w:rPr>
                <w:rFonts w:hint="default" w:ascii="Times New Roman" w:hAnsi="Times New Roman" w:cs="Times New Roman"/>
                <w:color w:val="auto"/>
                <w:kern w:val="24"/>
                <w:sz w:val="24"/>
                <w:lang w:val="en-US" w:eastAsia="zh-CN"/>
              </w:rPr>
              <w:t>10000</w:t>
            </w:r>
            <w:r>
              <w:rPr>
                <w:rFonts w:hint="default" w:ascii="Times New Roman" w:hAnsi="Times New Roman" w:cs="Times New Roman"/>
                <w:color w:val="auto"/>
                <w:kern w:val="24"/>
                <w:sz w:val="24"/>
              </w:rPr>
              <w:t>m</w:t>
            </w:r>
            <w:r>
              <w:rPr>
                <w:rFonts w:hint="default" w:ascii="Times New Roman" w:hAnsi="Times New Roman" w:cs="Times New Roman"/>
                <w:color w:val="auto"/>
                <w:kern w:val="24"/>
                <w:sz w:val="24"/>
                <w:vertAlign w:val="superscript"/>
              </w:rPr>
              <w:t>3</w:t>
            </w:r>
            <w:r>
              <w:rPr>
                <w:rFonts w:hint="default" w:ascii="Times New Roman" w:hAnsi="Times New Roman" w:cs="Times New Roman"/>
                <w:color w:val="auto"/>
                <w:kern w:val="24"/>
                <w:sz w:val="24"/>
              </w:rPr>
              <w:t>/a×</w:t>
            </w:r>
            <w:r>
              <w:rPr>
                <w:rFonts w:hint="default" w:ascii="Times New Roman" w:hAnsi="Times New Roman" w:cs="Times New Roman"/>
                <w:color w:val="auto"/>
                <w:kern w:val="24"/>
                <w:sz w:val="24"/>
                <w:lang w:val="en-US" w:eastAsia="zh-CN"/>
              </w:rPr>
              <w:t>10</w:t>
            </w:r>
            <w:r>
              <w:rPr>
                <w:rFonts w:hint="default" w:ascii="Times New Roman" w:hAnsi="Times New Roman" w:cs="Times New Roman"/>
                <w:color w:val="auto"/>
                <w:kern w:val="24"/>
                <w:sz w:val="24"/>
              </w:rPr>
              <w:t>mg/m</w:t>
            </w:r>
            <w:r>
              <w:rPr>
                <w:rFonts w:hint="default" w:ascii="Times New Roman" w:hAnsi="Times New Roman" w:cs="Times New Roman"/>
                <w:color w:val="auto"/>
                <w:kern w:val="24"/>
                <w:sz w:val="24"/>
                <w:vertAlign w:val="superscript"/>
              </w:rPr>
              <w:t>3</w:t>
            </w:r>
            <w:r>
              <w:rPr>
                <w:rFonts w:hint="default" w:ascii="Times New Roman" w:hAnsi="Times New Roman" w:cs="Times New Roman"/>
                <w:color w:val="auto"/>
                <w:sz w:val="24"/>
                <w:lang w:bidi="ar"/>
              </w:rPr>
              <w:t>×</w:t>
            </w:r>
            <w:r>
              <w:rPr>
                <w:rFonts w:hint="eastAsia" w:cs="Times New Roman"/>
                <w:color w:val="auto"/>
                <w:sz w:val="24"/>
                <w:lang w:val="en-US" w:eastAsia="zh-CN" w:bidi="ar"/>
              </w:rPr>
              <w:t>6250</w:t>
            </w:r>
            <w:r>
              <w:rPr>
                <w:rFonts w:hint="default" w:ascii="Times New Roman" w:hAnsi="Times New Roman" w:cs="Times New Roman"/>
                <w:color w:val="auto"/>
                <w:sz w:val="24"/>
                <w:lang w:bidi="ar"/>
              </w:rPr>
              <w:t>h/a</w:t>
            </w:r>
            <w:r>
              <w:rPr>
                <w:rFonts w:hint="default" w:ascii="Times New Roman" w:hAnsi="Times New Roman" w:cs="Times New Roman"/>
                <w:color w:val="auto"/>
                <w:kern w:val="24"/>
                <w:sz w:val="24"/>
              </w:rPr>
              <w:t>×10</w:t>
            </w:r>
            <w:r>
              <w:rPr>
                <w:rFonts w:hint="default" w:ascii="Times New Roman" w:hAnsi="Times New Roman" w:cs="Times New Roman"/>
                <w:color w:val="auto"/>
                <w:kern w:val="24"/>
                <w:sz w:val="24"/>
                <w:vertAlign w:val="superscript"/>
              </w:rPr>
              <w:t>-9</w:t>
            </w:r>
            <w:r>
              <w:rPr>
                <w:rFonts w:hint="default" w:ascii="Times New Roman" w:hAnsi="Times New Roman" w:cs="Times New Roman"/>
                <w:color w:val="auto"/>
                <w:kern w:val="24"/>
                <w:sz w:val="24"/>
              </w:rPr>
              <w:t>=</w:t>
            </w:r>
            <w:r>
              <w:rPr>
                <w:rFonts w:hint="eastAsia" w:cs="Times New Roman"/>
                <w:color w:val="auto"/>
                <w:kern w:val="24"/>
                <w:sz w:val="24"/>
                <w:lang w:val="en-US" w:eastAsia="zh-CN"/>
              </w:rPr>
              <w:t>1.225</w:t>
            </w:r>
            <w:r>
              <w:rPr>
                <w:rFonts w:hint="default" w:ascii="Times New Roman" w:hAnsi="Times New Roman" w:cs="Times New Roman"/>
                <w:color w:val="auto"/>
                <w:kern w:val="24"/>
                <w:sz w:val="24"/>
              </w:rPr>
              <w:t>t/a</w:t>
            </w: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lang w:val="de-DE"/>
              </w:rPr>
            </w:pP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val="de-DE"/>
              </w:rPr>
              <w:t>故本项目</w:t>
            </w:r>
            <w:r>
              <w:rPr>
                <w:rFonts w:hint="default" w:ascii="Times New Roman" w:hAnsi="Times New Roman" w:cs="Times New Roman"/>
                <w:color w:val="auto"/>
                <w:sz w:val="24"/>
              </w:rPr>
              <w:t>污染物总量控制建议指标如下：</w:t>
            </w:r>
          </w:p>
          <w:p>
            <w:pPr>
              <w:adjustRightInd w:val="0"/>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废气：SO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w:t>
            </w:r>
            <w:r>
              <w:rPr>
                <w:rFonts w:hint="default" w:ascii="Times New Roman" w:hAnsi="Times New Roman" w:cs="Times New Roman"/>
                <w:bCs/>
                <w:color w:val="auto"/>
                <w:sz w:val="24"/>
              </w:rPr>
              <w:t>t/a，氮氧化物—</w:t>
            </w:r>
            <w:r>
              <w:rPr>
                <w:rFonts w:hint="default" w:ascii="Times New Roman" w:hAnsi="Times New Roman" w:cs="Times New Roman"/>
                <w:bCs/>
                <w:color w:val="auto"/>
                <w:sz w:val="24"/>
                <w:lang w:val="en-US" w:eastAsia="zh-CN"/>
              </w:rPr>
              <w:t>0</w:t>
            </w:r>
            <w:r>
              <w:rPr>
                <w:rFonts w:hint="default" w:ascii="Times New Roman" w:hAnsi="Times New Roman" w:cs="Times New Roman"/>
                <w:bCs/>
                <w:color w:val="auto"/>
                <w:sz w:val="24"/>
              </w:rPr>
              <w:t>t/a；</w:t>
            </w:r>
            <w:r>
              <w:rPr>
                <w:rFonts w:hint="default" w:ascii="Times New Roman" w:hAnsi="Times New Roman" w:cs="Times New Roman"/>
                <w:color w:val="auto"/>
                <w:sz w:val="24"/>
              </w:rPr>
              <w:t>废水：COD—</w:t>
            </w:r>
            <w:r>
              <w:rPr>
                <w:rFonts w:hint="default" w:ascii="Times New Roman" w:hAnsi="Times New Roman" w:cs="Times New Roman"/>
                <w:color w:val="auto"/>
                <w:sz w:val="24"/>
                <w:lang w:bidi="ar"/>
              </w:rPr>
              <w:t>0</w:t>
            </w:r>
            <w:r>
              <w:rPr>
                <w:rFonts w:hint="default" w:ascii="Times New Roman" w:hAnsi="Times New Roman" w:cs="Times New Roman"/>
                <w:color w:val="auto"/>
                <w:sz w:val="24"/>
              </w:rPr>
              <w:t>t/a，氨氮</w:t>
            </w:r>
            <w:r>
              <w:rPr>
                <w:rFonts w:hint="default" w:ascii="Times New Roman" w:hAnsi="Times New Roman" w:cs="Times New Roman"/>
                <w:color w:val="auto"/>
                <w:sz w:val="24"/>
                <w:lang w:bidi="ar"/>
              </w:rPr>
              <w:t>—0t/a，</w:t>
            </w:r>
            <w:r>
              <w:rPr>
                <w:rFonts w:hint="default" w:ascii="Times New Roman" w:hAnsi="Times New Roman" w:cs="Times New Roman"/>
                <w:snapToGrid w:val="0"/>
                <w:color w:val="auto"/>
                <w:kern w:val="0"/>
                <w:sz w:val="24"/>
              </w:rPr>
              <w:t>特征污染物颗粒物</w:t>
            </w:r>
            <w:r>
              <w:rPr>
                <w:rFonts w:hint="default" w:ascii="Times New Roman" w:hAnsi="Times New Roman" w:cs="Times New Roman"/>
                <w:color w:val="auto"/>
                <w:sz w:val="24"/>
              </w:rPr>
              <w:t>—</w:t>
            </w:r>
            <w:r>
              <w:rPr>
                <w:rFonts w:hint="eastAsia" w:cs="Times New Roman"/>
                <w:color w:val="auto"/>
                <w:sz w:val="24"/>
                <w:lang w:val="en-US" w:eastAsia="zh-CN"/>
              </w:rPr>
              <w:t>1.225</w:t>
            </w:r>
            <w:r>
              <w:rPr>
                <w:rFonts w:hint="default" w:ascii="Times New Roman" w:hAnsi="Times New Roman" w:cs="Times New Roman"/>
                <w:bCs/>
                <w:color w:val="auto"/>
                <w:sz w:val="24"/>
              </w:rPr>
              <w:t>t/a。</w:t>
            </w:r>
          </w:p>
          <w:p>
            <w:pPr>
              <w:tabs>
                <w:tab w:val="left" w:pos="5040"/>
              </w:tabs>
              <w:adjustRightInd w:val="0"/>
              <w:snapToGrid w:val="0"/>
              <w:spacing w:line="360" w:lineRule="auto"/>
              <w:ind w:firstLine="504" w:firstLineChars="200"/>
              <w:rPr>
                <w:rFonts w:hint="eastAsia" w:ascii="Times New Roman" w:hAnsi="Times New Roman" w:eastAsia="宋体" w:cs="Times New Roman"/>
                <w:color w:val="auto"/>
                <w:spacing w:val="6"/>
                <w:sz w:val="24"/>
                <w:lang w:val="zh-TW" w:eastAsia="zh-CN"/>
              </w:rPr>
            </w:pPr>
            <w:r>
              <w:rPr>
                <w:rFonts w:hint="default" w:ascii="Times New Roman" w:hAnsi="Times New Roman" w:eastAsia="宋体" w:cs="Times New Roman"/>
                <w:color w:val="auto"/>
                <w:spacing w:val="6"/>
                <w:sz w:val="24"/>
                <w:lang w:val="zh-TW" w:eastAsia="zh-TW"/>
              </w:rPr>
              <w:t>本项目</w:t>
            </w:r>
            <w:r>
              <w:rPr>
                <w:rFonts w:hint="eastAsia" w:ascii="Times New Roman" w:hAnsi="Times New Roman" w:eastAsia="宋体" w:cs="Times New Roman"/>
                <w:color w:val="auto"/>
                <w:spacing w:val="6"/>
                <w:sz w:val="24"/>
                <w:lang w:val="zh-TW" w:eastAsia="zh-CN"/>
              </w:rPr>
              <w:t>非六大重点行业，无需进行</w:t>
            </w:r>
            <w:r>
              <w:rPr>
                <w:rFonts w:hint="eastAsia" w:ascii="Times New Roman" w:hAnsi="Times New Roman" w:eastAsia="宋体" w:cs="Times New Roman"/>
                <w:color w:val="auto"/>
                <w:spacing w:val="6"/>
                <w:sz w:val="24"/>
                <w:lang w:val="zh-TW" w:eastAsia="zh-TW"/>
              </w:rPr>
              <w:t>污染物2倍削减</w:t>
            </w:r>
            <w:r>
              <w:rPr>
                <w:rFonts w:hint="eastAsia" w:ascii="Times New Roman" w:hAnsi="Times New Roman" w:eastAsia="宋体" w:cs="Times New Roman"/>
                <w:color w:val="auto"/>
                <w:spacing w:val="6"/>
                <w:sz w:val="24"/>
                <w:lang w:val="zh-TW" w:eastAsia="zh-CN"/>
              </w:rPr>
              <w:t>替代。</w:t>
            </w:r>
          </w:p>
          <w:p>
            <w:pPr>
              <w:pStyle w:val="2"/>
              <w:rPr>
                <w:rFonts w:hint="default"/>
                <w:color w:val="auto"/>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Times New Roman" w:hAnsi="Times New Roman" w:cs="Times New Roman"/>
                <w:color w:val="auto"/>
                <w:highlight w:val="none"/>
              </w:rPr>
            </w:pPr>
          </w:p>
        </w:tc>
      </w:tr>
    </w:tbl>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default" w:ascii="Times New Roman" w:hAnsi="Times New Roman" w:cs="Times New Roman"/>
          <w:b/>
          <w:bCs/>
          <w:color w:val="auto"/>
          <w:kern w:val="2"/>
          <w:szCs w:val="24"/>
          <w:highlight w:val="none"/>
        </w:rPr>
      </w:pPr>
      <w:r>
        <w:rPr>
          <w:rFonts w:hint="default" w:ascii="Times New Roman" w:hAnsi="Times New Roman" w:cs="Times New Roman"/>
          <w:snapToGrid w:val="0"/>
          <w:color w:val="auto"/>
          <w:sz w:val="36"/>
          <w:szCs w:val="36"/>
          <w:highlight w:val="none"/>
        </w:rPr>
        <w:br w:type="page"/>
      </w:r>
      <w:bookmarkStart w:id="14" w:name="_Toc20821"/>
      <w:bookmarkStart w:id="15" w:name="_Toc27701"/>
      <w:r>
        <w:rPr>
          <w:rFonts w:hint="default" w:ascii="Times New Roman" w:hAnsi="Times New Roman" w:cs="Times New Roman"/>
          <w:b/>
          <w:bCs/>
          <w:snapToGrid w:val="0"/>
          <w:color w:val="auto"/>
          <w:sz w:val="30"/>
          <w:szCs w:val="30"/>
          <w:highlight w:val="none"/>
        </w:rPr>
        <w:t>四、主要环境影响和保护措施</w:t>
      </w:r>
      <w:bookmarkEnd w:id="14"/>
      <w:bookmarkEnd w:id="15"/>
    </w:p>
    <w:tbl>
      <w:tblPr>
        <w:tblStyle w:val="20"/>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7" w:hRule="atLeast"/>
          <w:jc w:val="center"/>
        </w:trPr>
        <w:tc>
          <w:tcPr>
            <w:tcW w:w="593"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施工</w:t>
            </w:r>
          </w:p>
          <w:p>
            <w:pPr>
              <w:pStyle w:val="17"/>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期环</w:t>
            </w:r>
          </w:p>
          <w:p>
            <w:pPr>
              <w:pStyle w:val="17"/>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境保</w:t>
            </w:r>
          </w:p>
          <w:p>
            <w:pPr>
              <w:pStyle w:val="17"/>
              <w:adjustRightInd w:val="0"/>
              <w:snapToGrid w:val="0"/>
              <w:spacing w:before="0" w:beforeAutospacing="0" w:after="0" w:afterAutospacing="0"/>
              <w:jc w:val="center"/>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护措</w:t>
            </w:r>
          </w:p>
          <w:p>
            <w:pPr>
              <w:pStyle w:val="17"/>
              <w:adjustRightInd w:val="0"/>
              <w:snapToGrid w:val="0"/>
              <w:spacing w:before="0" w:beforeAutospacing="0" w:after="0" w:afterAutospacing="0"/>
              <w:jc w:val="center"/>
              <w:rPr>
                <w:rFonts w:hint="default" w:ascii="Times New Roman" w:hAnsi="Times New Roman" w:cs="Times New Roman"/>
                <w:bCs/>
                <w:color w:val="auto"/>
                <w:kern w:val="2"/>
                <w:sz w:val="21"/>
                <w:szCs w:val="21"/>
                <w:highlight w:val="none"/>
              </w:rPr>
            </w:pPr>
            <w:r>
              <w:rPr>
                <w:rFonts w:hint="default" w:ascii="Times New Roman" w:hAnsi="Times New Roman" w:cs="Times New Roman"/>
                <w:b/>
                <w:bCs/>
                <w:color w:val="auto"/>
                <w:kern w:val="2"/>
                <w:szCs w:val="24"/>
                <w:highlight w:val="none"/>
              </w:rPr>
              <w:t>施</w:t>
            </w:r>
          </w:p>
        </w:tc>
        <w:tc>
          <w:tcPr>
            <w:tcW w:w="8386" w:type="dxa"/>
            <w:noWrap w:val="0"/>
            <w:vAlign w:val="center"/>
          </w:tcPr>
          <w:p>
            <w:pPr>
              <w:spacing w:line="480" w:lineRule="exact"/>
              <w:ind w:firstLine="482" w:firstLineChars="200"/>
              <w:rPr>
                <w:rFonts w:hint="default"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lang w:eastAsia="zh-CN"/>
              </w:rPr>
              <w:t>一、施工期环境影响分析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eastAsia="宋体"/>
                <w:color w:val="auto"/>
                <w:sz w:val="24"/>
                <w:szCs w:val="24"/>
                <w:lang w:eastAsia="zh-CN"/>
              </w:rPr>
            </w:pPr>
            <w:r>
              <w:rPr>
                <w:rFonts w:hint="default"/>
                <w:color w:val="auto"/>
                <w:sz w:val="24"/>
                <w:szCs w:val="24"/>
                <w:lang w:val="en-US" w:eastAsia="zh-CN"/>
              </w:rPr>
              <w:t>1、</w:t>
            </w:r>
            <w:r>
              <w:rPr>
                <w:rFonts w:hint="default"/>
                <w:color w:val="auto"/>
                <w:sz w:val="24"/>
                <w:szCs w:val="24"/>
              </w:rPr>
              <w:t>施工期扬尘影响分析</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jc w:val="both"/>
              <w:textAlignment w:val="auto"/>
              <w:rPr>
                <w:rFonts w:hint="default"/>
                <w:color w:val="auto"/>
                <w:sz w:val="24"/>
                <w:szCs w:val="24"/>
              </w:rPr>
            </w:pPr>
            <w:r>
              <w:rPr>
                <w:rFonts w:hint="default"/>
                <w:color w:val="auto"/>
                <w:sz w:val="24"/>
                <w:szCs w:val="24"/>
              </w:rPr>
              <w:t>本项目施工期设置1个施工区，包括施工机械临时停放点，</w:t>
            </w:r>
            <w:r>
              <w:rPr>
                <w:rFonts w:hint="eastAsia"/>
                <w:color w:val="auto"/>
                <w:sz w:val="24"/>
                <w:szCs w:val="24"/>
                <w:lang w:eastAsia="zh-CN"/>
              </w:rPr>
              <w:t>物料</w:t>
            </w:r>
            <w:r>
              <w:rPr>
                <w:rFonts w:hint="default"/>
                <w:color w:val="auto"/>
                <w:sz w:val="24"/>
                <w:szCs w:val="24"/>
              </w:rPr>
              <w:t>临时堆场，</w:t>
            </w:r>
            <w:r>
              <w:rPr>
                <w:rFonts w:hint="default"/>
                <w:color w:val="auto"/>
                <w:sz w:val="24"/>
                <w:szCs w:val="24"/>
                <w:lang w:val="en-US" w:eastAsia="zh-CN"/>
              </w:rPr>
              <w:t>不涉及拆迁。</w:t>
            </w:r>
            <w:r>
              <w:rPr>
                <w:rFonts w:hint="default"/>
                <w:color w:val="auto"/>
                <w:sz w:val="24"/>
                <w:szCs w:val="24"/>
              </w:rPr>
              <w:t>施工期对环境空气造成的污染，主要是开挖过程产生的扬尘，土方运输、堆存过程中形成的扬尘，但这种污染是短期的，工程结束之后，这种污染将逐渐减轻并消失。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color w:val="auto"/>
                <w:sz w:val="24"/>
                <w:szCs w:val="24"/>
                <w:lang w:val="en-US" w:eastAsia="zh-CN"/>
              </w:rPr>
            </w:pPr>
            <w:r>
              <w:rPr>
                <w:rFonts w:hint="default"/>
                <w:color w:val="auto"/>
                <w:sz w:val="24"/>
                <w:szCs w:val="24"/>
              </w:rPr>
              <w:t>（1）</w:t>
            </w:r>
            <w:r>
              <w:rPr>
                <w:color w:val="auto"/>
                <w:sz w:val="24"/>
                <w:szCs w:val="24"/>
                <w:lang w:val="zh-CN"/>
              </w:rPr>
              <w:t>施工扬尘</w:t>
            </w:r>
            <w:r>
              <w:rPr>
                <w:rFonts w:hint="eastAsia"/>
                <w:color w:val="auto"/>
                <w:sz w:val="24"/>
                <w:szCs w:val="24"/>
                <w:lang w:val="en-US" w:eastAsia="zh-CN"/>
              </w:rPr>
              <w:t>的影响</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color w:val="auto"/>
                <w:sz w:val="24"/>
                <w:szCs w:val="24"/>
              </w:rPr>
              <w:t>施工扬尘主要来自以下几个环节：</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rFonts w:hint="eastAsia"/>
                <w:color w:val="auto"/>
                <w:sz w:val="24"/>
                <w:szCs w:val="24"/>
                <w:lang w:val="en-US" w:eastAsia="zh-CN"/>
              </w:rPr>
              <w:t>1）、</w:t>
            </w:r>
            <w:r>
              <w:rPr>
                <w:color w:val="auto"/>
                <w:sz w:val="24"/>
                <w:szCs w:val="24"/>
              </w:rPr>
              <w:t>在土地平整等过程中，由于表层土壤破坏，如遇干旱、大风天气，会造成扬尘污染；</w:t>
            </w:r>
            <w:r>
              <w:rPr>
                <w:rFonts w:hint="eastAsia"/>
                <w:color w:val="auto"/>
                <w:sz w:val="24"/>
                <w:szCs w:val="24"/>
                <w:lang w:val="en-US" w:eastAsia="zh-CN"/>
              </w:rPr>
              <w:t>2）、</w:t>
            </w:r>
            <w:r>
              <w:rPr>
                <w:color w:val="auto"/>
                <w:sz w:val="24"/>
                <w:szCs w:val="24"/>
              </w:rPr>
              <w:t>建筑材料运输、装卸、储存过程产生的扬尘；</w:t>
            </w:r>
            <w:r>
              <w:rPr>
                <w:rFonts w:hint="eastAsia"/>
                <w:color w:val="auto"/>
                <w:sz w:val="24"/>
                <w:szCs w:val="24"/>
                <w:lang w:val="en-US" w:eastAsia="zh-CN"/>
              </w:rPr>
              <w:t>3）、</w:t>
            </w:r>
            <w:r>
              <w:rPr>
                <w:color w:val="auto"/>
                <w:sz w:val="24"/>
                <w:szCs w:val="24"/>
              </w:rPr>
              <w:t>建筑垃圾的堆放、清理外运过程产生的扬尘；</w:t>
            </w:r>
            <w:r>
              <w:rPr>
                <w:rFonts w:hint="eastAsia"/>
                <w:color w:val="auto"/>
                <w:sz w:val="24"/>
                <w:szCs w:val="24"/>
                <w:lang w:val="en-US" w:eastAsia="zh-CN"/>
              </w:rPr>
              <w:t>4）、</w:t>
            </w:r>
            <w:r>
              <w:rPr>
                <w:color w:val="auto"/>
                <w:sz w:val="24"/>
                <w:szCs w:val="24"/>
              </w:rPr>
              <w:t>施工机械设备及车辆造成的扬尘。</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color w:val="auto"/>
                <w:sz w:val="24"/>
                <w:szCs w:val="24"/>
              </w:rPr>
            </w:pPr>
            <w:r>
              <w:rPr>
                <w:color w:val="auto"/>
                <w:sz w:val="24"/>
                <w:szCs w:val="24"/>
              </w:rPr>
              <w:t>上述各个扬尘环节属于无组织排放，在时间和空间上均较分散。据类比调查，其影响范围大约在距离施工现场150m内。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lang w:val="zh-CN"/>
              </w:rPr>
            </w:pPr>
            <w:r>
              <w:rPr>
                <w:rFonts w:hint="eastAsia"/>
                <w:color w:val="auto"/>
                <w:sz w:val="24"/>
                <w:szCs w:val="24"/>
                <w:lang w:val="zh-CN"/>
              </w:rPr>
              <w:t>（</w:t>
            </w:r>
            <w:r>
              <w:rPr>
                <w:rFonts w:hint="eastAsia"/>
                <w:color w:val="auto"/>
                <w:sz w:val="24"/>
                <w:szCs w:val="24"/>
                <w:lang w:val="en-US" w:eastAsia="zh-CN"/>
              </w:rPr>
              <w:t>2</w:t>
            </w:r>
            <w:r>
              <w:rPr>
                <w:rFonts w:hint="eastAsia"/>
                <w:color w:val="auto"/>
                <w:sz w:val="24"/>
                <w:szCs w:val="24"/>
                <w:lang w:val="zh-CN"/>
              </w:rPr>
              <w:t>）</w:t>
            </w:r>
            <w:r>
              <w:rPr>
                <w:color w:val="auto"/>
                <w:sz w:val="24"/>
                <w:szCs w:val="24"/>
                <w:lang w:val="zh-CN"/>
              </w:rPr>
              <w:t>防尘和抑尘措施</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eastAsia="宋体"/>
                <w:color w:val="auto"/>
                <w:sz w:val="24"/>
                <w:szCs w:val="24"/>
                <w:lang w:val="zh-CN" w:eastAsia="zh-CN"/>
              </w:rPr>
            </w:pPr>
            <w:r>
              <w:rPr>
                <w:color w:val="auto"/>
                <w:sz w:val="24"/>
                <w:szCs w:val="24"/>
              </w:rPr>
              <w:t>为减少施工扬尘对外环境的影响，根据《河北省扬尘污染防治办法》（2020年1月21日省政府第77次常务会议通过，2020年4月1日起施行）、《施工场地扬尘排放标准》（DB13/2934-2019）、《关于印发河北省 2018 年建筑施工与城市道路扬尘整治工作方案的通知》</w:t>
            </w:r>
            <w:r>
              <w:rPr>
                <w:rFonts w:hint="eastAsia"/>
                <w:color w:val="auto"/>
                <w:sz w:val="24"/>
                <w:szCs w:val="24"/>
                <w:lang w:eastAsia="zh-CN"/>
              </w:rPr>
              <w:t>（</w:t>
            </w:r>
            <w:r>
              <w:rPr>
                <w:color w:val="auto"/>
                <w:sz w:val="24"/>
                <w:szCs w:val="24"/>
              </w:rPr>
              <w:t>冀建安〔2018〕8 号</w:t>
            </w:r>
            <w:r>
              <w:rPr>
                <w:rFonts w:hint="eastAsia"/>
                <w:color w:val="auto"/>
                <w:sz w:val="24"/>
                <w:szCs w:val="24"/>
                <w:lang w:eastAsia="zh-CN"/>
              </w:rPr>
              <w:t>）</w:t>
            </w:r>
            <w:r>
              <w:rPr>
                <w:color w:val="auto"/>
                <w:sz w:val="24"/>
                <w:szCs w:val="24"/>
              </w:rPr>
              <w:t>、《河北省人民代表大会常务委员会关于加强扬尘污染防治的决定》（2018年10月19日河北省第十三届人民代表大会常务委员会第六次会议通过</w:t>
            </w:r>
            <w:r>
              <w:rPr>
                <w:rFonts w:hint="eastAsia"/>
                <w:color w:val="auto"/>
                <w:sz w:val="24"/>
                <w:szCs w:val="24"/>
                <w:lang w:eastAsia="zh-CN"/>
              </w:rPr>
              <w:t>）</w:t>
            </w:r>
            <w:r>
              <w:rPr>
                <w:color w:val="auto"/>
                <w:sz w:val="24"/>
                <w:szCs w:val="24"/>
              </w:rPr>
              <w:t>中相关要求、建筑施工扬尘治理“六个百分之百”及《唐山市住房和城乡建设局关于进一步强化建筑工地扬尘治理有关措施的通知》</w:t>
            </w:r>
            <w:r>
              <w:rPr>
                <w:rFonts w:hint="eastAsia"/>
                <w:color w:val="auto"/>
                <w:sz w:val="24"/>
                <w:szCs w:val="24"/>
                <w:lang w:eastAsia="zh-CN"/>
              </w:rPr>
              <w:t>（</w:t>
            </w:r>
            <w:r>
              <w:rPr>
                <w:color w:val="auto"/>
                <w:sz w:val="24"/>
                <w:szCs w:val="24"/>
              </w:rPr>
              <w:t>简称“六项强化措施”)(唐住建发[2018]44号</w:t>
            </w:r>
            <w:r>
              <w:rPr>
                <w:rFonts w:hint="eastAsia"/>
                <w:color w:val="auto"/>
                <w:sz w:val="24"/>
                <w:szCs w:val="24"/>
                <w:lang w:eastAsia="zh-CN"/>
              </w:rPr>
              <w:t>）</w:t>
            </w:r>
            <w:r>
              <w:rPr>
                <w:color w:val="auto"/>
                <w:sz w:val="24"/>
                <w:szCs w:val="24"/>
              </w:rPr>
              <w:t>。本项目施工过程中要采取如下防尘和抑尘措施</w:t>
            </w:r>
            <w:r>
              <w:rPr>
                <w:rFonts w:hint="eastAsia"/>
                <w:color w:val="auto"/>
                <w:sz w:val="24"/>
                <w:szCs w:val="24"/>
                <w:lang w:eastAsia="zh-CN"/>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1）在施工现场出入口明显位置设置公示牌，公示施工现场负责人、环保监督员、防尘措施、扬尘监督管理部门、举报投诉电话等信息；</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2）在施工现场周边设置硬质封闭围挡或者围墙，高度不低于</w:t>
            </w:r>
            <w:r>
              <w:rPr>
                <w:rFonts w:hint="eastAsia"/>
                <w:color w:val="auto"/>
                <w:sz w:val="24"/>
                <w:szCs w:val="24"/>
                <w:lang w:eastAsia="zh-CN"/>
              </w:rPr>
              <w:t>2.5米</w:t>
            </w:r>
            <w:r>
              <w:rPr>
                <w:color w:val="auto"/>
                <w:sz w:val="24"/>
                <w:szCs w:val="24"/>
              </w:rPr>
              <w:t>，并在围挡底端设置不低于0.2米的防溢座；</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3）对施工现场出入口、场内施工道路、材料加工堆放区、办公区、生活区进行硬化处理，</w:t>
            </w:r>
            <w:r>
              <w:rPr>
                <w:rFonts w:hint="eastAsia"/>
                <w:color w:val="auto"/>
                <w:sz w:val="24"/>
                <w:szCs w:val="24"/>
              </w:rPr>
              <w:t>裸露地面采取绿化、遮盖、喷洒抑尘剂等防尘措施</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4）在施工现场出</w:t>
            </w:r>
            <w:r>
              <w:rPr>
                <w:rFonts w:hint="eastAsia"/>
                <w:color w:val="auto"/>
                <w:sz w:val="24"/>
                <w:szCs w:val="24"/>
              </w:rPr>
              <w:t>入</w:t>
            </w:r>
            <w:r>
              <w:rPr>
                <w:color w:val="auto"/>
                <w:sz w:val="24"/>
                <w:szCs w:val="24"/>
              </w:rPr>
              <w:t>口处设置车辆清洗设施并配套设置排水、泥浆沉淀设施，</w:t>
            </w:r>
            <w:r>
              <w:rPr>
                <w:rFonts w:hint="eastAsia"/>
                <w:color w:val="auto"/>
                <w:sz w:val="24"/>
                <w:szCs w:val="24"/>
              </w:rPr>
              <w:t>建立</w:t>
            </w:r>
            <w:r>
              <w:rPr>
                <w:color w:val="auto"/>
                <w:sz w:val="24"/>
                <w:szCs w:val="24"/>
              </w:rPr>
              <w:t>车辆冲洗</w:t>
            </w:r>
            <w:r>
              <w:rPr>
                <w:rFonts w:hint="eastAsia"/>
                <w:color w:val="auto"/>
                <w:sz w:val="24"/>
                <w:szCs w:val="24"/>
              </w:rPr>
              <w:t>制度并设专人管理，严禁车辆带泥上路，配备洒水设施，并由专人负责</w:t>
            </w:r>
            <w:r>
              <w:rPr>
                <w:color w:val="auto"/>
                <w:sz w:val="24"/>
                <w:szCs w:val="24"/>
              </w:rPr>
              <w:t>；</w:t>
            </w:r>
            <w:r>
              <w:rPr>
                <w:rFonts w:hint="eastAsia"/>
                <w:color w:val="auto"/>
                <w:sz w:val="24"/>
                <w:szCs w:val="24"/>
              </w:rPr>
              <w:t>重污染天气时，相应增加洒水频次</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5）</w:t>
            </w:r>
            <w:r>
              <w:rPr>
                <w:rFonts w:hint="eastAsia"/>
                <w:color w:val="auto"/>
                <w:sz w:val="24"/>
                <w:szCs w:val="24"/>
              </w:rPr>
              <w:t>项目主要</w:t>
            </w:r>
            <w:r>
              <w:rPr>
                <w:color w:val="auto"/>
                <w:sz w:val="24"/>
                <w:szCs w:val="24"/>
              </w:rPr>
              <w:t>使用混凝土等</w:t>
            </w:r>
            <w:r>
              <w:rPr>
                <w:rFonts w:hint="eastAsia"/>
                <w:color w:val="auto"/>
                <w:sz w:val="24"/>
                <w:szCs w:val="24"/>
              </w:rPr>
              <w:t>成品建材</w:t>
            </w:r>
            <w:r>
              <w:rPr>
                <w:color w:val="auto"/>
                <w:sz w:val="24"/>
                <w:szCs w:val="24"/>
              </w:rPr>
              <w:t>，</w:t>
            </w:r>
            <w:r>
              <w:rPr>
                <w:rFonts w:hint="eastAsia"/>
                <w:color w:val="auto"/>
                <w:sz w:val="24"/>
                <w:szCs w:val="24"/>
              </w:rPr>
              <w:t>施工现场不设混凝土搅拌站</w:t>
            </w:r>
            <w:r>
              <w:rPr>
                <w:color w:val="auto"/>
                <w:sz w:val="24"/>
                <w:szCs w:val="24"/>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）建筑垃圾应当及时清运，</w:t>
            </w:r>
            <w:r>
              <w:rPr>
                <w:rFonts w:hint="eastAsia" w:ascii="Times New Roman" w:hAnsi="Times New Roman" w:eastAsia="宋体" w:cs="Times New Roman"/>
                <w:color w:val="auto"/>
                <w:sz w:val="24"/>
                <w:szCs w:val="24"/>
              </w:rPr>
              <w:t>不得高空抛掷、</w:t>
            </w:r>
            <w:r>
              <w:rPr>
                <w:rFonts w:ascii="Times New Roman" w:hAnsi="Times New Roman" w:eastAsia="宋体" w:cs="Times New Roman"/>
                <w:color w:val="auto"/>
                <w:sz w:val="24"/>
                <w:szCs w:val="24"/>
              </w:rPr>
              <w:t>扬撒；不能及时清运的，应当集中堆放并采取弥补或者遮盖等防尘措施。生活垃圾应用封闭式容器存放，日产日清，严禁随意丢弃；</w:t>
            </w:r>
          </w:p>
          <w:p>
            <w:pPr>
              <w:keepNext w:val="0"/>
              <w:keepLines w:val="0"/>
              <w:pageBreakBefore w:val="0"/>
              <w:widowControl w:val="0"/>
              <w:kinsoku/>
              <w:wordWrap/>
              <w:overflowPunct/>
              <w:topLinePunct w:val="0"/>
              <w:bidi w:val="0"/>
              <w:spacing w:line="480" w:lineRule="exact"/>
              <w:ind w:firstLine="480" w:firstLineChars="200"/>
              <w:jc w:val="both"/>
              <w:textAlignment w:val="auto"/>
              <w:rPr>
                <w:rStyle w:val="25"/>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rPr>
              <w:t>7</w:t>
            </w:r>
            <w:r>
              <w:rPr>
                <w:rFonts w:ascii="Times New Roman" w:hAnsi="Times New Roman" w:eastAsia="宋体" w:cs="Times New Roman"/>
                <w:color w:val="auto"/>
                <w:sz w:val="24"/>
                <w:szCs w:val="24"/>
              </w:rPr>
              <w:t>）在施工工地同步安装视频监控设备和扬尘污染物在线监测设备，分别与建设主管部门、生态环境主管部门的监控设备联网，并保证系统正常运行，发生故障应当在二十四小时内修复；县级以上人民政府建立统一平台后，</w:t>
            </w:r>
            <w:r>
              <w:rPr>
                <w:color w:val="auto"/>
                <w:sz w:val="24"/>
                <w:szCs w:val="24"/>
              </w:rPr>
              <w:t>并入监控系统进行联网监控。根据河北省印发《施工场地扬尘排放标准》（DB13/2934-2019），</w:t>
            </w:r>
            <w:r>
              <w:rPr>
                <w:rStyle w:val="25"/>
                <w:rFonts w:hint="eastAsia" w:ascii="Times New Roman" w:hAnsi="Times New Roman" w:cs="Times New Roman"/>
                <w:color w:val="auto"/>
                <w:sz w:val="24"/>
                <w:szCs w:val="24"/>
                <w:highlight w:val="none"/>
                <w:lang w:eastAsia="zh-CN"/>
              </w:rPr>
              <w:t>本项目占地面积</w:t>
            </w:r>
            <w:r>
              <w:rPr>
                <w:rStyle w:val="25"/>
                <w:rFonts w:hint="eastAsia" w:cs="Times New Roman"/>
                <w:color w:val="auto"/>
                <w:sz w:val="24"/>
                <w:szCs w:val="24"/>
                <w:highlight w:val="none"/>
                <w:lang w:val="en-US" w:eastAsia="zh-CN"/>
              </w:rPr>
              <w:t>6666.7</w:t>
            </w:r>
            <w:r>
              <w:rPr>
                <w:rStyle w:val="25"/>
                <w:rFonts w:hint="eastAsia" w:ascii="Times New Roman" w:hAnsi="Times New Roman" w:cs="Times New Roman"/>
                <w:color w:val="auto"/>
                <w:sz w:val="24"/>
                <w:szCs w:val="24"/>
                <w:highlight w:val="none"/>
                <w:lang w:val="en-US" w:eastAsia="zh-CN"/>
              </w:rPr>
              <w:t>m</w:t>
            </w:r>
            <w:r>
              <w:rPr>
                <w:rStyle w:val="25"/>
                <w:rFonts w:hint="eastAsia" w:ascii="Times New Roman" w:hAnsi="Times New Roman" w:cs="Times New Roman"/>
                <w:color w:val="auto"/>
                <w:sz w:val="24"/>
                <w:szCs w:val="24"/>
                <w:highlight w:val="none"/>
                <w:vertAlign w:val="superscript"/>
                <w:lang w:val="en-US" w:eastAsia="zh-CN"/>
              </w:rPr>
              <w:t>2</w:t>
            </w:r>
            <w:r>
              <w:rPr>
                <w:rStyle w:val="25"/>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snapToGrid w:val="0"/>
                <w:color w:val="auto"/>
                <w:kern w:val="0"/>
                <w:sz w:val="24"/>
                <w:szCs w:val="24"/>
                <w:lang w:val="zh-CN"/>
              </w:rPr>
              <w:t>《施工场地扬尘排放标准》（</w:t>
            </w:r>
            <w:r>
              <w:rPr>
                <w:rFonts w:hint="default" w:ascii="Times New Roman" w:hAnsi="Times New Roman" w:cs="Times New Roman"/>
                <w:snapToGrid w:val="0"/>
                <w:color w:val="auto"/>
                <w:kern w:val="0"/>
                <w:sz w:val="24"/>
                <w:szCs w:val="24"/>
                <w:lang w:val="en-US" w:eastAsia="zh-CN"/>
              </w:rPr>
              <w:t>DB13/2934-2019</w:t>
            </w:r>
            <w:r>
              <w:rPr>
                <w:rFonts w:hint="default" w:ascii="Times New Roman" w:hAnsi="Times New Roman" w:cs="Times New Roman"/>
                <w:snapToGrid w:val="0"/>
                <w:color w:val="auto"/>
                <w:kern w:val="0"/>
                <w:sz w:val="24"/>
                <w:szCs w:val="24"/>
                <w:lang w:val="zh-CN"/>
              </w:rPr>
              <w:t>）</w:t>
            </w:r>
            <w:r>
              <w:rPr>
                <w:rFonts w:hint="eastAsia" w:ascii="Times New Roman" w:hAnsi="Times New Roman" w:cs="Times New Roman"/>
                <w:snapToGrid w:val="0"/>
                <w:color w:val="auto"/>
                <w:kern w:val="0"/>
                <w:sz w:val="24"/>
                <w:szCs w:val="24"/>
                <w:lang w:val="zh-CN"/>
              </w:rPr>
              <w:t>，</w:t>
            </w:r>
            <w:r>
              <w:rPr>
                <w:rFonts w:hint="default" w:ascii="Times New Roman" w:hAnsi="Times New Roman" w:cs="Times New Roman"/>
                <w:color w:val="auto"/>
                <w:sz w:val="24"/>
                <w:szCs w:val="24"/>
                <w:lang w:val="en-US" w:eastAsia="zh-CN"/>
              </w:rPr>
              <w:t>设置</w:t>
            </w:r>
            <w:r>
              <w:rPr>
                <w:rFonts w:hint="eastAsia" w:cs="Times New Roman"/>
                <w:color w:val="auto"/>
                <w:sz w:val="24"/>
                <w:szCs w:val="24"/>
                <w:lang w:val="en-US" w:eastAsia="zh-CN"/>
              </w:rPr>
              <w:t>1</w:t>
            </w:r>
            <w:r>
              <w:rPr>
                <w:rFonts w:hint="default" w:ascii="Times New Roman" w:hAnsi="Times New Roman" w:cs="Times New Roman"/>
                <w:color w:val="auto"/>
                <w:sz w:val="24"/>
                <w:szCs w:val="24"/>
                <w:lang w:val="en-US" w:eastAsia="zh-CN"/>
              </w:rPr>
              <w:t>个监测点</w:t>
            </w:r>
            <w:r>
              <w:rPr>
                <w:color w:val="auto"/>
                <w:sz w:val="24"/>
                <w:szCs w:val="24"/>
              </w:rPr>
              <w:t>。</w:t>
            </w:r>
            <w:r>
              <w:rPr>
                <w:rStyle w:val="25"/>
                <w:rFonts w:hint="default" w:ascii="Times New Roman" w:hAnsi="Times New Roman" w:eastAsia="宋体" w:cs="Times New Roman"/>
                <w:color w:val="auto"/>
                <w:sz w:val="24"/>
                <w:szCs w:val="24"/>
                <w:highlight w:val="none"/>
              </w:rPr>
              <w:t>企业施工过程中扬尘监测方案见下表：</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16</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lang w:val="zh-CN"/>
              </w:rPr>
              <w:t xml:space="preserve">  扬尘监测方案</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165"/>
              <w:gridCol w:w="1186"/>
              <w:gridCol w:w="1107"/>
              <w:gridCol w:w="1107"/>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2"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项目内容</w:t>
                  </w:r>
                </w:p>
              </w:tc>
              <w:tc>
                <w:tcPr>
                  <w:tcW w:w="133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监测布点</w:t>
                  </w:r>
                </w:p>
              </w:tc>
              <w:tc>
                <w:tcPr>
                  <w:tcW w:w="728"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点位编号</w:t>
                  </w:r>
                </w:p>
              </w:tc>
              <w:tc>
                <w:tcPr>
                  <w:tcW w:w="68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监测项目</w:t>
                  </w:r>
                </w:p>
              </w:tc>
              <w:tc>
                <w:tcPr>
                  <w:tcW w:w="68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监测频率</w:t>
                  </w:r>
                </w:p>
              </w:tc>
              <w:tc>
                <w:tcPr>
                  <w:tcW w:w="757"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监测方法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22"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环境空气</w:t>
                  </w:r>
                </w:p>
              </w:tc>
              <w:tc>
                <w:tcPr>
                  <w:tcW w:w="133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施工区域入口处</w:t>
                  </w:r>
                </w:p>
              </w:tc>
              <w:tc>
                <w:tcPr>
                  <w:tcW w:w="728"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1#</w:t>
                  </w:r>
                </w:p>
              </w:tc>
              <w:tc>
                <w:tcPr>
                  <w:tcW w:w="68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颗粒物</w:t>
                  </w:r>
                </w:p>
              </w:tc>
              <w:tc>
                <w:tcPr>
                  <w:tcW w:w="680"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实时</w:t>
                  </w:r>
                </w:p>
              </w:tc>
              <w:tc>
                <w:tcPr>
                  <w:tcW w:w="757" w:type="pct"/>
                  <w:tcBorders>
                    <w:tl2br w:val="nil"/>
                    <w:tr2bl w:val="nil"/>
                  </w:tcBorders>
                  <w:noWrap w:val="0"/>
                  <w:vAlign w:val="center"/>
                </w:tcPr>
                <w:p>
                  <w:pPr>
                    <w:autoSpaceDE w:val="0"/>
                    <w:autoSpaceDN w:val="0"/>
                    <w:spacing w:line="240" w:lineRule="auto"/>
                    <w:jc w:val="center"/>
                    <w:rPr>
                      <w:rStyle w:val="25"/>
                      <w:rFonts w:hint="default" w:ascii="Times New Roman" w:hAnsi="Times New Roman" w:eastAsia="宋体" w:cs="Times New Roman"/>
                      <w:b w:val="0"/>
                      <w:bCs w:val="0"/>
                      <w:color w:val="auto"/>
                      <w:sz w:val="21"/>
                      <w:szCs w:val="21"/>
                      <w:highlight w:val="none"/>
                    </w:rPr>
                  </w:pPr>
                  <w:r>
                    <w:rPr>
                      <w:rStyle w:val="25"/>
                      <w:rFonts w:hint="default" w:ascii="Times New Roman" w:hAnsi="Times New Roman" w:eastAsia="宋体" w:cs="Times New Roman"/>
                      <w:b w:val="0"/>
                      <w:bCs w:val="0"/>
                      <w:color w:val="auto"/>
                      <w:sz w:val="21"/>
                      <w:szCs w:val="21"/>
                      <w:highlight w:val="none"/>
                    </w:rPr>
                    <w:t>在线监测</w:t>
                  </w:r>
                </w:p>
              </w:tc>
            </w:tr>
          </w:tbl>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8</w:t>
            </w:r>
            <w:r>
              <w:rPr>
                <w:color w:val="auto"/>
                <w:sz w:val="24"/>
                <w:szCs w:val="24"/>
              </w:rPr>
              <w:t>）运输车辆加盖苫布、防止物料飘洒。采取物料堆存过程加盖苫布等措施，施工材料堆存过程对周围环境影响较小。</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9</w:t>
            </w:r>
            <w:r>
              <w:rPr>
                <w:color w:val="auto"/>
                <w:sz w:val="24"/>
                <w:szCs w:val="24"/>
              </w:rPr>
              <w:t>）施工现场集中堆放的土方和裸露场地必须采取覆盖、固化等防尘措施，严禁裸露。</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10</w:t>
            </w:r>
            <w:r>
              <w:rPr>
                <w:color w:val="auto"/>
                <w:sz w:val="24"/>
                <w:szCs w:val="24"/>
              </w:rPr>
              <w:t>）开挖作业过程中，四周应采取洒水、喷雾等降尘措施。至少</w:t>
            </w:r>
            <w:r>
              <w:rPr>
                <w:rFonts w:hint="eastAsia"/>
                <w:color w:val="auto"/>
                <w:sz w:val="24"/>
                <w:szCs w:val="24"/>
                <w:lang w:val="en-US" w:eastAsia="zh-CN"/>
              </w:rPr>
              <w:t>2</w:t>
            </w:r>
            <w:r>
              <w:rPr>
                <w:color w:val="auto"/>
                <w:sz w:val="24"/>
                <w:szCs w:val="24"/>
              </w:rPr>
              <w:t>台射程达到20米以上的雾炮机，确保设施完好，随时投入使用。</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11</w:t>
            </w:r>
            <w:r>
              <w:rPr>
                <w:color w:val="auto"/>
                <w:sz w:val="24"/>
                <w:szCs w:val="24"/>
              </w:rPr>
              <w:t>）遇有4级以上大风或重污染天气预警时，必须采取扬尘防治应急措施，严禁土方开挖、土方回填或其他有可能产生扬尘的作业。</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rFonts w:hint="eastAsia"/>
                <w:color w:val="auto"/>
                <w:sz w:val="24"/>
                <w:szCs w:val="24"/>
              </w:rPr>
              <w:t>12</w:t>
            </w:r>
            <w:r>
              <w:rPr>
                <w:color w:val="auto"/>
                <w:sz w:val="24"/>
                <w:szCs w:val="24"/>
              </w:rPr>
              <w:t>）土方施工应当合理控制土方开挖和存留时间，并采取土方表面压实、防尘网遮盖等防尘措施。</w:t>
            </w:r>
          </w:p>
          <w:p>
            <w:pPr>
              <w:keepNext w:val="0"/>
              <w:keepLines w:val="0"/>
              <w:pageBreakBefore w:val="0"/>
              <w:widowControl w:val="0"/>
              <w:kinsoku/>
              <w:wordWrap/>
              <w:overflowPunct/>
              <w:topLinePunct w:val="0"/>
              <w:bidi w:val="0"/>
              <w:spacing w:line="480" w:lineRule="exact"/>
              <w:ind w:firstLine="480" w:firstLineChars="200"/>
              <w:jc w:val="both"/>
              <w:textAlignment w:val="auto"/>
              <w:rPr>
                <w:color w:val="auto"/>
                <w:sz w:val="24"/>
                <w:szCs w:val="24"/>
              </w:rPr>
            </w:pPr>
            <w:r>
              <w:rPr>
                <w:color w:val="auto"/>
                <w:sz w:val="24"/>
                <w:szCs w:val="24"/>
              </w:rPr>
              <w:t>总之，只要加强管理、切实落实好这些措施，施工扬尘对环境的影响将会大大降低，扬尘对环境的影响将随施工期的结束而消失。</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采取以上措施后，项目施工期扬尘满足河北省地方标准《施工场地扬尘排放标准》（DB13/2934—2019）施工场地扬尘排放浓度限值</w:t>
            </w:r>
            <w:r>
              <w:rPr>
                <w:rFonts w:hint="eastAsia"/>
                <w:color w:val="auto"/>
                <w:sz w:val="24"/>
                <w:szCs w:val="24"/>
                <w:lang w:eastAsia="zh-CN"/>
              </w:rPr>
              <w:t>（与当地</w:t>
            </w:r>
            <w:r>
              <w:rPr>
                <w:rFonts w:hint="eastAsia"/>
                <w:color w:val="auto"/>
                <w:sz w:val="24"/>
                <w:szCs w:val="24"/>
                <w:lang w:val="en-US" w:eastAsia="zh-CN"/>
              </w:rPr>
              <w:t>PM</w:t>
            </w:r>
            <w:r>
              <w:rPr>
                <w:rFonts w:hint="eastAsia"/>
                <w:color w:val="auto"/>
                <w:sz w:val="24"/>
                <w:szCs w:val="24"/>
                <w:vertAlign w:val="subscript"/>
                <w:lang w:val="en-US" w:eastAsia="zh-CN"/>
              </w:rPr>
              <w:t>10</w:t>
            </w:r>
            <w:r>
              <w:rPr>
                <w:rFonts w:hint="eastAsia"/>
                <w:color w:val="auto"/>
                <w:sz w:val="24"/>
                <w:szCs w:val="24"/>
                <w:lang w:val="en-US" w:eastAsia="zh-CN"/>
              </w:rPr>
              <w:t>小时平均浓度差值</w:t>
            </w:r>
            <w:r>
              <w:rPr>
                <w:rFonts w:hint="eastAsia"/>
                <w:color w:val="auto"/>
                <w:sz w:val="24"/>
                <w:szCs w:val="24"/>
                <w:lang w:eastAsia="zh-CN"/>
              </w:rPr>
              <w:t>）：</w:t>
            </w:r>
            <w:r>
              <w:rPr>
                <w:color w:val="auto"/>
                <w:sz w:val="24"/>
                <w:szCs w:val="24"/>
              </w:rPr>
              <w:t>0.08mg/m</w:t>
            </w:r>
            <w:r>
              <w:rPr>
                <w:color w:val="auto"/>
                <w:sz w:val="24"/>
                <w:szCs w:val="24"/>
                <w:vertAlign w:val="superscript"/>
              </w:rPr>
              <w:t>3</w:t>
            </w:r>
            <w:r>
              <w:rPr>
                <w:rFonts w:hint="eastAsia" w:ascii="Times New Roman" w:hAnsi="Times New Roman" w:eastAsia="宋体" w:cs="Times New Roman"/>
                <w:color w:val="auto"/>
                <w:sz w:val="24"/>
                <w:szCs w:val="24"/>
                <w:lang w:eastAsia="zh-CN"/>
              </w:rPr>
              <w:t>及</w:t>
            </w:r>
            <w:r>
              <w:rPr>
                <w:rFonts w:hint="eastAsia" w:ascii="Times New Roman" w:hAnsi="Times New Roman" w:eastAsia="宋体" w:cs="Times New Roman"/>
                <w:color w:val="auto"/>
                <w:sz w:val="24"/>
                <w:szCs w:val="24"/>
              </w:rPr>
              <w:t>唐山市人民政府关于印发《唐山市空气质量持续改善行动计划工作方案》的通知</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唐政字〔2024〕42号</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eastAsia="zh-CN"/>
              </w:rPr>
              <w:t>相关要求</w:t>
            </w:r>
            <w:r>
              <w:rPr>
                <w:rFonts w:hint="eastAsia" w:ascii="Times New Roman" w:hAnsi="Times New Roman" w:eastAsia="宋体" w:cs="Times New Roman"/>
                <w:color w:val="auto"/>
                <w:sz w:val="24"/>
                <w:szCs w:val="24"/>
                <w:lang w:eastAsia="zh-CN"/>
              </w:rPr>
              <w:t>，项目</w:t>
            </w:r>
            <w:r>
              <w:rPr>
                <w:rFonts w:hint="eastAsia"/>
                <w:color w:val="auto"/>
                <w:sz w:val="24"/>
                <w:szCs w:val="24"/>
                <w:lang w:eastAsia="zh-CN"/>
              </w:rPr>
              <w:t>不会周边敏感点产生影响</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eastAsia="宋体"/>
                <w:color w:val="auto"/>
                <w:sz w:val="24"/>
                <w:szCs w:val="24"/>
                <w:lang w:val="en-US" w:eastAsia="zh-CN"/>
              </w:rPr>
            </w:pPr>
            <w:r>
              <w:rPr>
                <w:rFonts w:hint="eastAsia"/>
                <w:color w:val="auto"/>
                <w:sz w:val="24"/>
                <w:szCs w:val="24"/>
                <w:lang w:val="en-US" w:eastAsia="zh-CN"/>
              </w:rPr>
              <w:t>（3）施工机械废气</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施工中各种工程机械和运输车辆在</w:t>
            </w:r>
            <w:r>
              <w:rPr>
                <w:rFonts w:hint="default" w:ascii="Times New Roman" w:hAnsi="Times New Roman" w:eastAsia="宋体" w:cs="Times New Roman"/>
                <w:color w:val="auto"/>
                <w:sz w:val="24"/>
                <w:szCs w:val="24"/>
                <w:lang w:eastAsia="zh-CN"/>
              </w:rPr>
              <w:t>工作</w:t>
            </w:r>
            <w:r>
              <w:rPr>
                <w:rFonts w:hint="default" w:ascii="Times New Roman" w:hAnsi="Times New Roman" w:eastAsia="宋体" w:cs="Times New Roman"/>
                <w:color w:val="auto"/>
                <w:sz w:val="24"/>
                <w:szCs w:val="24"/>
              </w:rPr>
              <w:t>时排放的尾气含有颗粒物、CO、NOx等大气污染物，排放后会对施工现场有一定影响。</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本项目应选用国五及以上标准的车辆进行施工，非道路移动机械尽量选用新能源汽车，可在一定程度上减轻汽车尾气对施工现场及周边空气环境的污染。</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eastAsia="宋体"/>
                <w:color w:val="auto"/>
                <w:sz w:val="24"/>
                <w:szCs w:val="24"/>
                <w:lang w:eastAsia="zh-CN"/>
              </w:rPr>
            </w:pPr>
            <w:r>
              <w:rPr>
                <w:rFonts w:hint="default" w:ascii="Times New Roman" w:hAnsi="Times New Roman" w:eastAsia="宋体" w:cs="Times New Roman"/>
                <w:color w:val="auto"/>
                <w:sz w:val="24"/>
                <w:szCs w:val="24"/>
              </w:rPr>
              <w:t>施工</w:t>
            </w:r>
            <w:r>
              <w:rPr>
                <w:rFonts w:hint="default" w:ascii="Times New Roman" w:hAnsi="Times New Roman" w:eastAsia="宋体" w:cs="Times New Roman"/>
                <w:color w:val="auto"/>
                <w:sz w:val="24"/>
                <w:szCs w:val="24"/>
                <w:lang w:eastAsia="zh-CN"/>
              </w:rPr>
              <w:t>机械</w:t>
            </w:r>
            <w:r>
              <w:rPr>
                <w:rFonts w:hint="default" w:ascii="Times New Roman" w:hAnsi="Times New Roman" w:eastAsia="宋体" w:cs="Times New Roman"/>
                <w:color w:val="auto"/>
                <w:sz w:val="24"/>
                <w:szCs w:val="24"/>
              </w:rPr>
              <w:t>在现场范围内活动，尾气呈面源污染形式，尾气扩散范围有限，车辆为非连续行驶状态，施工采用分段进行，在每段施工时间有限，污染物排放时间和排放量相对较少，所以不会对周围大气环境有明显影响</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2、施工期声环境影响分析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⑴施工期噪声污染源强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color w:val="auto"/>
                <w:sz w:val="24"/>
                <w:szCs w:val="24"/>
              </w:rPr>
              <w:t>本工程施工期噪声主要来源于施工机械和运输车辆产生的噪声。据调查，国内目前常用的筑路机械是挖掘机、推土机、平地机、</w:t>
            </w:r>
            <w:r>
              <w:rPr>
                <w:rFonts w:hint="eastAsia"/>
                <w:color w:val="auto"/>
                <w:sz w:val="24"/>
                <w:szCs w:val="24"/>
              </w:rPr>
              <w:t>装载机</w:t>
            </w:r>
            <w:r>
              <w:rPr>
                <w:rFonts w:hint="eastAsia"/>
                <w:color w:val="auto"/>
                <w:sz w:val="24"/>
                <w:szCs w:val="24"/>
                <w:lang w:eastAsia="zh-CN"/>
              </w:rPr>
              <w:t>、振捣器</w:t>
            </w:r>
            <w:r>
              <w:rPr>
                <w:color w:val="auto"/>
                <w:sz w:val="24"/>
                <w:szCs w:val="24"/>
              </w:rPr>
              <w:t>等。其负荷运行时的噪声值见</w:t>
            </w:r>
            <w:r>
              <w:rPr>
                <w:rFonts w:hint="eastAsia"/>
                <w:color w:val="auto"/>
                <w:sz w:val="24"/>
                <w:szCs w:val="24"/>
                <w:lang w:val="en-US" w:eastAsia="zh-CN"/>
              </w:rPr>
              <w:t>下</w:t>
            </w:r>
            <w:r>
              <w:rPr>
                <w:color w:val="auto"/>
                <w:sz w:val="24"/>
                <w:szCs w:val="24"/>
              </w:rPr>
              <w:t>表。</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17</w:t>
            </w:r>
            <w:r>
              <w:rPr>
                <w:rFonts w:hint="default" w:ascii="Times New Roman" w:hAnsi="Times New Roman" w:eastAsia="宋体" w:cs="Times New Roman"/>
                <w:b/>
                <w:bCs/>
                <w:color w:val="auto"/>
                <w:sz w:val="24"/>
                <w:highlight w:val="none"/>
                <w:lang w:val="zh-CN"/>
              </w:rPr>
              <w:t xml:space="preserve">    项目主要施工机械噪声值</w:t>
            </w:r>
          </w:p>
          <w:tbl>
            <w:tblPr>
              <w:tblStyle w:val="2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967"/>
              <w:gridCol w:w="2109"/>
              <w:gridCol w:w="2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序号</w:t>
                  </w:r>
                </w:p>
              </w:tc>
              <w:tc>
                <w:tcPr>
                  <w:tcW w:w="1967" w:type="dxa"/>
                  <w:noWrap w:val="0"/>
                  <w:vAlign w:val="center"/>
                </w:tcPr>
                <w:p>
                  <w:pPr>
                    <w:adjustRightInd w:val="0"/>
                    <w:snapToGrid w:val="0"/>
                    <w:spacing w:line="360" w:lineRule="exact"/>
                    <w:jc w:val="center"/>
                    <w:rPr>
                      <w:color w:val="auto"/>
                    </w:rPr>
                  </w:pPr>
                  <w:r>
                    <w:rPr>
                      <w:color w:val="auto"/>
                    </w:rPr>
                    <w:t>机械名称</w:t>
                  </w:r>
                </w:p>
              </w:tc>
              <w:tc>
                <w:tcPr>
                  <w:tcW w:w="2109" w:type="dxa"/>
                  <w:noWrap w:val="0"/>
                  <w:vAlign w:val="center"/>
                </w:tcPr>
                <w:p>
                  <w:pPr>
                    <w:adjustRightInd w:val="0"/>
                    <w:snapToGrid w:val="0"/>
                    <w:spacing w:line="360" w:lineRule="exact"/>
                    <w:jc w:val="center"/>
                    <w:rPr>
                      <w:color w:val="auto"/>
                    </w:rPr>
                  </w:pPr>
                  <w:r>
                    <w:rPr>
                      <w:color w:val="auto"/>
                    </w:rPr>
                    <w:t>测试距离（m）</w:t>
                  </w:r>
                </w:p>
              </w:tc>
              <w:tc>
                <w:tcPr>
                  <w:tcW w:w="2463" w:type="dxa"/>
                  <w:noWrap w:val="0"/>
                  <w:vAlign w:val="center"/>
                </w:tcPr>
                <w:p>
                  <w:pPr>
                    <w:adjustRightInd w:val="0"/>
                    <w:snapToGrid w:val="0"/>
                    <w:spacing w:line="360" w:lineRule="exact"/>
                    <w:jc w:val="center"/>
                    <w:rPr>
                      <w:color w:val="auto"/>
                    </w:rPr>
                  </w:pPr>
                  <w:r>
                    <w:rPr>
                      <w:color w:val="auto"/>
                    </w:rPr>
                    <w:t>噪声值[dB（A）]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1</w:t>
                  </w:r>
                </w:p>
              </w:tc>
              <w:tc>
                <w:tcPr>
                  <w:tcW w:w="1967" w:type="dxa"/>
                  <w:noWrap w:val="0"/>
                  <w:vAlign w:val="center"/>
                </w:tcPr>
                <w:p>
                  <w:pPr>
                    <w:adjustRightInd w:val="0"/>
                    <w:snapToGrid w:val="0"/>
                    <w:spacing w:line="360" w:lineRule="exact"/>
                    <w:jc w:val="center"/>
                    <w:rPr>
                      <w:rFonts w:hint="eastAsia"/>
                      <w:color w:val="auto"/>
                    </w:rPr>
                  </w:pPr>
                  <w:r>
                    <w:rPr>
                      <w:rFonts w:hint="eastAsia"/>
                      <w:color w:val="auto"/>
                    </w:rPr>
                    <w:t>挖掘机</w:t>
                  </w:r>
                </w:p>
              </w:tc>
              <w:tc>
                <w:tcPr>
                  <w:tcW w:w="2109" w:type="dxa"/>
                  <w:noWrap w:val="0"/>
                  <w:vAlign w:val="center"/>
                </w:tcPr>
                <w:p>
                  <w:pPr>
                    <w:adjustRightInd w:val="0"/>
                    <w:snapToGrid w:val="0"/>
                    <w:spacing w:line="360" w:lineRule="exact"/>
                    <w:jc w:val="center"/>
                    <w:rPr>
                      <w:rFonts w:hint="eastAsia"/>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2</w:t>
                  </w:r>
                </w:p>
              </w:tc>
              <w:tc>
                <w:tcPr>
                  <w:tcW w:w="1967" w:type="dxa"/>
                  <w:noWrap w:val="0"/>
                  <w:vAlign w:val="center"/>
                </w:tcPr>
                <w:p>
                  <w:pPr>
                    <w:adjustRightInd w:val="0"/>
                    <w:snapToGrid w:val="0"/>
                    <w:spacing w:line="360" w:lineRule="exact"/>
                    <w:jc w:val="center"/>
                    <w:rPr>
                      <w:color w:val="auto"/>
                    </w:rPr>
                  </w:pPr>
                  <w:r>
                    <w:rPr>
                      <w:color w:val="auto"/>
                    </w:rPr>
                    <w:t>推土机</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3</w:t>
                  </w:r>
                </w:p>
              </w:tc>
              <w:tc>
                <w:tcPr>
                  <w:tcW w:w="1967" w:type="dxa"/>
                  <w:noWrap w:val="0"/>
                  <w:vAlign w:val="center"/>
                </w:tcPr>
                <w:p>
                  <w:pPr>
                    <w:adjustRightInd w:val="0"/>
                    <w:snapToGrid w:val="0"/>
                    <w:spacing w:line="360" w:lineRule="exact"/>
                    <w:jc w:val="center"/>
                    <w:rPr>
                      <w:color w:val="auto"/>
                    </w:rPr>
                  </w:pPr>
                  <w:r>
                    <w:rPr>
                      <w:color w:val="auto"/>
                    </w:rPr>
                    <w:t>平地机</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3" w:hRule="atLeast"/>
                <w:jc w:val="center"/>
              </w:trPr>
              <w:tc>
                <w:tcPr>
                  <w:tcW w:w="1398" w:type="dxa"/>
                  <w:noWrap w:val="0"/>
                  <w:vAlign w:val="center"/>
                </w:tcPr>
                <w:p>
                  <w:pPr>
                    <w:adjustRightInd w:val="0"/>
                    <w:snapToGrid w:val="0"/>
                    <w:spacing w:line="360" w:lineRule="exact"/>
                    <w:jc w:val="center"/>
                    <w:rPr>
                      <w:color w:val="auto"/>
                    </w:rPr>
                  </w:pPr>
                  <w:r>
                    <w:rPr>
                      <w:color w:val="auto"/>
                    </w:rPr>
                    <w:t>4</w:t>
                  </w:r>
                </w:p>
              </w:tc>
              <w:tc>
                <w:tcPr>
                  <w:tcW w:w="1967" w:type="dxa"/>
                  <w:noWrap w:val="0"/>
                  <w:vAlign w:val="center"/>
                </w:tcPr>
                <w:p>
                  <w:pPr>
                    <w:adjustRightInd w:val="0"/>
                    <w:snapToGrid w:val="0"/>
                    <w:spacing w:line="360" w:lineRule="exact"/>
                    <w:jc w:val="center"/>
                    <w:rPr>
                      <w:rFonts w:hint="eastAsia" w:eastAsia="宋体"/>
                      <w:color w:val="auto"/>
                      <w:lang w:eastAsia="zh-CN"/>
                    </w:rPr>
                  </w:pPr>
                  <w:r>
                    <w:rPr>
                      <w:rFonts w:hint="eastAsia"/>
                      <w:color w:val="auto"/>
                      <w:lang w:eastAsia="zh-CN"/>
                    </w:rPr>
                    <w:t>振捣器</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color w:val="auto"/>
                    </w:rPr>
                  </w:pPr>
                  <w:r>
                    <w:rPr>
                      <w:color w:val="auto"/>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8" w:type="dxa"/>
                  <w:noWrap w:val="0"/>
                  <w:vAlign w:val="center"/>
                </w:tcPr>
                <w:p>
                  <w:pPr>
                    <w:adjustRightInd w:val="0"/>
                    <w:snapToGrid w:val="0"/>
                    <w:spacing w:line="360" w:lineRule="exact"/>
                    <w:jc w:val="center"/>
                    <w:rPr>
                      <w:rFonts w:hint="eastAsia" w:eastAsia="宋体"/>
                      <w:color w:val="auto"/>
                      <w:lang w:eastAsia="zh-CN"/>
                    </w:rPr>
                  </w:pPr>
                  <w:r>
                    <w:rPr>
                      <w:rFonts w:hint="eastAsia"/>
                      <w:color w:val="auto"/>
                      <w:lang w:val="en-US" w:eastAsia="zh-CN"/>
                    </w:rPr>
                    <w:t>5</w:t>
                  </w:r>
                </w:p>
              </w:tc>
              <w:tc>
                <w:tcPr>
                  <w:tcW w:w="1967" w:type="dxa"/>
                  <w:noWrap w:val="0"/>
                  <w:vAlign w:val="center"/>
                </w:tcPr>
                <w:p>
                  <w:pPr>
                    <w:adjustRightInd w:val="0"/>
                    <w:snapToGrid w:val="0"/>
                    <w:spacing w:line="360" w:lineRule="exact"/>
                    <w:jc w:val="center"/>
                    <w:rPr>
                      <w:rFonts w:hint="eastAsia"/>
                      <w:color w:val="auto"/>
                    </w:rPr>
                  </w:pPr>
                  <w:r>
                    <w:rPr>
                      <w:rFonts w:hint="eastAsia"/>
                      <w:color w:val="auto"/>
                    </w:rPr>
                    <w:t>运载车辆</w:t>
                  </w:r>
                </w:p>
              </w:tc>
              <w:tc>
                <w:tcPr>
                  <w:tcW w:w="2109" w:type="dxa"/>
                  <w:noWrap w:val="0"/>
                  <w:vAlign w:val="center"/>
                </w:tcPr>
                <w:p>
                  <w:pPr>
                    <w:jc w:val="center"/>
                    <w:rPr>
                      <w:color w:val="auto"/>
                    </w:rPr>
                  </w:pPr>
                  <w:r>
                    <w:rPr>
                      <w:rFonts w:hint="eastAsia"/>
                      <w:color w:val="auto"/>
                    </w:rPr>
                    <w:t>1</w:t>
                  </w:r>
                </w:p>
              </w:tc>
              <w:tc>
                <w:tcPr>
                  <w:tcW w:w="2463" w:type="dxa"/>
                  <w:noWrap w:val="0"/>
                  <w:vAlign w:val="center"/>
                </w:tcPr>
                <w:p>
                  <w:pPr>
                    <w:adjustRightInd w:val="0"/>
                    <w:snapToGrid w:val="0"/>
                    <w:spacing w:line="360" w:lineRule="exact"/>
                    <w:jc w:val="center"/>
                    <w:rPr>
                      <w:rFonts w:hint="eastAsia"/>
                      <w:color w:val="auto"/>
                    </w:rPr>
                  </w:pPr>
                  <w:r>
                    <w:rPr>
                      <w:rFonts w:hint="eastAsia"/>
                      <w:color w:val="auto"/>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8" w:type="dxa"/>
                  <w:noWrap w:val="0"/>
                  <w:vAlign w:val="center"/>
                </w:tcPr>
                <w:p>
                  <w:pPr>
                    <w:adjustRightInd w:val="0"/>
                    <w:snapToGrid w:val="0"/>
                    <w:spacing w:line="360" w:lineRule="exact"/>
                    <w:jc w:val="center"/>
                    <w:rPr>
                      <w:rFonts w:hint="eastAsia"/>
                      <w:color w:val="auto"/>
                      <w:lang w:val="en-US" w:eastAsia="zh-CN"/>
                    </w:rPr>
                  </w:pPr>
                  <w:r>
                    <w:rPr>
                      <w:rFonts w:hint="eastAsia"/>
                      <w:color w:val="auto"/>
                      <w:lang w:val="en-US" w:eastAsia="zh-CN"/>
                    </w:rPr>
                    <w:t>6</w:t>
                  </w:r>
                </w:p>
              </w:tc>
              <w:tc>
                <w:tcPr>
                  <w:tcW w:w="1967" w:type="dxa"/>
                  <w:noWrap w:val="0"/>
                  <w:vAlign w:val="center"/>
                </w:tcPr>
                <w:p>
                  <w:pPr>
                    <w:adjustRightInd w:val="0"/>
                    <w:snapToGrid w:val="0"/>
                    <w:spacing w:line="360" w:lineRule="exact"/>
                    <w:jc w:val="center"/>
                    <w:rPr>
                      <w:rFonts w:hint="eastAsia"/>
                      <w:color w:val="auto"/>
                      <w:lang w:eastAsia="zh-CN"/>
                    </w:rPr>
                  </w:pPr>
                  <w:r>
                    <w:rPr>
                      <w:rFonts w:hint="eastAsia"/>
                      <w:color w:val="auto"/>
                      <w:lang w:eastAsia="zh-CN"/>
                    </w:rPr>
                    <w:t>雾炮车</w:t>
                  </w:r>
                </w:p>
              </w:tc>
              <w:tc>
                <w:tcPr>
                  <w:tcW w:w="2109" w:type="dxa"/>
                  <w:noWrap w:val="0"/>
                  <w:vAlign w:val="center"/>
                </w:tcPr>
                <w:p>
                  <w:pPr>
                    <w:jc w:val="center"/>
                    <w:rPr>
                      <w:rFonts w:hint="eastAsia"/>
                      <w:color w:val="auto"/>
                      <w:lang w:val="en-US" w:eastAsia="zh-CN"/>
                    </w:rPr>
                  </w:pPr>
                  <w:r>
                    <w:rPr>
                      <w:rFonts w:hint="eastAsia"/>
                      <w:color w:val="auto"/>
                      <w:lang w:val="en-US" w:eastAsia="zh-CN"/>
                    </w:rPr>
                    <w:t>2</w:t>
                  </w:r>
                </w:p>
              </w:tc>
              <w:tc>
                <w:tcPr>
                  <w:tcW w:w="2463" w:type="dxa"/>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80</w:t>
                  </w:r>
                </w:p>
              </w:tc>
            </w:tr>
          </w:tbl>
          <w:p>
            <w:pPr>
              <w:adjustRightInd w:val="0"/>
              <w:snapToGrid w:val="0"/>
              <w:spacing w:line="480" w:lineRule="exact"/>
              <w:ind w:firstLine="480" w:firstLineChars="200"/>
              <w:jc w:val="left"/>
              <w:rPr>
                <w:color w:val="auto"/>
                <w:sz w:val="24"/>
                <w:szCs w:val="24"/>
              </w:rPr>
            </w:pPr>
            <w:r>
              <w:rPr>
                <w:color w:val="auto"/>
                <w:sz w:val="24"/>
                <w:szCs w:val="24"/>
              </w:rPr>
              <w:t>⑵施工期声环境影响预测</w:t>
            </w:r>
          </w:p>
          <w:p>
            <w:pPr>
              <w:adjustRightInd w:val="0"/>
              <w:snapToGrid w:val="0"/>
              <w:spacing w:line="480" w:lineRule="exact"/>
              <w:ind w:firstLine="480" w:firstLineChars="200"/>
              <w:jc w:val="left"/>
              <w:rPr>
                <w:color w:val="auto"/>
                <w:sz w:val="24"/>
                <w:szCs w:val="24"/>
              </w:rPr>
            </w:pPr>
            <w:r>
              <w:rPr>
                <w:color w:val="auto"/>
                <w:sz w:val="24"/>
                <w:szCs w:val="24"/>
              </w:rPr>
              <w:t>① 预测模式</w:t>
            </w:r>
          </w:p>
          <w:p>
            <w:pPr>
              <w:adjustRightInd w:val="0"/>
              <w:snapToGrid w:val="0"/>
              <w:spacing w:line="480" w:lineRule="exact"/>
              <w:ind w:firstLine="480" w:firstLineChars="200"/>
              <w:jc w:val="left"/>
              <w:rPr>
                <w:color w:val="auto"/>
                <w:sz w:val="24"/>
                <w:szCs w:val="24"/>
              </w:rPr>
            </w:pPr>
            <w:r>
              <w:rPr>
                <w:color w:val="auto"/>
                <w:sz w:val="24"/>
                <w:szCs w:val="24"/>
              </w:rPr>
              <w:t>施工噪声可按点声源处理，根据合成声源、点声源噪声衰减模式，估算出距声源不同距离处的噪声值，预测模式如下：</w:t>
            </w:r>
          </w:p>
          <w:p>
            <w:pPr>
              <w:adjustRightInd w:val="0"/>
              <w:snapToGrid w:val="0"/>
              <w:spacing w:line="480" w:lineRule="exact"/>
              <w:ind w:firstLine="480" w:firstLineChars="200"/>
              <w:jc w:val="left"/>
              <w:rPr>
                <w:color w:val="auto"/>
                <w:sz w:val="24"/>
                <w:szCs w:val="24"/>
              </w:rPr>
            </w:pPr>
            <w:r>
              <w:rPr>
                <w:color w:val="auto"/>
                <w:sz w:val="24"/>
                <w:szCs w:val="24"/>
              </w:rPr>
              <w:t>合成声源模式：</w:t>
            </w:r>
          </w:p>
          <w:p>
            <w:pPr>
              <w:adjustRightInd w:val="0"/>
              <w:snapToGrid w:val="0"/>
              <w:spacing w:line="360" w:lineRule="auto"/>
              <w:ind w:firstLine="2400" w:firstLineChars="1000"/>
              <w:jc w:val="left"/>
              <w:rPr>
                <w:color w:val="auto"/>
                <w:sz w:val="24"/>
                <w:szCs w:val="24"/>
              </w:rPr>
            </w:pPr>
            <w:r>
              <w:rPr>
                <w:color w:val="auto"/>
                <w:sz w:val="24"/>
                <w:szCs w:val="24"/>
              </w:rPr>
              <w:object>
                <v:shape id="_x0000_i1026" o:spt="75" type="#_x0000_t75" style="height:36pt;width:168.35pt;" o:ole="t" filled="f" o:preferrelative="t" stroked="f" coordsize="21600,21600">
                  <v:path/>
                  <v:fill on="f" alignshape="1" focussize="0,0"/>
                  <v:stroke on="f"/>
                  <v:imagedata r:id="rId16" o:title=""/>
                  <o:lock v:ext="edit" aspectratio="t"/>
                  <w10:wrap type="none"/>
                  <w10:anchorlock/>
                </v:shape>
                <o:OLEObject Type="Embed" ProgID="Equation.3" ShapeID="_x0000_i1026" DrawAspect="Content" ObjectID="_1468075727" r:id="rId15">
                  <o:LockedField>false</o:LockedField>
                </o:OLEObject>
              </w:object>
            </w:r>
          </w:p>
          <w:p>
            <w:pPr>
              <w:adjustRightInd w:val="0"/>
              <w:snapToGrid w:val="0"/>
              <w:spacing w:line="360" w:lineRule="auto"/>
              <w:ind w:firstLine="480" w:firstLineChars="200"/>
              <w:jc w:val="left"/>
              <w:rPr>
                <w:color w:val="auto"/>
                <w:sz w:val="24"/>
                <w:szCs w:val="24"/>
              </w:rPr>
            </w:pPr>
            <w:r>
              <w:rPr>
                <w:color w:val="auto"/>
                <w:sz w:val="24"/>
                <w:szCs w:val="24"/>
              </w:rPr>
              <w:t>式中：LA：合成声源声级，dB（A）</w:t>
            </w:r>
          </w:p>
          <w:p>
            <w:pPr>
              <w:adjustRightInd w:val="0"/>
              <w:snapToGrid w:val="0"/>
              <w:spacing w:line="360" w:lineRule="auto"/>
              <w:ind w:firstLine="480" w:firstLineChars="200"/>
              <w:jc w:val="left"/>
              <w:rPr>
                <w:color w:val="auto"/>
                <w:sz w:val="24"/>
                <w:szCs w:val="24"/>
              </w:rPr>
            </w:pPr>
            <w:r>
              <w:rPr>
                <w:color w:val="auto"/>
                <w:sz w:val="24"/>
                <w:szCs w:val="24"/>
              </w:rPr>
              <w:t xml:space="preserve">      n： 声源个数；</w:t>
            </w:r>
          </w:p>
          <w:p>
            <w:pPr>
              <w:adjustRightInd w:val="0"/>
              <w:snapToGrid w:val="0"/>
              <w:spacing w:line="360" w:lineRule="auto"/>
              <w:ind w:firstLine="480" w:firstLineChars="200"/>
              <w:jc w:val="left"/>
              <w:rPr>
                <w:color w:val="auto"/>
                <w:sz w:val="24"/>
                <w:szCs w:val="24"/>
              </w:rPr>
            </w:pPr>
            <w:r>
              <w:rPr>
                <w:color w:val="auto"/>
                <w:sz w:val="24"/>
                <w:szCs w:val="24"/>
              </w:rPr>
              <w:t xml:space="preserve">      Li： 某声源的噪声值，dB（A）。</w:t>
            </w:r>
          </w:p>
          <w:p>
            <w:pPr>
              <w:adjustRightInd w:val="0"/>
              <w:snapToGrid w:val="0"/>
              <w:spacing w:line="360" w:lineRule="auto"/>
              <w:ind w:firstLine="480" w:firstLineChars="200"/>
              <w:jc w:val="left"/>
              <w:rPr>
                <w:color w:val="auto"/>
                <w:sz w:val="24"/>
                <w:szCs w:val="24"/>
              </w:rPr>
            </w:pPr>
            <w:r>
              <w:rPr>
                <w:color w:val="auto"/>
                <w:sz w:val="24"/>
                <w:szCs w:val="24"/>
              </w:rPr>
              <w:t>点声源衰减模式：</w:t>
            </w:r>
          </w:p>
          <w:p>
            <w:pPr>
              <w:adjustRightInd w:val="0"/>
              <w:snapToGrid w:val="0"/>
              <w:spacing w:line="360" w:lineRule="auto"/>
              <w:ind w:firstLine="480" w:firstLineChars="200"/>
              <w:jc w:val="left"/>
              <w:rPr>
                <w:color w:val="auto"/>
                <w:sz w:val="24"/>
                <w:szCs w:val="24"/>
              </w:rPr>
            </w:pPr>
            <w:r>
              <w:rPr>
                <w:color w:val="auto"/>
                <w:sz w:val="24"/>
                <w:szCs w:val="24"/>
              </w:rPr>
              <w:t xml:space="preserve">               Li=L0-20lg (ri/r0)</w:t>
            </w:r>
          </w:p>
          <w:p>
            <w:pPr>
              <w:adjustRightInd w:val="0"/>
              <w:snapToGrid w:val="0"/>
              <w:spacing w:line="360" w:lineRule="auto"/>
              <w:ind w:firstLine="480" w:firstLineChars="200"/>
              <w:jc w:val="left"/>
              <w:rPr>
                <w:color w:val="auto"/>
                <w:sz w:val="24"/>
                <w:szCs w:val="24"/>
              </w:rPr>
            </w:pPr>
            <w:r>
              <w:rPr>
                <w:color w:val="auto"/>
                <w:sz w:val="24"/>
                <w:szCs w:val="24"/>
              </w:rPr>
              <w:t>式中：Li：距声源rim处的声级，dB（A）；</w:t>
            </w:r>
          </w:p>
          <w:p>
            <w:pPr>
              <w:adjustRightInd w:val="0"/>
              <w:snapToGrid w:val="0"/>
              <w:spacing w:line="360" w:lineRule="auto"/>
              <w:ind w:firstLine="480" w:firstLineChars="200"/>
              <w:jc w:val="left"/>
              <w:rPr>
                <w:color w:val="auto"/>
                <w:sz w:val="24"/>
                <w:szCs w:val="24"/>
              </w:rPr>
            </w:pPr>
            <w:r>
              <w:rPr>
                <w:color w:val="auto"/>
                <w:sz w:val="24"/>
                <w:szCs w:val="24"/>
              </w:rPr>
              <w:t xml:space="preserve">      L0：距声源r0m处的声级，dB（A）。</w:t>
            </w:r>
          </w:p>
          <w:p>
            <w:pPr>
              <w:adjustRightInd w:val="0"/>
              <w:snapToGrid w:val="0"/>
              <w:spacing w:line="360" w:lineRule="auto"/>
              <w:ind w:firstLine="480" w:firstLineChars="200"/>
              <w:jc w:val="left"/>
              <w:rPr>
                <w:color w:val="auto"/>
                <w:sz w:val="24"/>
                <w:szCs w:val="24"/>
              </w:rPr>
            </w:pPr>
            <w:r>
              <w:rPr>
                <w:color w:val="auto"/>
                <w:sz w:val="24"/>
                <w:szCs w:val="24"/>
              </w:rPr>
              <w:t>② 预测结果</w:t>
            </w:r>
          </w:p>
          <w:p>
            <w:pPr>
              <w:adjustRightInd w:val="0"/>
              <w:snapToGrid w:val="0"/>
              <w:spacing w:line="360" w:lineRule="auto"/>
              <w:ind w:firstLine="480" w:firstLineChars="200"/>
              <w:jc w:val="left"/>
              <w:rPr>
                <w:rFonts w:hint="eastAsia"/>
                <w:color w:val="auto"/>
              </w:rPr>
            </w:pPr>
            <w:r>
              <w:rPr>
                <w:color w:val="auto"/>
                <w:sz w:val="24"/>
                <w:szCs w:val="24"/>
              </w:rPr>
              <w:t>根据预测模式对施工机械噪声影响范围进行预测，预测结果见</w:t>
            </w:r>
            <w:r>
              <w:rPr>
                <w:rFonts w:hint="eastAsia"/>
                <w:color w:val="auto"/>
                <w:sz w:val="24"/>
                <w:szCs w:val="24"/>
                <w:lang w:val="en-US" w:eastAsia="zh-CN"/>
              </w:rPr>
              <w:t>下</w:t>
            </w:r>
            <w:r>
              <w:rPr>
                <w:color w:val="auto"/>
                <w:sz w:val="24"/>
                <w:szCs w:val="24"/>
              </w:rPr>
              <w:t>表</w:t>
            </w:r>
            <w:r>
              <w:rPr>
                <w:rFonts w:hint="eastAsia"/>
                <w:color w:val="auto"/>
                <w:sz w:val="24"/>
                <w:szCs w:val="24"/>
              </w:rPr>
              <w:t>。</w:t>
            </w:r>
          </w:p>
          <w:p>
            <w:pPr>
              <w:spacing w:line="500" w:lineRule="exact"/>
              <w:ind w:firstLine="361" w:firstLineChars="150"/>
              <w:jc w:val="center"/>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18</w:t>
            </w:r>
            <w:r>
              <w:rPr>
                <w:rFonts w:hint="default" w:ascii="Times New Roman" w:hAnsi="Times New Roman" w:eastAsia="宋体" w:cs="Times New Roman"/>
                <w:b/>
                <w:bCs/>
                <w:color w:val="auto"/>
                <w:sz w:val="24"/>
                <w:highlight w:val="none"/>
                <w:lang w:val="zh-CN"/>
              </w:rPr>
              <w:t xml:space="preserve">    主要施工机械不同距离处的噪声值      dB（A）</w:t>
            </w:r>
          </w:p>
          <w:tbl>
            <w:tblPr>
              <w:tblStyle w:val="20"/>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35"/>
              <w:gridCol w:w="482"/>
              <w:gridCol w:w="604"/>
              <w:gridCol w:w="519"/>
              <w:gridCol w:w="568"/>
              <w:gridCol w:w="545"/>
              <w:gridCol w:w="609"/>
              <w:gridCol w:w="564"/>
              <w:gridCol w:w="631"/>
              <w:gridCol w:w="632"/>
              <w:gridCol w:w="63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22" w:type="dxa"/>
                  <w:vMerge w:val="restart"/>
                  <w:tcBorders>
                    <w:top w:val="single" w:color="auto" w:sz="12" w:space="0"/>
                    <w:left w:val="single" w:color="auto" w:sz="12" w:space="0"/>
                    <w:tl2br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lang w:val="en-US" w:eastAsia="zh-CN"/>
                    </w:rPr>
                    <w:t xml:space="preserve">  </w:t>
                  </w:r>
                  <w:r>
                    <w:rPr>
                      <w:rFonts w:hint="default"/>
                      <w:color w:val="auto"/>
                    </w:rPr>
                    <w:t xml:space="preserve">声压级   </w:t>
                  </w:r>
                </w:p>
                <w:p>
                  <w:pPr>
                    <w:adjustRightInd w:val="0"/>
                    <w:snapToGrid w:val="0"/>
                    <w:spacing w:line="360" w:lineRule="exact"/>
                    <w:rPr>
                      <w:rFonts w:hint="default"/>
                      <w:color w:val="auto"/>
                    </w:rPr>
                  </w:pPr>
                  <w:r>
                    <w:rPr>
                      <w:rFonts w:hint="default"/>
                      <w:color w:val="auto"/>
                    </w:rPr>
                    <w:t>施工</w:t>
                  </w:r>
                </w:p>
                <w:p>
                  <w:pPr>
                    <w:adjustRightInd w:val="0"/>
                    <w:snapToGrid w:val="0"/>
                    <w:spacing w:line="360" w:lineRule="exact"/>
                    <w:rPr>
                      <w:rFonts w:hint="default"/>
                      <w:color w:val="auto"/>
                    </w:rPr>
                  </w:pPr>
                  <w:r>
                    <w:rPr>
                      <w:rFonts w:hint="default"/>
                      <w:color w:val="auto"/>
                    </w:rPr>
                    <w:t>机械</w:t>
                  </w:r>
                </w:p>
              </w:tc>
              <w:tc>
                <w:tcPr>
                  <w:tcW w:w="4326" w:type="dxa"/>
                  <w:gridSpan w:val="8"/>
                  <w:tcBorders>
                    <w:top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距   离（m）</w:t>
                  </w:r>
                </w:p>
              </w:tc>
              <w:tc>
                <w:tcPr>
                  <w:tcW w:w="1263" w:type="dxa"/>
                  <w:gridSpan w:val="2"/>
                  <w:tcBorders>
                    <w:top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标准值</w:t>
                  </w:r>
                </w:p>
              </w:tc>
              <w:tc>
                <w:tcPr>
                  <w:tcW w:w="1226" w:type="dxa"/>
                  <w:gridSpan w:val="2"/>
                  <w:tcBorders>
                    <w:top w:val="single" w:color="auto" w:sz="12"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达标距离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22" w:type="dxa"/>
                  <w:vMerge w:val="continue"/>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435"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5</w:t>
                  </w:r>
                </w:p>
              </w:tc>
              <w:tc>
                <w:tcPr>
                  <w:tcW w:w="482"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10</w:t>
                  </w:r>
                </w:p>
              </w:tc>
              <w:tc>
                <w:tcPr>
                  <w:tcW w:w="604"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20</w:t>
                  </w:r>
                </w:p>
              </w:tc>
              <w:tc>
                <w:tcPr>
                  <w:tcW w:w="519"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40</w:t>
                  </w:r>
                </w:p>
              </w:tc>
              <w:tc>
                <w:tcPr>
                  <w:tcW w:w="568"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80</w:t>
                  </w:r>
                </w:p>
              </w:tc>
              <w:tc>
                <w:tcPr>
                  <w:tcW w:w="545"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100</w:t>
                  </w:r>
                </w:p>
              </w:tc>
              <w:tc>
                <w:tcPr>
                  <w:tcW w:w="609"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150</w:t>
                  </w:r>
                </w:p>
              </w:tc>
              <w:tc>
                <w:tcPr>
                  <w:tcW w:w="564" w:type="dxa"/>
                  <w:tcBorders>
                    <w:left w:val="single" w:color="auto" w:sz="4" w:space="0"/>
                    <w:right w:val="single" w:color="auto" w:sz="4" w:space="0"/>
                  </w:tcBorders>
                  <w:noWrap w:val="0"/>
                  <w:vAlign w:val="center"/>
                </w:tcPr>
                <w:p>
                  <w:pPr>
                    <w:adjustRightInd w:val="0"/>
                    <w:snapToGrid w:val="0"/>
                    <w:jc w:val="center"/>
                    <w:rPr>
                      <w:rFonts w:hint="default"/>
                      <w:color w:val="auto"/>
                    </w:rPr>
                  </w:pPr>
                  <w:r>
                    <w:rPr>
                      <w:rFonts w:hint="default"/>
                      <w:color w:val="auto"/>
                    </w:rPr>
                    <w:t>200</w:t>
                  </w:r>
                </w:p>
              </w:tc>
              <w:tc>
                <w:tcPr>
                  <w:tcW w:w="631"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昼间</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夜间</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昼间</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挖掘机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76</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64</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58</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52</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631" w:type="dxa"/>
                  <w:vMerge w:val="restart"/>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32" w:type="dxa"/>
                  <w:vMerge w:val="restart"/>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55</w:t>
                  </w: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推土机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72</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66</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60</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54</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48</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40</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平地机</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76</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70</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64</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58</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52</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jc w:val="center"/>
                    <w:rPr>
                      <w:rFonts w:hint="default"/>
                      <w:color w:val="auto"/>
                    </w:rPr>
                  </w:pPr>
                  <w:r>
                    <w:rPr>
                      <w:rFonts w:hint="eastAsia"/>
                      <w:color w:val="auto"/>
                      <w:lang w:eastAsia="zh-CN"/>
                    </w:rPr>
                    <w:t>振捣器</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72</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66</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60</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54</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48</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46</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40</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10</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运载车辆</w:t>
                  </w:r>
                </w:p>
              </w:tc>
              <w:tc>
                <w:tcPr>
                  <w:tcW w:w="43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68</w:t>
                  </w:r>
                </w:p>
              </w:tc>
              <w:tc>
                <w:tcPr>
                  <w:tcW w:w="48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62</w:t>
                  </w:r>
                </w:p>
              </w:tc>
              <w:tc>
                <w:tcPr>
                  <w:tcW w:w="60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56</w:t>
                  </w:r>
                </w:p>
              </w:tc>
              <w:tc>
                <w:tcPr>
                  <w:tcW w:w="51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50</w:t>
                  </w:r>
                </w:p>
              </w:tc>
              <w:tc>
                <w:tcPr>
                  <w:tcW w:w="568"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44</w:t>
                  </w:r>
                </w:p>
              </w:tc>
              <w:tc>
                <w:tcPr>
                  <w:tcW w:w="545"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42</w:t>
                  </w:r>
                </w:p>
              </w:tc>
              <w:tc>
                <w:tcPr>
                  <w:tcW w:w="609"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38</w:t>
                  </w:r>
                </w:p>
              </w:tc>
              <w:tc>
                <w:tcPr>
                  <w:tcW w:w="564"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36</w:t>
                  </w:r>
                </w:p>
              </w:tc>
              <w:tc>
                <w:tcPr>
                  <w:tcW w:w="631"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right w:val="single" w:color="auto" w:sz="4" w:space="0"/>
                  </w:tcBorders>
                  <w:noWrap w:val="0"/>
                  <w:vAlign w:val="center"/>
                </w:tcPr>
                <w:p>
                  <w:pPr>
                    <w:adjustRightInd w:val="0"/>
                    <w:snapToGrid w:val="0"/>
                    <w:spacing w:line="360" w:lineRule="exact"/>
                    <w:jc w:val="center"/>
                    <w:rPr>
                      <w:rFonts w:hint="default"/>
                      <w:color w:val="auto"/>
                    </w:rPr>
                  </w:pPr>
                  <w:r>
                    <w:rPr>
                      <w:rFonts w:hint="default"/>
                      <w:color w:val="auto"/>
                    </w:rPr>
                    <w:t>—</w:t>
                  </w:r>
                </w:p>
              </w:tc>
              <w:tc>
                <w:tcPr>
                  <w:tcW w:w="594" w:type="dxa"/>
                  <w:tcBorders>
                    <w:left w:val="single" w:color="auto" w:sz="4" w:space="0"/>
                    <w:right w:val="single" w:color="auto" w:sz="12" w:space="0"/>
                  </w:tcBorders>
                  <w:noWrap w:val="0"/>
                  <w:vAlign w:val="center"/>
                </w:tcPr>
                <w:p>
                  <w:pPr>
                    <w:adjustRightInd w:val="0"/>
                    <w:snapToGrid w:val="0"/>
                    <w:spacing w:line="360" w:lineRule="exact"/>
                    <w:jc w:val="center"/>
                    <w:rPr>
                      <w:rFonts w:hint="default"/>
                      <w:color w:val="auto"/>
                    </w:rPr>
                  </w:pPr>
                  <w:r>
                    <w:rPr>
                      <w:rFonts w:hint="default"/>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22" w:type="dxa"/>
                  <w:tcBorders>
                    <w:left w:val="single" w:color="auto" w:sz="12" w:space="0"/>
                    <w:bottom w:val="single" w:color="auto" w:sz="12" w:space="0"/>
                    <w:right w:val="single" w:color="auto" w:sz="4" w:space="0"/>
                  </w:tcBorders>
                  <w:noWrap w:val="0"/>
                  <w:vAlign w:val="center"/>
                </w:tcPr>
                <w:p>
                  <w:pPr>
                    <w:adjustRightInd w:val="0"/>
                    <w:snapToGrid w:val="0"/>
                    <w:spacing w:line="360" w:lineRule="exact"/>
                    <w:jc w:val="center"/>
                    <w:rPr>
                      <w:rFonts w:hint="eastAsia"/>
                      <w:color w:val="auto"/>
                      <w:lang w:eastAsia="zh-CN"/>
                    </w:rPr>
                  </w:pPr>
                  <w:r>
                    <w:rPr>
                      <w:rFonts w:hint="eastAsia"/>
                      <w:color w:val="auto"/>
                      <w:lang w:eastAsia="zh-CN"/>
                    </w:rPr>
                    <w:t>雾炮车</w:t>
                  </w:r>
                </w:p>
              </w:tc>
              <w:tc>
                <w:tcPr>
                  <w:tcW w:w="435"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66</w:t>
                  </w:r>
                </w:p>
              </w:tc>
              <w:tc>
                <w:tcPr>
                  <w:tcW w:w="482"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60</w:t>
                  </w:r>
                </w:p>
              </w:tc>
              <w:tc>
                <w:tcPr>
                  <w:tcW w:w="604"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54</w:t>
                  </w:r>
                </w:p>
              </w:tc>
              <w:tc>
                <w:tcPr>
                  <w:tcW w:w="519"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48</w:t>
                  </w:r>
                </w:p>
              </w:tc>
              <w:tc>
                <w:tcPr>
                  <w:tcW w:w="568"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42</w:t>
                  </w:r>
                </w:p>
              </w:tc>
              <w:tc>
                <w:tcPr>
                  <w:tcW w:w="545"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40</w:t>
                  </w:r>
                </w:p>
              </w:tc>
              <w:tc>
                <w:tcPr>
                  <w:tcW w:w="609"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37</w:t>
                  </w:r>
                </w:p>
              </w:tc>
              <w:tc>
                <w:tcPr>
                  <w:tcW w:w="564"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34</w:t>
                  </w:r>
                </w:p>
              </w:tc>
              <w:tc>
                <w:tcPr>
                  <w:tcW w:w="631" w:type="dxa"/>
                  <w:vMerge w:val="continue"/>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vMerge w:val="continue"/>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rPr>
                  </w:pPr>
                </w:p>
              </w:tc>
              <w:tc>
                <w:tcPr>
                  <w:tcW w:w="632" w:type="dxa"/>
                  <w:tcBorders>
                    <w:left w:val="single" w:color="auto" w:sz="4" w:space="0"/>
                    <w:bottom w:val="single" w:color="auto" w:sz="12" w:space="0"/>
                    <w:right w:val="single" w:color="auto" w:sz="4" w:space="0"/>
                  </w:tcBorders>
                  <w:noWrap w:val="0"/>
                  <w:vAlign w:val="center"/>
                </w:tcPr>
                <w:p>
                  <w:pPr>
                    <w:adjustRightInd w:val="0"/>
                    <w:snapToGrid w:val="0"/>
                    <w:spacing w:line="360" w:lineRule="exact"/>
                    <w:jc w:val="center"/>
                    <w:rPr>
                      <w:rFonts w:hint="default"/>
                      <w:color w:val="auto"/>
                      <w:lang w:val="en-US" w:eastAsia="zh-CN"/>
                    </w:rPr>
                  </w:pPr>
                  <w:r>
                    <w:rPr>
                      <w:rFonts w:hint="default"/>
                      <w:color w:val="auto"/>
                    </w:rPr>
                    <w:t>—</w:t>
                  </w:r>
                </w:p>
              </w:tc>
              <w:tc>
                <w:tcPr>
                  <w:tcW w:w="594" w:type="dxa"/>
                  <w:tcBorders>
                    <w:left w:val="single" w:color="auto" w:sz="4" w:space="0"/>
                    <w:bottom w:val="single" w:color="auto" w:sz="12" w:space="0"/>
                    <w:right w:val="single" w:color="auto" w:sz="12" w:space="0"/>
                  </w:tcBorders>
                  <w:noWrap w:val="0"/>
                  <w:vAlign w:val="center"/>
                </w:tcPr>
                <w:p>
                  <w:pPr>
                    <w:adjustRightInd w:val="0"/>
                    <w:snapToGrid w:val="0"/>
                    <w:spacing w:line="360" w:lineRule="exact"/>
                    <w:jc w:val="center"/>
                    <w:rPr>
                      <w:rFonts w:hint="default"/>
                      <w:color w:val="auto"/>
                      <w:lang w:val="en-US" w:eastAsia="zh-CN"/>
                    </w:rPr>
                  </w:pPr>
                  <w:r>
                    <w:rPr>
                      <w:rFonts w:hint="eastAsia"/>
                      <w:color w:val="auto"/>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⑶施工期声环境影响分析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根据《建筑施工场界环境噪声排放标准》（GB12523—2011）的规定，昼间的噪声限值为70dB（A），夜间限值为55dB（A）。由预测结果可知：昼间施工机械噪声在距施工场地10m处可达标，夜间在距施工场地80m处可达标。</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color w:val="auto"/>
                <w:sz w:val="24"/>
                <w:szCs w:val="24"/>
              </w:rPr>
            </w:pPr>
            <w:r>
              <w:rPr>
                <w:rFonts w:hint="default"/>
                <w:color w:val="auto"/>
                <w:sz w:val="24"/>
                <w:szCs w:val="24"/>
              </w:rPr>
              <w:t>项目施工过程对周围声环境将产生一定程度的影响，为保护</w:t>
            </w:r>
            <w:r>
              <w:rPr>
                <w:rFonts w:hint="eastAsia"/>
                <w:color w:val="auto"/>
                <w:sz w:val="24"/>
                <w:szCs w:val="24"/>
                <w:lang w:eastAsia="zh-CN"/>
              </w:rPr>
              <w:t>周边</w:t>
            </w:r>
            <w:r>
              <w:rPr>
                <w:rFonts w:hint="default"/>
                <w:color w:val="auto"/>
                <w:sz w:val="24"/>
                <w:szCs w:val="24"/>
              </w:rPr>
              <w:t>居民的正常生活和休息，建设单位应采取必要的噪声控制措施，昼间施工时在</w:t>
            </w:r>
            <w:r>
              <w:rPr>
                <w:rFonts w:hint="eastAsia"/>
                <w:color w:val="auto"/>
                <w:sz w:val="24"/>
                <w:szCs w:val="24"/>
                <w:lang w:eastAsia="zh-CN"/>
              </w:rPr>
              <w:t>靠近东黄各庄村的施工区域西侧</w:t>
            </w:r>
            <w:r>
              <w:rPr>
                <w:rFonts w:hint="default"/>
                <w:color w:val="auto"/>
                <w:sz w:val="24"/>
                <w:szCs w:val="24"/>
              </w:rPr>
              <w:t>设置围挡，夜间禁止施工，施工时间短。经采取措施后，对声环境质量影响很小，且其影响是暂时的、局部的，采取一定的降噪措施、妥善安排作业计划、做到文明施工，对周围声环境影响很小，并将随施工期结束，该影响也将消失。</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为进一步降低施工噪声对环境的影响，采取以下措施：</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①施工单位必须在工程开工十五日以前向工程所在地县级以上地方人民政府环境保护行政主管部门申报该工程的项目名称、施工场所和期限、可能产生的环境噪声值以及所采取的环境噪声污染防治措施的情况；</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②从源头上控制施工噪声，尽可能选用低噪声设备。同时</w:t>
            </w:r>
            <w:r>
              <w:rPr>
                <w:rFonts w:hint="eastAsia"/>
                <w:color w:val="auto"/>
                <w:sz w:val="24"/>
                <w:szCs w:val="24"/>
                <w:lang w:eastAsia="zh-CN"/>
              </w:rPr>
              <w:t>施工</w:t>
            </w:r>
            <w:r>
              <w:rPr>
                <w:rFonts w:hint="default"/>
                <w:color w:val="auto"/>
                <w:sz w:val="24"/>
                <w:szCs w:val="24"/>
              </w:rPr>
              <w:t>设备加强检查、维护和保养，保持润滑，紧固各部件，以减少机械运行噪声。</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both"/>
              <w:textAlignment w:val="auto"/>
              <w:rPr>
                <w:rFonts w:hint="default"/>
                <w:color w:val="auto"/>
                <w:sz w:val="24"/>
                <w:szCs w:val="24"/>
              </w:rPr>
            </w:pPr>
            <w:r>
              <w:rPr>
                <w:rFonts w:hint="default"/>
                <w:color w:val="auto"/>
                <w:sz w:val="24"/>
                <w:szCs w:val="24"/>
              </w:rPr>
              <w:t>③施工单位应合理安排施工计划和作业面积，做到文明施工。施工时为避免影响交通</w:t>
            </w:r>
            <w:r>
              <w:rPr>
                <w:rFonts w:hint="default"/>
                <w:color w:val="auto"/>
                <w:sz w:val="24"/>
                <w:szCs w:val="24"/>
                <w:highlight w:val="none"/>
              </w:rPr>
              <w:t>，夜间</w:t>
            </w:r>
            <w:r>
              <w:rPr>
                <w:rFonts w:hint="eastAsia"/>
                <w:color w:val="auto"/>
                <w:sz w:val="24"/>
                <w:szCs w:val="24"/>
                <w:highlight w:val="none"/>
                <w:lang w:eastAsia="zh-CN"/>
              </w:rPr>
              <w:t>、中午</w:t>
            </w:r>
            <w:r>
              <w:rPr>
                <w:rFonts w:hint="default"/>
                <w:color w:val="auto"/>
                <w:sz w:val="24"/>
                <w:szCs w:val="24"/>
                <w:highlight w:val="none"/>
              </w:rPr>
              <w:t>禁止施工，</w:t>
            </w:r>
            <w:r>
              <w:rPr>
                <w:rFonts w:hint="default"/>
                <w:color w:val="auto"/>
                <w:sz w:val="24"/>
                <w:szCs w:val="24"/>
              </w:rPr>
              <w:t>合理布局施工现场。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color w:val="auto"/>
                <w:sz w:val="24"/>
                <w:szCs w:val="24"/>
              </w:rPr>
            </w:pPr>
            <w:r>
              <w:rPr>
                <w:rFonts w:hint="default"/>
                <w:color w:val="auto"/>
                <w:sz w:val="24"/>
                <w:szCs w:val="24"/>
              </w:rPr>
              <w:t>采取措施后，可满足</w:t>
            </w:r>
            <w:r>
              <w:rPr>
                <w:rFonts w:hint="default"/>
                <w:color w:val="auto"/>
                <w:sz w:val="24"/>
                <w:szCs w:val="24"/>
                <w:lang w:val="zh-CN"/>
              </w:rPr>
              <w:t>《建筑施工场界环境噪声排放标准》（GB12523—2011）</w:t>
            </w:r>
            <w:r>
              <w:rPr>
                <w:rFonts w:hint="default"/>
                <w:color w:val="auto"/>
                <w:sz w:val="24"/>
                <w:szCs w:val="24"/>
              </w:rPr>
              <w:t>的要求，对周边环境影响很小</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olor w:val="auto"/>
                <w:sz w:val="24"/>
                <w:szCs w:val="24"/>
              </w:rPr>
            </w:pPr>
            <w:r>
              <w:rPr>
                <w:rFonts w:hint="default"/>
                <w:color w:val="auto"/>
                <w:sz w:val="24"/>
                <w:szCs w:val="24"/>
              </w:rPr>
              <w:t>3、施工期对水环境的影响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项目施工期废水</w:t>
            </w:r>
            <w:r>
              <w:rPr>
                <w:rFonts w:hint="eastAsia"/>
                <w:color w:val="auto"/>
                <w:sz w:val="24"/>
                <w:szCs w:val="24"/>
                <w:lang w:eastAsia="zh-CN"/>
              </w:rPr>
              <w:t>为</w:t>
            </w:r>
            <w:r>
              <w:rPr>
                <w:rFonts w:hint="default"/>
                <w:color w:val="auto"/>
                <w:sz w:val="24"/>
                <w:szCs w:val="24"/>
              </w:rPr>
              <w:t>施工人员产生</w:t>
            </w:r>
            <w:r>
              <w:rPr>
                <w:rFonts w:hint="eastAsia"/>
                <w:color w:val="auto"/>
                <w:sz w:val="24"/>
                <w:szCs w:val="24"/>
                <w:lang w:eastAsia="zh-CN"/>
              </w:rPr>
              <w:t>的</w:t>
            </w:r>
            <w:r>
              <w:rPr>
                <w:rFonts w:hint="default"/>
                <w:color w:val="auto"/>
                <w:sz w:val="24"/>
                <w:szCs w:val="24"/>
              </w:rPr>
              <w:t>生活污水。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w:t>
            </w:r>
            <w:r>
              <w:rPr>
                <w:rFonts w:hint="default"/>
                <w:color w:val="auto"/>
                <w:sz w:val="24"/>
                <w:szCs w:val="24"/>
                <w:lang w:val="en-US" w:eastAsia="zh-CN"/>
              </w:rPr>
              <w:t>1</w:t>
            </w:r>
            <w:r>
              <w:rPr>
                <w:rFonts w:hint="default"/>
                <w:color w:val="auto"/>
                <w:sz w:val="24"/>
                <w:szCs w:val="24"/>
              </w:rPr>
              <w:t>）施工人员产生的生活污水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color w:val="auto"/>
                <w:sz w:val="24"/>
                <w:szCs w:val="24"/>
              </w:rPr>
            </w:pPr>
            <w:r>
              <w:rPr>
                <w:rFonts w:hint="default"/>
                <w:color w:val="auto"/>
                <w:sz w:val="24"/>
                <w:szCs w:val="24"/>
              </w:rPr>
              <w:t>拟建项目施工人员总数约</w:t>
            </w:r>
            <w:r>
              <w:rPr>
                <w:rFonts w:hint="eastAsia"/>
                <w:color w:val="auto"/>
                <w:sz w:val="24"/>
                <w:szCs w:val="24"/>
                <w:lang w:val="en-US" w:eastAsia="zh-CN"/>
              </w:rPr>
              <w:t>10</w:t>
            </w:r>
            <w:r>
              <w:rPr>
                <w:rFonts w:hint="default"/>
                <w:color w:val="auto"/>
                <w:sz w:val="24"/>
                <w:szCs w:val="24"/>
              </w:rPr>
              <w:t>人，施工人员生活污水产生量按</w:t>
            </w:r>
            <w:r>
              <w:rPr>
                <w:rFonts w:hint="default"/>
                <w:color w:val="auto"/>
                <w:sz w:val="24"/>
                <w:szCs w:val="24"/>
                <w:lang w:val="en-US" w:eastAsia="zh-CN"/>
              </w:rPr>
              <w:t>10</w:t>
            </w:r>
            <w:r>
              <w:rPr>
                <w:rFonts w:hint="default"/>
                <w:color w:val="auto"/>
                <w:sz w:val="24"/>
                <w:szCs w:val="24"/>
              </w:rPr>
              <w:t>L/d•人计算，则工地生活区每天产生污水</w:t>
            </w:r>
            <w:r>
              <w:rPr>
                <w:rFonts w:hint="eastAsia"/>
                <w:color w:val="auto"/>
                <w:sz w:val="24"/>
                <w:szCs w:val="24"/>
                <w:lang w:val="en-US" w:eastAsia="zh-CN"/>
              </w:rPr>
              <w:t>0.1</w:t>
            </w:r>
            <w:r>
              <w:rPr>
                <w:rFonts w:hint="default"/>
                <w:color w:val="auto"/>
                <w:sz w:val="24"/>
                <w:szCs w:val="24"/>
              </w:rPr>
              <w:t>m</w:t>
            </w:r>
            <w:r>
              <w:rPr>
                <w:rFonts w:hint="default"/>
                <w:color w:val="auto"/>
                <w:sz w:val="24"/>
                <w:szCs w:val="24"/>
                <w:vertAlign w:val="superscript"/>
              </w:rPr>
              <w:t>3</w:t>
            </w:r>
            <w:r>
              <w:rPr>
                <w:rFonts w:hint="default"/>
                <w:color w:val="auto"/>
                <w:sz w:val="24"/>
                <w:szCs w:val="24"/>
              </w:rPr>
              <w:t>。施工人员</w:t>
            </w:r>
            <w:r>
              <w:rPr>
                <w:rFonts w:hint="default"/>
                <w:color w:val="auto"/>
                <w:sz w:val="24"/>
                <w:szCs w:val="24"/>
                <w:lang w:val="en-US" w:eastAsia="zh-CN"/>
              </w:rPr>
              <w:t>均为周边人员，不必搭建</w:t>
            </w:r>
            <w:r>
              <w:rPr>
                <w:rFonts w:hint="default"/>
                <w:color w:val="auto"/>
                <w:sz w:val="24"/>
                <w:szCs w:val="24"/>
              </w:rPr>
              <w:t>临时建筑。工地内设置</w:t>
            </w:r>
            <w:r>
              <w:rPr>
                <w:rFonts w:hint="eastAsia"/>
                <w:color w:val="auto"/>
                <w:sz w:val="24"/>
                <w:szCs w:val="24"/>
                <w:lang w:eastAsia="zh-CN"/>
              </w:rPr>
              <w:t>简易旱厕</w:t>
            </w:r>
            <w:r>
              <w:rPr>
                <w:rFonts w:hint="default"/>
                <w:color w:val="auto"/>
                <w:sz w:val="24"/>
                <w:szCs w:val="24"/>
              </w:rPr>
              <w:t>，避免通过土壤对地下水的渗透，影响地下水质量。施工现场不设食堂，三餐外卖盒饭解决，生活污水主要为施工人员的盥洗污水，量少、浓度低，可直接泼洒地面。</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采取上述措施后，施工期废水对外环境影响较小。</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4、施工期固体废物影响分析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施工期固体废物主要为施工队生活垃圾和部分建筑垃圾</w:t>
            </w:r>
            <w:r>
              <w:rPr>
                <w:rFonts w:hint="default"/>
                <w:color w:val="auto"/>
                <w:sz w:val="24"/>
                <w:szCs w:val="24"/>
                <w:lang w:eastAsia="zh-CN"/>
              </w:rPr>
              <w:t>、</w:t>
            </w:r>
            <w:r>
              <w:rPr>
                <w:rFonts w:hint="default"/>
                <w:color w:val="auto"/>
                <w:sz w:val="24"/>
                <w:szCs w:val="24"/>
                <w:lang w:val="en-US" w:eastAsia="zh-CN"/>
              </w:rPr>
              <w:t>弃土</w:t>
            </w:r>
            <w:r>
              <w:rPr>
                <w:rFonts w:hint="default"/>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施工人员会产生少量生活垃圾。如果不注意管理，任其堆存，容易引发蚊蝇孳生，所以施工地应设置临时的垃圾桶集中收集，定期清运至环卫部门指定地点统一处理。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本工程施工过程中环评建议挖出的土方用于填方过程。在挖出土方的存放过程中需设置临时堆场</w:t>
            </w:r>
            <w:r>
              <w:rPr>
                <w:rFonts w:hint="default"/>
                <w:color w:val="auto"/>
                <w:sz w:val="24"/>
                <w:szCs w:val="24"/>
                <w:lang w:val="en-US" w:eastAsia="zh-CN"/>
              </w:rPr>
              <w:t>并设置苫盖</w:t>
            </w:r>
            <w:r>
              <w:rPr>
                <w:rFonts w:hint="default"/>
                <w:color w:val="auto"/>
                <w:sz w:val="24"/>
                <w:szCs w:val="24"/>
              </w:rPr>
              <w:t>，建设围堰。待填方过程结束，对堆场进行清理、复原；施工部分建筑垃圾集中收集运至监管部门指定地点统一处理。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施工过程产生的弃土车辆运输过程中进行苫盖，外运用于填坑铺路。</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color w:val="auto"/>
                <w:sz w:val="24"/>
                <w:szCs w:val="24"/>
              </w:rPr>
            </w:pPr>
            <w:r>
              <w:rPr>
                <w:rFonts w:hint="default"/>
                <w:color w:val="auto"/>
                <w:sz w:val="24"/>
                <w:szCs w:val="24"/>
              </w:rPr>
              <w:t>在切实执行以上措施后，本工程施工过程产生的固体废物对周围环境影响较小。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5、施工期生态影响分析</w:t>
            </w:r>
          </w:p>
          <w:p>
            <w:pPr>
              <w:keepNext w:val="0"/>
              <w:keepLines w:val="0"/>
              <w:pageBreakBefore w:val="0"/>
              <w:widowControl w:val="0"/>
              <w:kinsoku/>
              <w:wordWrap/>
              <w:overflowPunct/>
              <w:topLinePunct w:val="0"/>
              <w:autoSpaceDE/>
              <w:autoSpaceDN/>
              <w:bidi w:val="0"/>
              <w:snapToGrid w:val="0"/>
              <w:spacing w:line="480" w:lineRule="exact"/>
              <w:ind w:left="0" w:leftChars="0" w:right="0" w:firstLine="480" w:firstLineChars="200"/>
              <w:jc w:val="both"/>
              <w:textAlignment w:val="auto"/>
              <w:rPr>
                <w:rFonts w:hint="default"/>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default"/>
                <w:color w:val="auto"/>
                <w:sz w:val="24"/>
                <w:szCs w:val="24"/>
              </w:rPr>
              <w:t>施工占地对生态环境影响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rPr>
            </w:pPr>
            <w:r>
              <w:rPr>
                <w:rFonts w:hint="eastAsia"/>
                <w:color w:val="auto"/>
                <w:sz w:val="24"/>
                <w:szCs w:val="24"/>
              </w:rPr>
              <w:t>对陆生植物的影响</w:t>
            </w:r>
            <w:r>
              <w:rPr>
                <w:rFonts w:hint="eastAsia"/>
                <w:color w:val="auto"/>
                <w:sz w:val="24"/>
                <w:szCs w:val="24"/>
                <w:lang w:eastAsia="zh-CN"/>
              </w:rPr>
              <w:t>：</w:t>
            </w:r>
            <w:r>
              <w:rPr>
                <w:rFonts w:hint="eastAsia"/>
                <w:color w:val="auto"/>
                <w:sz w:val="24"/>
                <w:szCs w:val="24"/>
              </w:rPr>
              <w:t>工程对植被的直接影响主要来自工程施工等活动。</w:t>
            </w:r>
            <w:r>
              <w:rPr>
                <w:rFonts w:hint="eastAsia"/>
                <w:color w:val="auto"/>
                <w:sz w:val="24"/>
                <w:szCs w:val="24"/>
                <w:lang w:eastAsia="zh-CN"/>
              </w:rPr>
              <w:t>本项目位于农村区域内，</w:t>
            </w:r>
            <w:r>
              <w:rPr>
                <w:rFonts w:hint="eastAsia"/>
                <w:color w:val="auto"/>
                <w:sz w:val="24"/>
                <w:szCs w:val="24"/>
              </w:rPr>
              <w:t>挖方、填方等施工活动将破坏工程施工区内植被。项目占地目前为闲置空地，地表主要为杂草，无大型树木等植被。因此，工程的建设施工不会导致植被区系的演变。随着</w:t>
            </w:r>
            <w:r>
              <w:rPr>
                <w:rFonts w:hint="eastAsia"/>
                <w:color w:val="auto"/>
                <w:sz w:val="24"/>
                <w:szCs w:val="24"/>
                <w:lang w:eastAsia="zh-CN"/>
              </w:rPr>
              <w:t>项目</w:t>
            </w:r>
            <w:r>
              <w:rPr>
                <w:rFonts w:hint="eastAsia"/>
                <w:color w:val="auto"/>
                <w:sz w:val="24"/>
                <w:szCs w:val="24"/>
              </w:rPr>
              <w:t>的建成运行，</w:t>
            </w:r>
            <w:r>
              <w:rPr>
                <w:rFonts w:hint="eastAsia"/>
                <w:color w:val="auto"/>
                <w:sz w:val="24"/>
                <w:szCs w:val="24"/>
                <w:lang w:eastAsia="zh-CN"/>
              </w:rPr>
              <w:t>对</w:t>
            </w:r>
            <w:r>
              <w:rPr>
                <w:rFonts w:hint="eastAsia"/>
                <w:color w:val="auto"/>
                <w:sz w:val="24"/>
                <w:szCs w:val="24"/>
              </w:rPr>
              <w:t>区域生态环境影响</w:t>
            </w:r>
            <w:r>
              <w:rPr>
                <w:rFonts w:hint="eastAsia"/>
                <w:color w:val="auto"/>
                <w:sz w:val="24"/>
                <w:szCs w:val="24"/>
                <w:lang w:eastAsia="zh-CN"/>
              </w:rPr>
              <w:t>较小</w:t>
            </w:r>
            <w:r>
              <w:rPr>
                <w:rFonts w:hint="eastAsia"/>
                <w:color w:val="auto"/>
                <w:sz w:val="24"/>
                <w:szCs w:val="24"/>
              </w:rPr>
              <w:t>。</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eastAsia"/>
                <w:color w:val="auto"/>
                <w:sz w:val="24"/>
                <w:szCs w:val="24"/>
                <w:lang w:val="en-US" w:eastAsia="zh-CN"/>
              </w:rPr>
              <w:t>（2）</w:t>
            </w:r>
            <w:r>
              <w:rPr>
                <w:rFonts w:hint="default"/>
                <w:color w:val="auto"/>
                <w:sz w:val="24"/>
                <w:szCs w:val="24"/>
              </w:rPr>
              <w:t>施工</w:t>
            </w:r>
            <w:r>
              <w:rPr>
                <w:rFonts w:hint="eastAsia"/>
                <w:color w:val="auto"/>
                <w:sz w:val="24"/>
                <w:szCs w:val="24"/>
                <w:lang w:val="en-US" w:eastAsia="zh-CN"/>
              </w:rPr>
              <w:t>对</w:t>
            </w:r>
            <w:r>
              <w:rPr>
                <w:rFonts w:hint="default"/>
                <w:color w:val="auto"/>
                <w:sz w:val="24"/>
                <w:szCs w:val="24"/>
              </w:rPr>
              <w:t>水土流失的影响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施工阶段是发生水土流失的主要时期。在此阶段内，开挖土方和地表植被被破坏，造成大面积土地裸露，较正常情况下的水土流失强度有所增大。但施工期的水土流失是短期行为，其影响范围有限。引起水土流失的因素有：在挖方过程中，原有地表植被遭到破坏，土壤变的松散；在填方过程中，松散土壤高于地表，逐步被压实；在未铺装路面之间，路面长期裸露，且高于周边土地，水土流失不可避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综上所述，施工期间采取有效的污染防治措施，对周围环境的影响可降至最低。</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lang w:val="en-US" w:eastAsia="zh-CN"/>
              </w:rPr>
              <w:t>6、</w:t>
            </w:r>
            <w:r>
              <w:rPr>
                <w:rFonts w:hint="default"/>
                <w:color w:val="auto"/>
                <w:sz w:val="24"/>
                <w:szCs w:val="24"/>
              </w:rPr>
              <w:t>施工监理</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⑴施工期管理机构及职责</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建设单位应配备1名具有环保专业知识的工程技术人员专职或兼职负责施工期的环境</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保护管理工作，其主要职责是：</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①根据国家有关施工管理条例和施工操作规范，制定施工环保管理条例，为施工单位的施工活动提出指导性要求，同时派专人监督、管理施工单位对条例的执行情况。</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②按合同要求按期保质完成项目。</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③参与有关环境纠纷和污染事故的调查处理。</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⑵施工期环境管理措施</w:t>
            </w:r>
          </w:p>
          <w:p>
            <w:pPr>
              <w:keepNext w:val="0"/>
              <w:keepLines w:val="0"/>
              <w:pageBreakBefore w:val="0"/>
              <w:widowControl w:val="0"/>
              <w:kinsoku/>
              <w:wordWrap/>
              <w:overflowPunct/>
              <w:topLinePunct w:val="0"/>
              <w:autoSpaceDE/>
              <w:autoSpaceDN/>
              <w:bidi w:val="0"/>
              <w:spacing w:line="480" w:lineRule="exact"/>
              <w:ind w:left="0" w:leftChars="0" w:right="0" w:firstLine="480" w:firstLineChars="200"/>
              <w:jc w:val="both"/>
              <w:textAlignment w:val="auto"/>
              <w:rPr>
                <w:rFonts w:hint="default"/>
                <w:color w:val="auto"/>
                <w:sz w:val="24"/>
                <w:szCs w:val="24"/>
              </w:rPr>
            </w:pPr>
            <w:r>
              <w:rPr>
                <w:rFonts w:hint="default"/>
                <w:color w:val="auto"/>
                <w:sz w:val="24"/>
                <w:szCs w:val="24"/>
              </w:rPr>
              <w:t>根据国家环保政策、标准及环境保护要求，制定该项目施工期环保管理规章制度、各种污染物排放及控制指标。施工期环境管理及监理内容见</w:t>
            </w:r>
            <w:r>
              <w:rPr>
                <w:rFonts w:hint="eastAsia"/>
                <w:color w:val="auto"/>
                <w:sz w:val="24"/>
                <w:szCs w:val="24"/>
                <w:lang w:val="en-US" w:eastAsia="zh-CN"/>
              </w:rPr>
              <w:t>下</w:t>
            </w:r>
            <w:r>
              <w:rPr>
                <w:rFonts w:hint="default"/>
                <w:color w:val="auto"/>
                <w:sz w:val="24"/>
                <w:szCs w:val="24"/>
              </w:rPr>
              <w:t>表。</w:t>
            </w:r>
          </w:p>
          <w:p>
            <w:pPr>
              <w:spacing w:line="500" w:lineRule="exact"/>
              <w:ind w:firstLine="361" w:firstLineChars="150"/>
              <w:jc w:val="center"/>
              <w:rPr>
                <w:rFonts w:hint="eastAsia" w:ascii="Times New Roman" w:hAnsi="Times New Roman" w:eastAsia="宋体" w:cs="Times New Roman"/>
                <w:b/>
                <w:bCs/>
                <w:color w:val="auto"/>
                <w:sz w:val="24"/>
                <w:highlight w:val="none"/>
                <w:lang w:val="zh-CN"/>
              </w:rPr>
            </w:pPr>
          </w:p>
          <w:p>
            <w:pPr>
              <w:pStyle w:val="2"/>
              <w:rPr>
                <w:rFonts w:hint="eastAsia"/>
                <w:color w:val="auto"/>
                <w:lang w:val="zh-CN"/>
              </w:rPr>
            </w:pPr>
          </w:p>
          <w:p>
            <w:pPr>
              <w:spacing w:line="500" w:lineRule="exact"/>
              <w:ind w:firstLine="361" w:firstLineChars="150"/>
              <w:jc w:val="center"/>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表</w:t>
            </w:r>
            <w:r>
              <w:rPr>
                <w:rFonts w:hint="eastAsia" w:ascii="Times New Roman" w:hAnsi="Times New Roman" w:cs="Times New Roman"/>
                <w:b/>
                <w:bCs/>
                <w:color w:val="auto"/>
                <w:sz w:val="24"/>
                <w:highlight w:val="none"/>
                <w:lang w:val="en-US" w:eastAsia="zh-CN"/>
              </w:rPr>
              <w:t>19</w:t>
            </w:r>
            <w:r>
              <w:rPr>
                <w:rFonts w:hint="eastAsia" w:ascii="Times New Roman" w:hAnsi="Times New Roman" w:eastAsia="宋体" w:cs="Times New Roman"/>
                <w:b/>
                <w:bCs/>
                <w:color w:val="auto"/>
                <w:sz w:val="24"/>
                <w:highlight w:val="none"/>
                <w:lang w:val="zh-CN"/>
              </w:rPr>
              <w:t xml:space="preserve">    施工期环境保护管理及监理内容一览表</w:t>
            </w:r>
          </w:p>
          <w:tbl>
            <w:tblPr>
              <w:tblStyle w:val="2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469"/>
              <w:gridCol w:w="695"/>
              <w:gridCol w:w="5825"/>
              <w:gridCol w:w="11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tblHeader/>
                <w:jc w:val="center"/>
              </w:trPr>
              <w:tc>
                <w:tcPr>
                  <w:tcW w:w="288" w:type="pct"/>
                  <w:noWrap w:val="0"/>
                  <w:vAlign w:val="center"/>
                </w:tcPr>
                <w:p>
                  <w:pPr>
                    <w:spacing w:line="300" w:lineRule="exact"/>
                    <w:jc w:val="center"/>
                    <w:rPr>
                      <w:color w:val="auto"/>
                      <w:sz w:val="21"/>
                      <w:szCs w:val="21"/>
                    </w:rPr>
                  </w:pPr>
                  <w:r>
                    <w:rPr>
                      <w:rFonts w:hint="eastAsia"/>
                      <w:color w:val="auto"/>
                      <w:sz w:val="21"/>
                      <w:szCs w:val="21"/>
                    </w:rPr>
                    <w:t>序号</w:t>
                  </w:r>
                </w:p>
              </w:tc>
              <w:tc>
                <w:tcPr>
                  <w:tcW w:w="427" w:type="pct"/>
                  <w:noWrap w:val="0"/>
                  <w:vAlign w:val="center"/>
                </w:tcPr>
                <w:p>
                  <w:pPr>
                    <w:spacing w:line="300" w:lineRule="exact"/>
                    <w:jc w:val="center"/>
                    <w:rPr>
                      <w:color w:val="auto"/>
                      <w:sz w:val="21"/>
                      <w:szCs w:val="21"/>
                    </w:rPr>
                  </w:pPr>
                  <w:r>
                    <w:rPr>
                      <w:rFonts w:hint="eastAsia"/>
                      <w:color w:val="auto"/>
                      <w:sz w:val="21"/>
                      <w:szCs w:val="21"/>
                    </w:rPr>
                    <w:t>环境</w:t>
                  </w:r>
                </w:p>
                <w:p>
                  <w:pPr>
                    <w:spacing w:line="300" w:lineRule="exact"/>
                    <w:jc w:val="center"/>
                    <w:rPr>
                      <w:color w:val="auto"/>
                      <w:sz w:val="21"/>
                      <w:szCs w:val="21"/>
                    </w:rPr>
                  </w:pPr>
                  <w:r>
                    <w:rPr>
                      <w:rFonts w:hint="eastAsia"/>
                      <w:color w:val="auto"/>
                      <w:sz w:val="21"/>
                      <w:szCs w:val="21"/>
                    </w:rPr>
                    <w:t>要素</w:t>
                  </w:r>
                </w:p>
              </w:tc>
              <w:tc>
                <w:tcPr>
                  <w:tcW w:w="3578" w:type="pct"/>
                  <w:noWrap w:val="0"/>
                  <w:vAlign w:val="center"/>
                </w:tcPr>
                <w:p>
                  <w:pPr>
                    <w:spacing w:line="300" w:lineRule="exact"/>
                    <w:jc w:val="center"/>
                    <w:rPr>
                      <w:color w:val="auto"/>
                      <w:sz w:val="21"/>
                      <w:szCs w:val="21"/>
                    </w:rPr>
                  </w:pPr>
                  <w:r>
                    <w:rPr>
                      <w:rFonts w:hint="eastAsia"/>
                      <w:color w:val="auto"/>
                      <w:sz w:val="21"/>
                      <w:szCs w:val="21"/>
                    </w:rPr>
                    <w:t>治理措施</w:t>
                  </w:r>
                </w:p>
              </w:tc>
              <w:tc>
                <w:tcPr>
                  <w:tcW w:w="705" w:type="pct"/>
                  <w:noWrap w:val="0"/>
                  <w:vAlign w:val="center"/>
                </w:tcPr>
                <w:p>
                  <w:pPr>
                    <w:spacing w:line="300" w:lineRule="exact"/>
                    <w:jc w:val="center"/>
                    <w:rPr>
                      <w:color w:val="auto"/>
                      <w:sz w:val="21"/>
                      <w:szCs w:val="21"/>
                    </w:rPr>
                  </w:pPr>
                  <w:r>
                    <w:rPr>
                      <w:rFonts w:hint="eastAsia"/>
                      <w:color w:val="auto"/>
                      <w:sz w:val="21"/>
                      <w:szCs w:val="21"/>
                    </w:rPr>
                    <w:t>环境管理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eastAsia="zh-CN"/>
                    </w:rPr>
                  </w:pPr>
                  <w:r>
                    <w:rPr>
                      <w:rFonts w:hint="eastAsia"/>
                      <w:color w:val="auto"/>
                      <w:sz w:val="21"/>
                      <w:szCs w:val="21"/>
                      <w:lang w:val="en-US" w:eastAsia="zh-CN"/>
                    </w:rPr>
                    <w:t>1</w:t>
                  </w:r>
                </w:p>
              </w:tc>
              <w:tc>
                <w:tcPr>
                  <w:tcW w:w="427" w:type="pct"/>
                  <w:noWrap w:val="0"/>
                  <w:vAlign w:val="center"/>
                </w:tcPr>
                <w:p>
                  <w:pPr>
                    <w:spacing w:line="300" w:lineRule="exact"/>
                    <w:jc w:val="center"/>
                    <w:rPr>
                      <w:color w:val="auto"/>
                      <w:sz w:val="21"/>
                      <w:szCs w:val="21"/>
                    </w:rPr>
                  </w:pPr>
                  <w:r>
                    <w:rPr>
                      <w:rFonts w:hint="eastAsia"/>
                      <w:color w:val="auto"/>
                      <w:sz w:val="21"/>
                      <w:szCs w:val="21"/>
                    </w:rPr>
                    <w:t>环境空气</w:t>
                  </w:r>
                </w:p>
              </w:tc>
              <w:tc>
                <w:tcPr>
                  <w:tcW w:w="357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color w:val="auto"/>
                      <w:sz w:val="21"/>
                      <w:szCs w:val="21"/>
                      <w:lang w:val="en-US" w:eastAsia="zh-CN"/>
                    </w:rPr>
                  </w:pPr>
                  <w:r>
                    <w:rPr>
                      <w:rFonts w:hint="default"/>
                      <w:color w:val="auto"/>
                      <w:sz w:val="21"/>
                      <w:szCs w:val="21"/>
                      <w:lang w:eastAsia="zh-CN"/>
                    </w:rPr>
                    <w:t>（</w:t>
                  </w:r>
                  <w:r>
                    <w:rPr>
                      <w:rFonts w:hint="default"/>
                      <w:color w:val="auto"/>
                      <w:sz w:val="21"/>
                      <w:szCs w:val="21"/>
                      <w:lang w:val="en-US" w:eastAsia="zh-CN"/>
                    </w:rPr>
                    <w:t>1</w:t>
                  </w:r>
                  <w:r>
                    <w:rPr>
                      <w:rFonts w:hint="default"/>
                      <w:color w:val="auto"/>
                      <w:sz w:val="21"/>
                      <w:szCs w:val="21"/>
                      <w:lang w:eastAsia="zh-CN"/>
                    </w:rPr>
                    <w:t>）</w:t>
                  </w:r>
                  <w:r>
                    <w:rPr>
                      <w:rFonts w:hint="default"/>
                      <w:color w:val="auto"/>
                      <w:sz w:val="21"/>
                      <w:szCs w:val="21"/>
                    </w:rPr>
                    <w:t>运输车辆定期到车辆清洗点进行清洗，保证车辆不带泥上路。</w:t>
                  </w:r>
                  <w:r>
                    <w:rPr>
                      <w:rFonts w:hint="default"/>
                      <w:color w:val="auto"/>
                      <w:sz w:val="21"/>
                      <w:szCs w:val="21"/>
                      <w:lang w:eastAsia="zh-CN"/>
                    </w:rPr>
                    <w:t>（</w:t>
                  </w:r>
                  <w:r>
                    <w:rPr>
                      <w:rFonts w:hint="default"/>
                      <w:color w:val="auto"/>
                      <w:sz w:val="21"/>
                      <w:szCs w:val="21"/>
                      <w:lang w:val="en-US" w:eastAsia="zh-CN"/>
                    </w:rPr>
                    <w:t>2</w:t>
                  </w:r>
                  <w:r>
                    <w:rPr>
                      <w:rFonts w:hint="default"/>
                      <w:color w:val="auto"/>
                      <w:sz w:val="21"/>
                      <w:szCs w:val="21"/>
                      <w:lang w:eastAsia="zh-CN"/>
                    </w:rPr>
                    <w:t>）</w:t>
                  </w:r>
                  <w:r>
                    <w:rPr>
                      <w:rFonts w:hint="default"/>
                      <w:color w:val="auto"/>
                      <w:sz w:val="21"/>
                      <w:szCs w:val="21"/>
                      <w:lang w:val="zh-CN"/>
                    </w:rPr>
                    <w:t>施工期间可采用吸尘或水冲洗的方法清洁施工场地道路积尘，不得在未实施洒水等抑尘措施情况下进行直接清扫</w:t>
                  </w:r>
                  <w:r>
                    <w:rPr>
                      <w:rFonts w:hint="default"/>
                      <w:color w:val="auto"/>
                      <w:sz w:val="21"/>
                      <w:szCs w:val="21"/>
                    </w:rPr>
                    <w:t>。</w:t>
                  </w:r>
                  <w:r>
                    <w:rPr>
                      <w:rFonts w:hint="default"/>
                      <w:color w:val="auto"/>
                      <w:sz w:val="21"/>
                      <w:szCs w:val="21"/>
                      <w:lang w:eastAsia="zh-CN"/>
                    </w:rPr>
                    <w:t>（</w:t>
                  </w:r>
                  <w:r>
                    <w:rPr>
                      <w:rFonts w:hint="default"/>
                      <w:color w:val="auto"/>
                      <w:sz w:val="21"/>
                      <w:szCs w:val="21"/>
                      <w:lang w:val="en-US" w:eastAsia="zh-CN"/>
                    </w:rPr>
                    <w:t>3</w:t>
                  </w:r>
                  <w:r>
                    <w:rPr>
                      <w:rFonts w:hint="default"/>
                      <w:color w:val="auto"/>
                      <w:sz w:val="21"/>
                      <w:szCs w:val="21"/>
                      <w:lang w:eastAsia="zh-CN"/>
                    </w:rPr>
                    <w:t>）</w:t>
                  </w:r>
                  <w:r>
                    <w:rPr>
                      <w:rFonts w:hint="default"/>
                      <w:color w:val="auto"/>
                      <w:sz w:val="21"/>
                      <w:szCs w:val="21"/>
                      <w:lang w:val="zh-CN"/>
                    </w:rPr>
                    <w:t>施工单位应当对施工现场内主要道路和物料堆放场地进行硬化，对其他场地进行覆盖或者临时绿化，对土方集中堆放并采取覆盖或者固化措施。（</w:t>
                  </w:r>
                  <w:r>
                    <w:rPr>
                      <w:rFonts w:hint="default"/>
                      <w:color w:val="auto"/>
                      <w:sz w:val="21"/>
                      <w:szCs w:val="21"/>
                      <w:lang w:val="en-US" w:eastAsia="zh-CN"/>
                    </w:rPr>
                    <w:t>4</w:t>
                  </w:r>
                  <w:r>
                    <w:rPr>
                      <w:rFonts w:hint="default"/>
                      <w:color w:val="auto"/>
                      <w:sz w:val="21"/>
                      <w:szCs w:val="21"/>
                      <w:lang w:val="zh-CN"/>
                    </w:rPr>
                    <w:t>）遇到干燥、易起尘的土方工程作业时，应辅以洒水压尘，尽量缩短起尘操作时间。遇到四级或四级以上大风天气时，禁止进行土方工程，同时作业处覆以防尘网。（</w:t>
                  </w:r>
                  <w:r>
                    <w:rPr>
                      <w:rFonts w:hint="default"/>
                      <w:color w:val="auto"/>
                      <w:sz w:val="21"/>
                      <w:szCs w:val="21"/>
                      <w:lang w:val="en-US" w:eastAsia="zh-CN"/>
                    </w:rPr>
                    <w:t>5</w:t>
                  </w:r>
                  <w:r>
                    <w:rPr>
                      <w:rFonts w:hint="default"/>
                      <w:color w:val="auto"/>
                      <w:sz w:val="21"/>
                      <w:szCs w:val="21"/>
                      <w:lang w:val="zh-CN"/>
                    </w:rPr>
                    <w:t>）进出工地的物料、渣土、垃圾运输车辆，应尽可能采用密闭车斗，并保证物料不遗撒外漏。车辆应按照批准的路线和时间进行物料、渣土、垃圾的运输。（</w:t>
                  </w:r>
                  <w:r>
                    <w:rPr>
                      <w:rFonts w:hint="default"/>
                      <w:color w:val="auto"/>
                      <w:sz w:val="21"/>
                      <w:szCs w:val="21"/>
                      <w:lang w:val="en-US" w:eastAsia="zh-CN"/>
                    </w:rPr>
                    <w:t>6</w:t>
                  </w:r>
                  <w:r>
                    <w:rPr>
                      <w:rFonts w:hint="default"/>
                      <w:color w:val="auto"/>
                      <w:sz w:val="21"/>
                      <w:szCs w:val="21"/>
                      <w:lang w:val="zh-CN"/>
                    </w:rPr>
                    <w:t>）施工现场、料场适时洒水降尘，防止扬尘污染环境，洒水次数根据天气情况而定。</w:t>
                  </w:r>
                  <w:r>
                    <w:rPr>
                      <w:rFonts w:hint="default"/>
                      <w:color w:val="auto"/>
                      <w:sz w:val="21"/>
                      <w:szCs w:val="21"/>
                      <w:lang w:eastAsia="zh-CN"/>
                    </w:rPr>
                    <w:t>（</w:t>
                  </w:r>
                  <w:r>
                    <w:rPr>
                      <w:rFonts w:hint="default"/>
                      <w:color w:val="auto"/>
                      <w:sz w:val="21"/>
                      <w:szCs w:val="21"/>
                      <w:lang w:val="en-US" w:eastAsia="zh-CN"/>
                    </w:rPr>
                    <w:t>7</w:t>
                  </w:r>
                  <w:r>
                    <w:rPr>
                      <w:rFonts w:hint="default"/>
                      <w:color w:val="auto"/>
                      <w:sz w:val="21"/>
                      <w:szCs w:val="21"/>
                      <w:lang w:eastAsia="zh-CN"/>
                    </w:rPr>
                    <w:t>）</w:t>
                  </w:r>
                  <w:r>
                    <w:rPr>
                      <w:rFonts w:hint="default"/>
                      <w:color w:val="auto"/>
                      <w:sz w:val="21"/>
                      <w:szCs w:val="21"/>
                      <w:lang w:val="zh-CN"/>
                    </w:rPr>
                    <w:t>施工现场应设置围挡。施工过程中使用</w:t>
                  </w:r>
                  <w:r>
                    <w:rPr>
                      <w:rFonts w:hint="default"/>
                      <w:color w:val="auto"/>
                      <w:sz w:val="21"/>
                      <w:szCs w:val="21"/>
                      <w:lang w:val="en-US" w:eastAsia="zh-CN"/>
                    </w:rPr>
                    <w:t>水泥</w:t>
                  </w:r>
                  <w:r>
                    <w:rPr>
                      <w:rFonts w:hint="default"/>
                      <w:color w:val="auto"/>
                      <w:sz w:val="21"/>
                      <w:szCs w:val="21"/>
                      <w:lang w:val="zh-CN"/>
                    </w:rPr>
                    <w:t>、砂石、铺装材料等易产生扬尘的建筑材料，应按照施工总平面图划定的区域堆放，堆放高度不得超出围挡高度。（</w:t>
                  </w:r>
                  <w:r>
                    <w:rPr>
                      <w:rFonts w:hint="default"/>
                      <w:color w:val="auto"/>
                      <w:sz w:val="21"/>
                      <w:szCs w:val="21"/>
                      <w:lang w:val="en-US" w:eastAsia="zh-CN"/>
                    </w:rPr>
                    <w:t>8</w:t>
                  </w:r>
                  <w:r>
                    <w:rPr>
                      <w:rFonts w:hint="default"/>
                      <w:color w:val="auto"/>
                      <w:sz w:val="21"/>
                      <w:szCs w:val="21"/>
                      <w:lang w:val="zh-CN"/>
                    </w:rPr>
                    <w:t>）施工车辆、机械设备的尾气排放符合国家和河北省规定的排放标准。（</w:t>
                  </w:r>
                  <w:r>
                    <w:rPr>
                      <w:rFonts w:hint="default"/>
                      <w:color w:val="auto"/>
                      <w:sz w:val="21"/>
                      <w:szCs w:val="21"/>
                      <w:lang w:val="en-US" w:eastAsia="zh-CN"/>
                    </w:rPr>
                    <w:t>9</w:t>
                  </w:r>
                  <w:r>
                    <w:rPr>
                      <w:rFonts w:hint="default"/>
                      <w:color w:val="auto"/>
                      <w:sz w:val="21"/>
                      <w:szCs w:val="21"/>
                      <w:lang w:val="zh-CN"/>
                    </w:rPr>
                    <w:t>）施工现场实施封闭式管理，围挡材质使用硬质材料，保证围挡安全、稳固、整洁、美观。严禁围挡不严或敞开式施工。施工围挡高度不低于</w:t>
                  </w:r>
                  <w:r>
                    <w:rPr>
                      <w:rFonts w:hint="default"/>
                      <w:color w:val="auto"/>
                      <w:sz w:val="21"/>
                      <w:szCs w:val="21"/>
                    </w:rPr>
                    <w:t>2.5m。</w:t>
                  </w:r>
                  <w:r>
                    <w:rPr>
                      <w:rFonts w:hint="default"/>
                      <w:color w:val="auto"/>
                      <w:sz w:val="21"/>
                      <w:szCs w:val="21"/>
                      <w:lang w:eastAsia="zh-CN"/>
                    </w:rPr>
                    <w:t>（</w:t>
                  </w:r>
                  <w:r>
                    <w:rPr>
                      <w:rFonts w:hint="default"/>
                      <w:color w:val="auto"/>
                      <w:sz w:val="21"/>
                      <w:szCs w:val="21"/>
                      <w:lang w:val="en-US" w:eastAsia="zh-CN"/>
                    </w:rPr>
                    <w:t>10</w:t>
                  </w:r>
                  <w:r>
                    <w:rPr>
                      <w:rFonts w:hint="default"/>
                      <w:color w:val="auto"/>
                      <w:sz w:val="21"/>
                      <w:szCs w:val="21"/>
                      <w:lang w:eastAsia="zh-CN"/>
                    </w:rPr>
                    <w:t>）</w:t>
                  </w:r>
                  <w:r>
                    <w:rPr>
                      <w:rFonts w:hint="default"/>
                      <w:color w:val="auto"/>
                      <w:sz w:val="21"/>
                      <w:szCs w:val="21"/>
                      <w:lang w:val="zh-CN"/>
                    </w:rPr>
                    <w:t>按规定放置道路施工材料及施工机械，采取必要覆盖并设置标牌。非施工期的裸露地面应用防尘网进行覆盖，道路施工过程中要采取有效防尘措施。开挖完毕的土方工程，裸露作业面部位要及时固化或用防尘网覆盖。对于停止施工的工地、施工现场空地必须采取覆盖或绿化等有效防尘措施。（</w:t>
                  </w:r>
                  <w:r>
                    <w:rPr>
                      <w:rFonts w:hint="default"/>
                      <w:color w:val="auto"/>
                      <w:sz w:val="21"/>
                      <w:szCs w:val="21"/>
                      <w:lang w:val="en-US" w:eastAsia="zh-CN"/>
                    </w:rPr>
                    <w:t>11</w:t>
                  </w:r>
                  <w:r>
                    <w:rPr>
                      <w:rFonts w:hint="default"/>
                      <w:color w:val="auto"/>
                      <w:sz w:val="21"/>
                      <w:szCs w:val="21"/>
                      <w:lang w:val="zh-CN"/>
                    </w:rPr>
                    <w:t>）遇市政府发布空气质量预警时，加强施工工地扬尘管控。（</w:t>
                  </w:r>
                  <w:r>
                    <w:rPr>
                      <w:rFonts w:hint="default"/>
                      <w:color w:val="auto"/>
                      <w:sz w:val="21"/>
                      <w:szCs w:val="21"/>
                      <w:lang w:val="en-US" w:eastAsia="zh-CN"/>
                    </w:rPr>
                    <w:t>12</w:t>
                  </w:r>
                  <w:r>
                    <w:rPr>
                      <w:rFonts w:hint="default"/>
                      <w:color w:val="auto"/>
                      <w:sz w:val="21"/>
                      <w:szCs w:val="21"/>
                      <w:lang w:val="zh-CN"/>
                    </w:rPr>
                    <w:t>）施工现场出入口明显位置设置扬尘防治公示牌。（</w:t>
                  </w:r>
                  <w:r>
                    <w:rPr>
                      <w:rFonts w:hint="default"/>
                      <w:color w:val="auto"/>
                      <w:sz w:val="21"/>
                      <w:szCs w:val="21"/>
                      <w:lang w:val="en-US" w:eastAsia="zh-CN"/>
                    </w:rPr>
                    <w:t>13</w:t>
                  </w:r>
                  <w:r>
                    <w:rPr>
                      <w:rFonts w:hint="default"/>
                      <w:color w:val="auto"/>
                      <w:sz w:val="21"/>
                      <w:szCs w:val="21"/>
                      <w:lang w:val="zh-CN"/>
                    </w:rPr>
                    <w:t>）施工现场使用商品混凝土，严禁现场搅拌。</w:t>
                  </w:r>
                </w:p>
              </w:tc>
              <w:tc>
                <w:tcPr>
                  <w:tcW w:w="705" w:type="pct"/>
                  <w:vMerge w:val="restart"/>
                  <w:noWrap w:val="0"/>
                  <w:vAlign w:val="center"/>
                </w:tcPr>
                <w:p>
                  <w:pPr>
                    <w:spacing w:line="300" w:lineRule="exact"/>
                    <w:jc w:val="center"/>
                    <w:rPr>
                      <w:color w:val="auto"/>
                      <w:sz w:val="21"/>
                      <w:szCs w:val="21"/>
                    </w:rPr>
                  </w:pPr>
                  <w:r>
                    <w:rPr>
                      <w:rFonts w:hint="eastAsia"/>
                      <w:color w:val="auto"/>
                      <w:sz w:val="21"/>
                      <w:szCs w:val="21"/>
                    </w:rPr>
                    <w:t>施工单位做好施工场地的环境管理和保洁工作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2</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水环境</w:t>
                  </w:r>
                </w:p>
              </w:tc>
              <w:tc>
                <w:tcPr>
                  <w:tcW w:w="3578" w:type="pct"/>
                  <w:noWrap w:val="0"/>
                  <w:vAlign w:val="center"/>
                </w:tcPr>
                <w:p>
                  <w:pPr>
                    <w:pStyle w:val="55"/>
                    <w:widowControl/>
                    <w:spacing w:line="300" w:lineRule="exact"/>
                    <w:ind w:left="0" w:leftChars="0" w:right="0" w:rightChars="0"/>
                    <w:rPr>
                      <w:rFonts w:hint="default"/>
                      <w:color w:val="auto"/>
                      <w:sz w:val="21"/>
                      <w:szCs w:val="21"/>
                      <w:lang w:eastAsia="zh-CN"/>
                    </w:rPr>
                  </w:pPr>
                  <w:r>
                    <w:rPr>
                      <w:rFonts w:hint="eastAsia"/>
                      <w:color w:val="auto"/>
                      <w:sz w:val="21"/>
                      <w:szCs w:val="21"/>
                      <w:lang w:val="en-US" w:eastAsia="zh-CN"/>
                    </w:rPr>
                    <w:t>盥洗废水直接泼洒地面</w:t>
                  </w:r>
                  <w:r>
                    <w:rPr>
                      <w:rFonts w:hint="eastAsia"/>
                      <w:color w:val="auto"/>
                      <w:sz w:val="21"/>
                      <w:szCs w:val="21"/>
                    </w:rPr>
                    <w:t>。</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3</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声环境</w:t>
                  </w:r>
                </w:p>
              </w:tc>
              <w:tc>
                <w:tcPr>
                  <w:tcW w:w="3578" w:type="pct"/>
                  <w:noWrap w:val="0"/>
                  <w:vAlign w:val="center"/>
                </w:tcPr>
                <w:p>
                  <w:pPr>
                    <w:pStyle w:val="55"/>
                    <w:widowControl/>
                    <w:spacing w:line="300" w:lineRule="exact"/>
                    <w:rPr>
                      <w:color w:val="auto"/>
                      <w:sz w:val="21"/>
                      <w:szCs w:val="21"/>
                    </w:rPr>
                  </w:pPr>
                  <w:r>
                    <w:rPr>
                      <w:color w:val="auto"/>
                      <w:sz w:val="21"/>
                      <w:szCs w:val="21"/>
                    </w:rPr>
                    <w:t>⑴</w:t>
                  </w:r>
                  <w:r>
                    <w:rPr>
                      <w:rFonts w:hint="eastAsia"/>
                      <w:color w:val="auto"/>
                      <w:sz w:val="21"/>
                      <w:szCs w:val="21"/>
                    </w:rPr>
                    <w:t>合理设计材料运输路线，尽量远离居民区，避免噪声扰民。</w:t>
                  </w:r>
                </w:p>
                <w:p>
                  <w:pPr>
                    <w:pStyle w:val="55"/>
                    <w:widowControl/>
                    <w:spacing w:line="300" w:lineRule="exact"/>
                    <w:rPr>
                      <w:color w:val="auto"/>
                      <w:sz w:val="21"/>
                      <w:szCs w:val="21"/>
                    </w:rPr>
                  </w:pPr>
                  <w:r>
                    <w:rPr>
                      <w:color w:val="auto"/>
                      <w:sz w:val="21"/>
                      <w:szCs w:val="21"/>
                    </w:rPr>
                    <w:t>⑵</w:t>
                  </w:r>
                  <w:r>
                    <w:rPr>
                      <w:rFonts w:hint="eastAsia"/>
                      <w:color w:val="auto"/>
                      <w:sz w:val="21"/>
                      <w:szCs w:val="21"/>
                    </w:rPr>
                    <w:t>选用符合国家有关标准的施工机具和运输车辆，尽量选用低噪声的施工机械和工艺，振动较大的固定机械设备应加装减振机座，固定强噪声源应考虑加装隔音罩，同时应加强各类施工设备的维护和保养。</w:t>
                  </w:r>
                </w:p>
                <w:p>
                  <w:pPr>
                    <w:pStyle w:val="55"/>
                    <w:widowControl/>
                    <w:spacing w:line="300" w:lineRule="exact"/>
                    <w:rPr>
                      <w:color w:val="auto"/>
                      <w:sz w:val="21"/>
                      <w:szCs w:val="21"/>
                    </w:rPr>
                  </w:pPr>
                  <w:r>
                    <w:rPr>
                      <w:color w:val="auto"/>
                      <w:sz w:val="21"/>
                      <w:szCs w:val="21"/>
                    </w:rPr>
                    <w:t>⑶</w:t>
                  </w:r>
                  <w:r>
                    <w:rPr>
                      <w:rFonts w:hint="eastAsia"/>
                      <w:color w:val="auto"/>
                      <w:sz w:val="21"/>
                      <w:szCs w:val="21"/>
                      <w:highlight w:val="none"/>
                    </w:rPr>
                    <w:t>合理安排施工时间，夜间</w:t>
                  </w:r>
                  <w:r>
                    <w:rPr>
                      <w:rFonts w:hint="eastAsia"/>
                      <w:color w:val="auto"/>
                      <w:sz w:val="21"/>
                      <w:szCs w:val="21"/>
                      <w:highlight w:val="none"/>
                      <w:lang w:eastAsia="zh-CN"/>
                    </w:rPr>
                    <w:t>、中午</w:t>
                  </w:r>
                  <w:r>
                    <w:rPr>
                      <w:rFonts w:hint="eastAsia"/>
                      <w:color w:val="auto"/>
                      <w:sz w:val="21"/>
                      <w:szCs w:val="21"/>
                      <w:highlight w:val="none"/>
                    </w:rPr>
                    <w:t>停止施工。</w:t>
                  </w:r>
                </w:p>
                <w:p>
                  <w:pPr>
                    <w:pStyle w:val="55"/>
                    <w:widowControl/>
                    <w:spacing w:line="300" w:lineRule="exact"/>
                    <w:ind w:left="0" w:leftChars="0" w:right="0" w:rightChars="0"/>
                    <w:rPr>
                      <w:rFonts w:hint="default"/>
                      <w:color w:val="auto"/>
                      <w:sz w:val="21"/>
                      <w:szCs w:val="21"/>
                      <w:lang w:eastAsia="zh-CN"/>
                    </w:rPr>
                  </w:pPr>
                  <w:r>
                    <w:rPr>
                      <w:color w:val="auto"/>
                      <w:sz w:val="21"/>
                      <w:szCs w:val="21"/>
                    </w:rPr>
                    <w:t>⑷</w:t>
                  </w:r>
                  <w:r>
                    <w:rPr>
                      <w:rFonts w:hint="eastAsia"/>
                      <w:color w:val="auto"/>
                      <w:sz w:val="21"/>
                      <w:szCs w:val="21"/>
                    </w:rPr>
                    <w:t>必要时安装活动式声屏障</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4</w:t>
                  </w:r>
                </w:p>
              </w:tc>
              <w:tc>
                <w:tcPr>
                  <w:tcW w:w="427" w:type="pct"/>
                  <w:noWrap w:val="0"/>
                  <w:vAlign w:val="center"/>
                </w:tcPr>
                <w:p>
                  <w:pPr>
                    <w:spacing w:line="300" w:lineRule="exact"/>
                    <w:jc w:val="center"/>
                    <w:rPr>
                      <w:rFonts w:hint="eastAsia"/>
                      <w:color w:val="auto"/>
                      <w:sz w:val="21"/>
                      <w:szCs w:val="21"/>
                    </w:rPr>
                  </w:pPr>
                  <w:r>
                    <w:rPr>
                      <w:rFonts w:hint="eastAsia"/>
                      <w:color w:val="auto"/>
                      <w:sz w:val="21"/>
                      <w:szCs w:val="21"/>
                    </w:rPr>
                    <w:t>固体废物</w:t>
                  </w:r>
                </w:p>
              </w:tc>
              <w:tc>
                <w:tcPr>
                  <w:tcW w:w="3578" w:type="pct"/>
                  <w:noWrap w:val="0"/>
                  <w:vAlign w:val="center"/>
                </w:tcPr>
                <w:p>
                  <w:pPr>
                    <w:pStyle w:val="55"/>
                    <w:widowControl/>
                    <w:spacing w:line="300" w:lineRule="exact"/>
                    <w:ind w:left="0" w:leftChars="0" w:right="0" w:rightChars="0"/>
                    <w:rPr>
                      <w:rFonts w:hint="default"/>
                      <w:color w:val="auto"/>
                      <w:sz w:val="21"/>
                      <w:szCs w:val="21"/>
                      <w:lang w:eastAsia="zh-CN"/>
                    </w:rPr>
                  </w:pPr>
                  <w:r>
                    <w:rPr>
                      <w:rFonts w:hint="eastAsia"/>
                      <w:color w:val="auto"/>
                      <w:sz w:val="21"/>
                      <w:szCs w:val="21"/>
                    </w:rPr>
                    <w:t>生活垃圾集中收集，定期清运至环卫部门指定地点统一处理；建筑垃圾运至监管部门指定地点统一处理；</w:t>
                  </w:r>
                  <w:r>
                    <w:rPr>
                      <w:rFonts w:hint="eastAsia"/>
                      <w:color w:val="auto"/>
                      <w:sz w:val="21"/>
                      <w:szCs w:val="21"/>
                      <w:lang w:val="en-US" w:eastAsia="zh-CN"/>
                    </w:rPr>
                    <w:t>弃土外运填坑铺路</w:t>
                  </w:r>
                  <w:r>
                    <w:rPr>
                      <w:rFonts w:hint="eastAsia"/>
                      <w:color w:val="auto"/>
                      <w:sz w:val="21"/>
                      <w:szCs w:val="21"/>
                    </w:rPr>
                    <w:t>。</w:t>
                  </w:r>
                </w:p>
              </w:tc>
              <w:tc>
                <w:tcPr>
                  <w:tcW w:w="705" w:type="pct"/>
                  <w:vMerge w:val="continue"/>
                  <w:noWrap w:val="0"/>
                  <w:vAlign w:val="center"/>
                </w:tcPr>
                <w:p>
                  <w:pPr>
                    <w:spacing w:line="300" w:lineRule="exact"/>
                    <w:jc w:val="center"/>
                    <w:rPr>
                      <w:rFonts w:hint="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trHeight w:val="510" w:hRule="atLeast"/>
                <w:jc w:val="center"/>
              </w:trPr>
              <w:tc>
                <w:tcPr>
                  <w:tcW w:w="288" w:type="pct"/>
                  <w:noWrap w:val="0"/>
                  <w:vAlign w:val="center"/>
                </w:tcPr>
                <w:p>
                  <w:pPr>
                    <w:spacing w:line="300" w:lineRule="exact"/>
                    <w:jc w:val="center"/>
                    <w:rPr>
                      <w:rFonts w:hint="eastAsia"/>
                      <w:color w:val="auto"/>
                      <w:sz w:val="21"/>
                      <w:szCs w:val="21"/>
                      <w:lang w:val="en-US" w:eastAsia="zh-CN"/>
                    </w:rPr>
                  </w:pPr>
                  <w:r>
                    <w:rPr>
                      <w:rFonts w:hint="eastAsia"/>
                      <w:color w:val="auto"/>
                      <w:sz w:val="21"/>
                      <w:szCs w:val="21"/>
                      <w:lang w:val="en-US" w:eastAsia="zh-CN"/>
                    </w:rPr>
                    <w:t>5</w:t>
                  </w:r>
                </w:p>
              </w:tc>
              <w:tc>
                <w:tcPr>
                  <w:tcW w:w="427" w:type="pct"/>
                  <w:noWrap w:val="0"/>
                  <w:vAlign w:val="center"/>
                </w:tcPr>
                <w:p>
                  <w:pPr>
                    <w:spacing w:line="300" w:lineRule="exact"/>
                    <w:jc w:val="center"/>
                    <w:rPr>
                      <w:color w:val="auto"/>
                      <w:sz w:val="21"/>
                      <w:szCs w:val="21"/>
                    </w:rPr>
                  </w:pPr>
                  <w:r>
                    <w:rPr>
                      <w:rFonts w:hint="eastAsia"/>
                      <w:color w:val="auto"/>
                      <w:sz w:val="21"/>
                      <w:szCs w:val="21"/>
                    </w:rPr>
                    <w:t>生态</w:t>
                  </w:r>
                </w:p>
                <w:p>
                  <w:pPr>
                    <w:spacing w:line="300" w:lineRule="exact"/>
                    <w:jc w:val="center"/>
                    <w:rPr>
                      <w:rFonts w:hint="eastAsia"/>
                      <w:color w:val="auto"/>
                      <w:sz w:val="21"/>
                      <w:szCs w:val="21"/>
                    </w:rPr>
                  </w:pPr>
                  <w:r>
                    <w:rPr>
                      <w:rFonts w:hint="eastAsia"/>
                      <w:color w:val="auto"/>
                      <w:sz w:val="21"/>
                      <w:szCs w:val="21"/>
                    </w:rPr>
                    <w:t>环境</w:t>
                  </w:r>
                </w:p>
              </w:tc>
              <w:tc>
                <w:tcPr>
                  <w:tcW w:w="3578" w:type="pct"/>
                  <w:noWrap w:val="0"/>
                  <w:vAlign w:val="center"/>
                </w:tcPr>
                <w:p>
                  <w:pPr>
                    <w:spacing w:line="300" w:lineRule="exact"/>
                    <w:rPr>
                      <w:rFonts w:hint="default"/>
                      <w:color w:val="auto"/>
                      <w:sz w:val="21"/>
                      <w:szCs w:val="21"/>
                      <w:lang w:eastAsia="zh-CN"/>
                    </w:rPr>
                  </w:pPr>
                  <w:r>
                    <w:rPr>
                      <w:rFonts w:hint="eastAsia"/>
                      <w:color w:val="auto"/>
                      <w:sz w:val="21"/>
                      <w:szCs w:val="21"/>
                    </w:rPr>
                    <w:t>施工完毕，及时平整进行设计功能恢复，防止水土流失。</w:t>
                  </w:r>
                </w:p>
              </w:tc>
              <w:tc>
                <w:tcPr>
                  <w:tcW w:w="705" w:type="pct"/>
                  <w:vMerge w:val="continue"/>
                  <w:noWrap w:val="0"/>
                  <w:vAlign w:val="center"/>
                </w:tcPr>
                <w:p>
                  <w:pPr>
                    <w:spacing w:line="300" w:lineRule="exact"/>
                    <w:jc w:val="center"/>
                    <w:rPr>
                      <w:rFonts w:hint="eastAsia"/>
                      <w:color w:val="auto"/>
                      <w:sz w:val="21"/>
                      <w:szCs w:val="21"/>
                    </w:rPr>
                  </w:pPr>
                </w:p>
              </w:tc>
            </w:tr>
          </w:tbl>
          <w:p>
            <w:pPr>
              <w:spacing w:line="480" w:lineRule="exact"/>
              <w:rPr>
                <w:rFonts w:hint="default" w:ascii="Times New Roman" w:hAnsi="Times New Roman"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78" w:hRule="atLeast"/>
          <w:jc w:val="center"/>
        </w:trPr>
        <w:tc>
          <w:tcPr>
            <w:tcW w:w="593" w:type="dxa"/>
            <w:noWrap w:val="0"/>
            <w:tcMar>
              <w:left w:w="28" w:type="dxa"/>
              <w:right w:w="28" w:type="dxa"/>
            </w:tcMar>
            <w:vAlign w:val="center"/>
          </w:tcPr>
          <w:p>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运营</w:t>
            </w:r>
          </w:p>
          <w:p>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期环</w:t>
            </w:r>
          </w:p>
          <w:p>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境影</w:t>
            </w:r>
          </w:p>
          <w:p>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响和</w:t>
            </w:r>
          </w:p>
          <w:p>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保护</w:t>
            </w:r>
          </w:p>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
                <w:color w:val="auto"/>
                <w:sz w:val="24"/>
                <w:highlight w:val="none"/>
              </w:rPr>
              <w:t>措施</w:t>
            </w:r>
          </w:p>
        </w:tc>
        <w:tc>
          <w:tcPr>
            <w:tcW w:w="8386" w:type="dxa"/>
            <w:noWrap w:val="0"/>
            <w:vAlign w:val="top"/>
          </w:tcPr>
          <w:p>
            <w:pPr>
              <w:spacing w:line="480" w:lineRule="exact"/>
              <w:ind w:firstLine="482" w:firstLineChars="200"/>
              <w:rPr>
                <w:rFonts w:hint="default"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lang w:eastAsia="zh-CN"/>
              </w:rPr>
              <w:t>二、运营期环境影响分析</w:t>
            </w:r>
          </w:p>
          <w:p>
            <w:pPr>
              <w:spacing w:line="48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1、废气治理措施及影响分析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val="0"/>
                <w:bCs w:val="0"/>
                <w:color w:val="auto"/>
                <w:sz w:val="24"/>
                <w:szCs w:val="24"/>
                <w:highlight w:val="none"/>
                <w:lang w:val="en-US" w:eastAsia="zh-CN"/>
              </w:rPr>
              <w:t>废气主要为</w:t>
            </w:r>
            <w:r>
              <w:rPr>
                <w:rFonts w:hint="default" w:ascii="Times New Roman" w:hAnsi="Times New Roman" w:eastAsia="宋体" w:cs="Times New Roman"/>
                <w:color w:val="auto"/>
                <w:sz w:val="24"/>
                <w:szCs w:val="24"/>
                <w:highlight w:val="none"/>
                <w:lang w:val="en-US" w:eastAsia="zh-CN"/>
              </w:rPr>
              <w:t>上料、</w:t>
            </w:r>
            <w:r>
              <w:rPr>
                <w:rFonts w:hint="eastAsia" w:ascii="Times New Roman" w:hAnsi="Times New Roman" w:eastAsia="宋体"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w:t>
            </w:r>
            <w:r>
              <w:rPr>
                <w:rFonts w:hint="default" w:ascii="Times New Roman" w:hAnsi="Times New Roman" w:cs="Times New Roman"/>
                <w:color w:val="auto"/>
                <w:sz w:val="24"/>
                <w:szCs w:val="24"/>
                <w:highlight w:val="none"/>
                <w:lang w:val="en-US" w:eastAsia="zh-CN"/>
              </w:rPr>
              <w:t>、筛分、色选、包装工序产生的颗粒物</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color w:val="auto"/>
                <w:sz w:val="24"/>
                <w:szCs w:val="24"/>
                <w:highlight w:val="none"/>
                <w:lang w:val="en-US" w:eastAsia="zh-CN"/>
              </w:rPr>
              <w:t>碳化机</w:t>
            </w:r>
            <w:r>
              <w:rPr>
                <w:rFonts w:hint="default" w:ascii="Times New Roman" w:hAnsi="Times New Roman" w:cs="Times New Roman"/>
                <w:color w:val="auto"/>
                <w:sz w:val="24"/>
                <w:szCs w:val="24"/>
                <w:highlight w:val="none"/>
                <w:lang w:val="en-US" w:eastAsia="zh-CN"/>
              </w:rPr>
              <w:t>产生的颗粒物、臭气浓度</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原料装卸堆存过程产生的颗粒物、臭气浓度。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color w:val="auto"/>
                <w:sz w:val="24"/>
                <w:lang w:val="en-US" w:eastAsia="zh-CN"/>
              </w:rPr>
              <w:t>1.1</w:t>
            </w:r>
            <w:r>
              <w:rPr>
                <w:rFonts w:hint="default" w:ascii="Times New Roman" w:hAnsi="Times New Roman" w:eastAsia="宋体" w:cs="Times New Roman"/>
                <w:b/>
                <w:color w:val="auto"/>
                <w:sz w:val="24"/>
              </w:rPr>
              <w:t>各工序有</w:t>
            </w:r>
            <w:r>
              <w:rPr>
                <w:rFonts w:hint="default" w:ascii="Times New Roman" w:hAnsi="Times New Roman" w:cs="Times New Roman"/>
                <w:b/>
                <w:color w:val="auto"/>
                <w:sz w:val="24"/>
              </w:rPr>
              <w:t>效作业时间的核算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上料工序</w:t>
            </w:r>
            <w:r>
              <w:rPr>
                <w:rFonts w:hint="default" w:ascii="Times New Roman" w:hAnsi="Times New Roman" w:eastAsia="宋体" w:cs="Times New Roman"/>
                <w:b w:val="0"/>
                <w:bCs w:val="0"/>
                <w:color w:val="auto"/>
                <w:sz w:val="24"/>
                <w:szCs w:val="24"/>
                <w:highlight w:val="none"/>
                <w:lang w:val="en-US" w:eastAsia="zh-CN"/>
              </w:rPr>
              <w:t>有效作业时间</w:t>
            </w:r>
            <w:r>
              <w:rPr>
                <w:rFonts w:hint="default" w:ascii="Times New Roman" w:hAnsi="Times New Roman" w:cs="Times New Roman"/>
                <w:b w:val="0"/>
                <w:bCs w:val="0"/>
                <w:color w:val="auto"/>
                <w:sz w:val="24"/>
                <w:szCs w:val="24"/>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lang w:val="en-US" w:eastAsia="zh-CN"/>
              </w:rPr>
              <w:t>上料</w:t>
            </w:r>
            <w:r>
              <w:rPr>
                <w:rFonts w:hint="default" w:ascii="Times New Roman" w:hAnsi="Times New Roman" w:eastAsia="宋体" w:cs="Times New Roman"/>
                <w:b w:val="0"/>
                <w:bCs w:val="0"/>
                <w:color w:val="auto"/>
                <w:sz w:val="24"/>
                <w:szCs w:val="24"/>
                <w:highlight w:val="none"/>
                <w:lang w:val="en-US" w:eastAsia="zh-CN"/>
              </w:rPr>
              <w:t>工序由</w:t>
            </w:r>
            <w:r>
              <w:rPr>
                <w:rFonts w:hint="eastAsia" w:cs="Times New Roman"/>
                <w:b w:val="0"/>
                <w:bCs w:val="0"/>
                <w:color w:val="auto"/>
                <w:sz w:val="24"/>
                <w:szCs w:val="24"/>
                <w:highlight w:val="none"/>
                <w:lang w:val="en-US" w:eastAsia="zh-CN"/>
              </w:rPr>
              <w:t>铲车</w:t>
            </w:r>
            <w:r>
              <w:rPr>
                <w:rFonts w:hint="default" w:ascii="Times New Roman" w:hAnsi="Times New Roman" w:eastAsia="宋体" w:cs="Times New Roman"/>
                <w:b w:val="0"/>
                <w:bCs w:val="0"/>
                <w:color w:val="auto"/>
                <w:sz w:val="24"/>
                <w:szCs w:val="24"/>
                <w:highlight w:val="none"/>
                <w:lang w:val="en-US" w:eastAsia="zh-CN"/>
              </w:rPr>
              <w:t>完成。</w:t>
            </w:r>
            <w:r>
              <w:rPr>
                <w:rFonts w:hint="default" w:ascii="Times New Roman" w:hAnsi="Times New Roman" w:cs="Times New Roman"/>
                <w:b w:val="0"/>
                <w:bCs w:val="0"/>
                <w:color w:val="auto"/>
                <w:sz w:val="24"/>
                <w:szCs w:val="24"/>
                <w:highlight w:val="none"/>
                <w:lang w:val="en-US" w:eastAsia="zh-CN"/>
              </w:rPr>
              <w:t>上料</w:t>
            </w:r>
            <w:r>
              <w:rPr>
                <w:rFonts w:hint="default" w:ascii="Times New Roman" w:hAnsi="Times New Roman" w:eastAsia="宋体" w:cs="Times New Roman"/>
                <w:b w:val="0"/>
                <w:bCs w:val="0"/>
                <w:color w:val="auto"/>
                <w:sz w:val="24"/>
                <w:szCs w:val="24"/>
                <w:highlight w:val="none"/>
                <w:lang w:val="en-US" w:eastAsia="zh-CN"/>
              </w:rPr>
              <w:t>能</w:t>
            </w:r>
            <w:r>
              <w:rPr>
                <w:rFonts w:hint="default" w:ascii="Times New Roman" w:hAnsi="Times New Roman" w:cs="Times New Roman"/>
                <w:b w:val="0"/>
                <w:bCs w:val="0"/>
                <w:color w:val="auto"/>
                <w:sz w:val="24"/>
                <w:szCs w:val="24"/>
                <w:highlight w:val="none"/>
                <w:lang w:val="en-US" w:eastAsia="zh-CN"/>
              </w:rPr>
              <w:t>力为</w:t>
            </w:r>
            <w:r>
              <w:rPr>
                <w:rFonts w:hint="eastAsia" w:cs="Times New Roman"/>
                <w:b w:val="0"/>
                <w:bCs w:val="0"/>
                <w:color w:val="auto"/>
                <w:sz w:val="24"/>
                <w:szCs w:val="24"/>
                <w:highlight w:val="none"/>
                <w:lang w:val="en-US" w:eastAsia="zh-CN"/>
              </w:rPr>
              <w:t>21.4</w:t>
            </w:r>
            <w:r>
              <w:rPr>
                <w:rFonts w:hint="default" w:ascii="Times New Roman" w:hAnsi="Times New Roman" w:cs="Times New Roman"/>
                <w:b w:val="0"/>
                <w:bCs w:val="0"/>
                <w:color w:val="auto"/>
                <w:sz w:val="24"/>
                <w:szCs w:val="24"/>
                <w:highlight w:val="none"/>
                <w:lang w:val="en-US" w:eastAsia="zh-CN"/>
              </w:rPr>
              <w:t>t/h，上料量为</w:t>
            </w:r>
            <w:r>
              <w:rPr>
                <w:rFonts w:hint="eastAsia" w:cs="Times New Roman"/>
                <w:b w:val="0"/>
                <w:bCs w:val="0"/>
                <w:color w:val="auto"/>
                <w:sz w:val="24"/>
                <w:szCs w:val="24"/>
                <w:highlight w:val="none"/>
                <w:lang w:val="en-US" w:eastAsia="zh-CN"/>
              </w:rPr>
              <w:t>5350</w:t>
            </w:r>
            <w:r>
              <w:rPr>
                <w:rFonts w:hint="default" w:ascii="Times New Roman" w:hAnsi="Times New Roman" w:cs="Times New Roman"/>
                <w:b w:val="0"/>
                <w:bCs w:val="0"/>
                <w:color w:val="auto"/>
                <w:sz w:val="24"/>
                <w:szCs w:val="24"/>
                <w:highlight w:val="none"/>
                <w:lang w:val="en-US" w:eastAsia="zh-CN"/>
              </w:rPr>
              <w:t>t/a，则上料工序有效作业时间是</w:t>
            </w:r>
            <w:r>
              <w:rPr>
                <w:rFonts w:hint="eastAsia" w:cs="Times New Roman"/>
                <w:b w:val="0"/>
                <w:bCs w:val="0"/>
                <w:color w:val="auto"/>
                <w:sz w:val="24"/>
                <w:szCs w:val="24"/>
                <w:highlight w:val="none"/>
                <w:lang w:val="en-US" w:eastAsia="zh-CN"/>
              </w:rPr>
              <w:t>250</w:t>
            </w:r>
            <w:r>
              <w:rPr>
                <w:rFonts w:hint="default" w:ascii="Times New Roman" w:hAnsi="Times New Roman" w:cs="Times New Roman"/>
                <w:b w:val="0"/>
                <w:bCs w:val="0"/>
                <w:color w:val="auto"/>
                <w:sz w:val="24"/>
                <w:szCs w:val="24"/>
                <w:highlight w:val="none"/>
                <w:lang w:val="en-US" w:eastAsia="zh-CN"/>
              </w:rPr>
              <w:t>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皮带运输</w:t>
            </w:r>
            <w:r>
              <w:rPr>
                <w:rFonts w:hint="default" w:ascii="Times New Roman" w:hAnsi="Times New Roman" w:eastAsia="宋体" w:cs="Times New Roman"/>
                <w:b w:val="0"/>
                <w:bCs w:val="0"/>
                <w:color w:val="auto"/>
                <w:sz w:val="24"/>
                <w:szCs w:val="24"/>
                <w:highlight w:val="none"/>
                <w:lang w:val="en-US" w:eastAsia="zh-CN"/>
              </w:rPr>
              <w:t>工序有效作业时间</w:t>
            </w:r>
            <w:r>
              <w:rPr>
                <w:rFonts w:hint="default" w:ascii="Times New Roman" w:hAnsi="Times New Roman" w:cs="Times New Roman"/>
                <w:b w:val="0"/>
                <w:bCs w:val="0"/>
                <w:color w:val="auto"/>
                <w:sz w:val="24"/>
                <w:szCs w:val="24"/>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皮带运输</w:t>
            </w:r>
            <w:r>
              <w:rPr>
                <w:rFonts w:hint="default" w:ascii="Times New Roman" w:hAnsi="Times New Roman" w:eastAsia="宋体" w:cs="Times New Roman"/>
                <w:b w:val="0"/>
                <w:bCs w:val="0"/>
                <w:color w:val="auto"/>
                <w:sz w:val="24"/>
                <w:szCs w:val="24"/>
                <w:highlight w:val="none"/>
                <w:lang w:val="en-US" w:eastAsia="zh-CN"/>
              </w:rPr>
              <w:t>工序由</w:t>
            </w:r>
            <w:r>
              <w:rPr>
                <w:rFonts w:hint="eastAsia" w:cs="Times New Roman"/>
                <w:b w:val="0"/>
                <w:bCs w:val="0"/>
                <w:color w:val="auto"/>
                <w:sz w:val="24"/>
                <w:szCs w:val="24"/>
                <w:highlight w:val="none"/>
                <w:lang w:val="en-US" w:eastAsia="zh-CN"/>
              </w:rPr>
              <w:t>封闭皮带长廊</w:t>
            </w:r>
            <w:r>
              <w:rPr>
                <w:rFonts w:hint="default" w:ascii="Times New Roman" w:hAnsi="Times New Roman" w:eastAsia="宋体" w:cs="Times New Roman"/>
                <w:b w:val="0"/>
                <w:bCs w:val="0"/>
                <w:color w:val="auto"/>
                <w:sz w:val="24"/>
                <w:szCs w:val="24"/>
                <w:highlight w:val="none"/>
                <w:lang w:val="en-US" w:eastAsia="zh-CN"/>
              </w:rPr>
              <w:t>完成。</w:t>
            </w:r>
            <w:r>
              <w:rPr>
                <w:rFonts w:hint="eastAsia" w:ascii="Times New Roman" w:hAnsi="Times New Roman" w:eastAsia="宋体" w:cs="Times New Roman"/>
                <w:color w:val="auto"/>
                <w:sz w:val="24"/>
                <w:szCs w:val="24"/>
                <w:highlight w:val="none"/>
                <w:lang w:val="en-US" w:eastAsia="zh-CN"/>
              </w:rPr>
              <w:t>运输</w:t>
            </w:r>
            <w:r>
              <w:rPr>
                <w:rFonts w:hint="default" w:ascii="Times New Roman" w:hAnsi="Times New Roman" w:eastAsia="宋体" w:cs="Times New Roman"/>
                <w:b w:val="0"/>
                <w:bCs w:val="0"/>
                <w:color w:val="auto"/>
                <w:sz w:val="24"/>
                <w:szCs w:val="24"/>
                <w:highlight w:val="none"/>
                <w:lang w:val="en-US" w:eastAsia="zh-CN"/>
              </w:rPr>
              <w:t>能</w:t>
            </w:r>
            <w:r>
              <w:rPr>
                <w:rFonts w:hint="default" w:ascii="Times New Roman" w:hAnsi="Times New Roman" w:cs="Times New Roman"/>
                <w:b w:val="0"/>
                <w:bCs w:val="0"/>
                <w:color w:val="auto"/>
                <w:sz w:val="24"/>
                <w:szCs w:val="24"/>
                <w:highlight w:val="none"/>
                <w:lang w:val="en-US" w:eastAsia="zh-CN"/>
              </w:rPr>
              <w:t>力为</w:t>
            </w:r>
            <w:r>
              <w:rPr>
                <w:rFonts w:hint="eastAsia" w:cs="Times New Roman"/>
                <w:b w:val="0"/>
                <w:bCs w:val="0"/>
                <w:color w:val="auto"/>
                <w:sz w:val="24"/>
                <w:szCs w:val="24"/>
                <w:highlight w:val="none"/>
                <w:lang w:val="en-US" w:eastAsia="zh-CN"/>
              </w:rPr>
              <w:t>10.7</w:t>
            </w:r>
            <w:r>
              <w:rPr>
                <w:rFonts w:hint="default" w:ascii="Times New Roman" w:hAnsi="Times New Roman" w:cs="Times New Roman"/>
                <w:b w:val="0"/>
                <w:bCs w:val="0"/>
                <w:color w:val="auto"/>
                <w:sz w:val="24"/>
                <w:szCs w:val="24"/>
                <w:highlight w:val="none"/>
                <w:lang w:val="en-US" w:eastAsia="zh-CN"/>
              </w:rPr>
              <w:t>t/h，</w:t>
            </w:r>
            <w:r>
              <w:rPr>
                <w:rFonts w:hint="eastAsia" w:ascii="Times New Roman" w:hAnsi="Times New Roman" w:cs="Times New Roman"/>
                <w:b w:val="0"/>
                <w:bCs w:val="0"/>
                <w:color w:val="auto"/>
                <w:sz w:val="24"/>
                <w:szCs w:val="24"/>
                <w:highlight w:val="none"/>
                <w:lang w:val="en-US" w:eastAsia="zh-CN"/>
              </w:rPr>
              <w:t>运输</w:t>
            </w:r>
            <w:r>
              <w:rPr>
                <w:rFonts w:hint="default" w:ascii="Times New Roman" w:hAnsi="Times New Roman"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5350</w:t>
            </w:r>
            <w:r>
              <w:rPr>
                <w:rFonts w:hint="default" w:ascii="Times New Roman" w:hAnsi="Times New Roman" w:cs="Times New Roman"/>
                <w:b w:val="0"/>
                <w:bCs w:val="0"/>
                <w:color w:val="auto"/>
                <w:sz w:val="24"/>
                <w:szCs w:val="24"/>
                <w:highlight w:val="none"/>
                <w:lang w:val="en-US" w:eastAsia="zh-CN"/>
              </w:rPr>
              <w:t>t/a，则</w:t>
            </w:r>
            <w:r>
              <w:rPr>
                <w:rFonts w:hint="eastAsia" w:ascii="Times New Roman" w:hAnsi="Times New Roman" w:eastAsia="宋体" w:cs="Times New Roman"/>
                <w:color w:val="auto"/>
                <w:sz w:val="24"/>
                <w:szCs w:val="24"/>
                <w:highlight w:val="none"/>
                <w:lang w:val="en-US" w:eastAsia="zh-CN"/>
              </w:rPr>
              <w:t>皮带</w:t>
            </w:r>
            <w:r>
              <w:rPr>
                <w:rFonts w:hint="eastAsia" w:ascii="Times New Roman" w:hAnsi="Times New Roman" w:cs="Times New Roman"/>
                <w:b w:val="0"/>
                <w:bCs w:val="0"/>
                <w:color w:val="auto"/>
                <w:sz w:val="24"/>
                <w:szCs w:val="24"/>
                <w:highlight w:val="none"/>
                <w:lang w:val="en-US" w:eastAsia="zh-CN"/>
              </w:rPr>
              <w:t>运输</w:t>
            </w:r>
            <w:r>
              <w:rPr>
                <w:rFonts w:hint="default" w:ascii="Times New Roman" w:hAnsi="Times New Roman" w:cs="Times New Roman"/>
                <w:b w:val="0"/>
                <w:bCs w:val="0"/>
                <w:color w:val="auto"/>
                <w:sz w:val="24"/>
                <w:szCs w:val="24"/>
                <w:highlight w:val="none"/>
                <w:lang w:val="en-US" w:eastAsia="zh-CN"/>
              </w:rPr>
              <w:t>工序有效作业时间是</w:t>
            </w:r>
            <w:r>
              <w:rPr>
                <w:rFonts w:hint="eastAsia" w:cs="Times New Roman"/>
                <w:b w:val="0"/>
                <w:bCs w:val="0"/>
                <w:color w:val="auto"/>
                <w:sz w:val="24"/>
                <w:szCs w:val="24"/>
                <w:highlight w:val="none"/>
                <w:lang w:val="en-US" w:eastAsia="zh-CN"/>
              </w:rPr>
              <w:t>5</w:t>
            </w:r>
            <w:r>
              <w:rPr>
                <w:rFonts w:hint="default" w:ascii="Times New Roman" w:hAnsi="Times New Roman" w:cs="Times New Roman"/>
                <w:b w:val="0"/>
                <w:bCs w:val="0"/>
                <w:color w:val="auto"/>
                <w:sz w:val="24"/>
                <w:szCs w:val="24"/>
                <w:highlight w:val="none"/>
                <w:lang w:val="en-US" w:eastAsia="zh-CN"/>
              </w:rPr>
              <w:t>00h/a。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布料</w:t>
            </w:r>
            <w:r>
              <w:rPr>
                <w:rFonts w:hint="default" w:ascii="Times New Roman" w:hAnsi="Times New Roman" w:eastAsia="宋体" w:cs="Times New Roman"/>
                <w:b w:val="0"/>
                <w:bCs w:val="0"/>
                <w:color w:val="auto"/>
                <w:sz w:val="24"/>
                <w:szCs w:val="24"/>
                <w:highlight w:val="none"/>
                <w:lang w:val="en-US" w:eastAsia="zh-CN"/>
              </w:rPr>
              <w:t>工序有效作业时间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 xml:space="preserve"> 本项目布料工序由人工完成。布料能力为2.</w:t>
            </w:r>
            <w:r>
              <w:rPr>
                <w:rFonts w:hint="eastAsia" w:cs="Times New Roman"/>
                <w:b w:val="0"/>
                <w:bCs w:val="0"/>
                <w:color w:val="auto"/>
                <w:sz w:val="24"/>
                <w:szCs w:val="24"/>
                <w:highlight w:val="none"/>
                <w:lang w:val="en-US" w:eastAsia="zh-CN"/>
              </w:rPr>
              <w:t>675</w:t>
            </w:r>
            <w:r>
              <w:rPr>
                <w:rFonts w:hint="default" w:ascii="Times New Roman" w:hAnsi="Times New Roman" w:eastAsia="宋体" w:cs="Times New Roman"/>
                <w:b w:val="0"/>
                <w:bCs w:val="0"/>
                <w:color w:val="auto"/>
                <w:sz w:val="24"/>
                <w:szCs w:val="24"/>
                <w:highlight w:val="none"/>
                <w:lang w:val="en-US" w:eastAsia="zh-CN"/>
              </w:rPr>
              <w:t>t/h，布料量为</w:t>
            </w:r>
            <w:r>
              <w:rPr>
                <w:rFonts w:hint="eastAsia" w:cs="Times New Roman"/>
                <w:b w:val="0"/>
                <w:bCs w:val="0"/>
                <w:color w:val="auto"/>
                <w:sz w:val="24"/>
                <w:szCs w:val="24"/>
                <w:highlight w:val="none"/>
                <w:lang w:val="en-US" w:eastAsia="zh-CN"/>
              </w:rPr>
              <w:t>5350</w:t>
            </w:r>
            <w:r>
              <w:rPr>
                <w:rFonts w:hint="default" w:ascii="Times New Roman" w:hAnsi="Times New Roman" w:eastAsia="宋体" w:cs="Times New Roman"/>
                <w:b w:val="0"/>
                <w:bCs w:val="0"/>
                <w:color w:val="auto"/>
                <w:sz w:val="24"/>
                <w:szCs w:val="24"/>
                <w:highlight w:val="none"/>
                <w:lang w:val="en-US" w:eastAsia="zh-CN"/>
              </w:rPr>
              <w:t>t/a，则布料工序有效作业时间是2000h/a。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筛分</w:t>
            </w:r>
            <w:r>
              <w:rPr>
                <w:rFonts w:hint="default" w:ascii="Times New Roman" w:hAnsi="Times New Roman" w:eastAsia="宋体" w:cs="Times New Roman"/>
                <w:b w:val="0"/>
                <w:bCs w:val="0"/>
                <w:color w:val="auto"/>
                <w:sz w:val="24"/>
                <w:szCs w:val="24"/>
                <w:highlight w:val="none"/>
                <w:lang w:val="en-US" w:eastAsia="zh-CN"/>
              </w:rPr>
              <w:t>工序有效作业时间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lang w:val="en-US" w:eastAsia="zh-CN"/>
              </w:rPr>
              <w:t>筛分</w:t>
            </w:r>
            <w:r>
              <w:rPr>
                <w:rFonts w:hint="default" w:ascii="Times New Roman" w:hAnsi="Times New Roman" w:eastAsia="宋体" w:cs="Times New Roman"/>
                <w:b w:val="0"/>
                <w:bCs w:val="0"/>
                <w:color w:val="auto"/>
                <w:sz w:val="24"/>
                <w:szCs w:val="24"/>
                <w:highlight w:val="none"/>
                <w:lang w:val="en-US" w:eastAsia="zh-CN"/>
              </w:rPr>
              <w:t>工序由</w:t>
            </w:r>
            <w:r>
              <w:rPr>
                <w:rFonts w:hint="default" w:ascii="Times New Roman" w:hAnsi="Times New Roman" w:cs="Times New Roman"/>
                <w:b w:val="0"/>
                <w:bCs w:val="0"/>
                <w:color w:val="auto"/>
                <w:sz w:val="24"/>
                <w:szCs w:val="24"/>
                <w:highlight w:val="none"/>
                <w:lang w:val="en-US" w:eastAsia="zh-CN"/>
              </w:rPr>
              <w:t>振动筛</w:t>
            </w:r>
            <w:r>
              <w:rPr>
                <w:rFonts w:hint="default" w:ascii="Times New Roman" w:hAnsi="Times New Roman" w:eastAsia="宋体" w:cs="Times New Roman"/>
                <w:b w:val="0"/>
                <w:bCs w:val="0"/>
                <w:color w:val="auto"/>
                <w:sz w:val="24"/>
                <w:szCs w:val="24"/>
                <w:highlight w:val="none"/>
                <w:lang w:val="en-US" w:eastAsia="zh-CN"/>
              </w:rPr>
              <w:t>完成。</w:t>
            </w:r>
            <w:r>
              <w:rPr>
                <w:rFonts w:hint="default" w:ascii="Times New Roman" w:hAnsi="Times New Roman" w:cs="Times New Roman"/>
                <w:b w:val="0"/>
                <w:bCs w:val="0"/>
                <w:color w:val="auto"/>
                <w:sz w:val="24"/>
                <w:szCs w:val="24"/>
                <w:highlight w:val="none"/>
                <w:lang w:val="en-US" w:eastAsia="zh-CN"/>
              </w:rPr>
              <w:t>筛分</w:t>
            </w:r>
            <w:r>
              <w:rPr>
                <w:rFonts w:hint="default" w:ascii="Times New Roman" w:hAnsi="Times New Roman" w:eastAsia="宋体" w:cs="Times New Roman"/>
                <w:b w:val="0"/>
                <w:bCs w:val="0"/>
                <w:color w:val="auto"/>
                <w:sz w:val="24"/>
                <w:szCs w:val="24"/>
                <w:highlight w:val="none"/>
                <w:lang w:val="en-US" w:eastAsia="zh-CN"/>
              </w:rPr>
              <w:t>能力为</w:t>
            </w:r>
            <w:r>
              <w:rPr>
                <w:rFonts w:hint="eastAsia"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t/h</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筛分</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2500</w:t>
            </w:r>
            <w:r>
              <w:rPr>
                <w:rFonts w:hint="default" w:ascii="Times New Roman" w:hAnsi="Times New Roman" w:eastAsia="宋体" w:cs="Times New Roman"/>
                <w:b w:val="0"/>
                <w:bCs w:val="0"/>
                <w:color w:val="auto"/>
                <w:sz w:val="24"/>
                <w:szCs w:val="24"/>
                <w:highlight w:val="none"/>
                <w:lang w:val="en-US" w:eastAsia="zh-CN"/>
              </w:rPr>
              <w:t>t/a，则</w:t>
            </w:r>
            <w:r>
              <w:rPr>
                <w:rFonts w:hint="default" w:ascii="Times New Roman" w:hAnsi="Times New Roman" w:cs="Times New Roman"/>
                <w:b w:val="0"/>
                <w:bCs w:val="0"/>
                <w:color w:val="auto"/>
                <w:sz w:val="24"/>
                <w:szCs w:val="24"/>
                <w:highlight w:val="none"/>
                <w:lang w:val="en-US" w:eastAsia="zh-CN"/>
              </w:rPr>
              <w:t>筛分</w:t>
            </w:r>
            <w:r>
              <w:rPr>
                <w:rFonts w:hint="default" w:ascii="Times New Roman" w:hAnsi="Times New Roman" w:eastAsia="宋体" w:cs="Times New Roman"/>
                <w:b w:val="0"/>
                <w:bCs w:val="0"/>
                <w:color w:val="auto"/>
                <w:sz w:val="24"/>
                <w:szCs w:val="24"/>
                <w:highlight w:val="none"/>
                <w:lang w:val="en-US" w:eastAsia="zh-CN"/>
              </w:rPr>
              <w:t>工序有效作业时间是</w:t>
            </w:r>
            <w:r>
              <w:rPr>
                <w:rFonts w:hint="default" w:ascii="Times New Roman" w:hAnsi="Times New Roman" w:cs="Times New Roman"/>
                <w:b w:val="0"/>
                <w:bCs w:val="0"/>
                <w:color w:val="auto"/>
                <w:sz w:val="24"/>
                <w:szCs w:val="24"/>
                <w:highlight w:val="none"/>
                <w:lang w:val="en-US" w:eastAsia="zh-CN"/>
              </w:rPr>
              <w:t>500</w:t>
            </w:r>
            <w:r>
              <w:rPr>
                <w:rFonts w:hint="default" w:ascii="Times New Roman" w:hAnsi="Times New Roman" w:eastAsia="宋体" w:cs="Times New Roman"/>
                <w:b w:val="0"/>
                <w:bCs w:val="0"/>
                <w:color w:val="auto"/>
                <w:sz w:val="24"/>
                <w:szCs w:val="24"/>
                <w:highlight w:val="none"/>
                <w:lang w:val="en-US" w:eastAsia="zh-CN"/>
              </w:rPr>
              <w:t>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色选</w:t>
            </w:r>
            <w:r>
              <w:rPr>
                <w:rFonts w:hint="default" w:ascii="Times New Roman" w:hAnsi="Times New Roman" w:eastAsia="宋体" w:cs="Times New Roman"/>
                <w:b w:val="0"/>
                <w:bCs w:val="0"/>
                <w:color w:val="auto"/>
                <w:sz w:val="24"/>
                <w:szCs w:val="24"/>
                <w:highlight w:val="none"/>
                <w:lang w:val="en-US" w:eastAsia="zh-CN"/>
              </w:rPr>
              <w:t>工序有效作业时间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lang w:val="en-US" w:eastAsia="zh-CN"/>
              </w:rPr>
              <w:t>色选</w:t>
            </w:r>
            <w:r>
              <w:rPr>
                <w:rFonts w:hint="default" w:ascii="Times New Roman" w:hAnsi="Times New Roman" w:eastAsia="宋体" w:cs="Times New Roman"/>
                <w:b w:val="0"/>
                <w:bCs w:val="0"/>
                <w:color w:val="auto"/>
                <w:sz w:val="24"/>
                <w:szCs w:val="24"/>
                <w:highlight w:val="none"/>
                <w:lang w:val="en-US" w:eastAsia="zh-CN"/>
              </w:rPr>
              <w:t>工序由</w:t>
            </w:r>
            <w:r>
              <w:rPr>
                <w:rFonts w:hint="default" w:ascii="Times New Roman" w:hAnsi="Times New Roman" w:cs="Times New Roman"/>
                <w:b w:val="0"/>
                <w:bCs w:val="0"/>
                <w:color w:val="auto"/>
                <w:sz w:val="24"/>
                <w:szCs w:val="24"/>
                <w:highlight w:val="none"/>
                <w:lang w:val="en-US" w:eastAsia="zh-CN"/>
              </w:rPr>
              <w:t>色选机</w:t>
            </w:r>
            <w:r>
              <w:rPr>
                <w:rFonts w:hint="default" w:ascii="Times New Roman" w:hAnsi="Times New Roman" w:eastAsia="宋体" w:cs="Times New Roman"/>
                <w:b w:val="0"/>
                <w:bCs w:val="0"/>
                <w:color w:val="auto"/>
                <w:sz w:val="24"/>
                <w:szCs w:val="24"/>
                <w:highlight w:val="none"/>
                <w:lang w:val="en-US" w:eastAsia="zh-CN"/>
              </w:rPr>
              <w:t>完成。</w:t>
            </w:r>
            <w:r>
              <w:rPr>
                <w:rFonts w:hint="default" w:ascii="Times New Roman" w:hAnsi="Times New Roman" w:cs="Times New Roman"/>
                <w:b w:val="0"/>
                <w:bCs w:val="0"/>
                <w:color w:val="auto"/>
                <w:sz w:val="24"/>
                <w:szCs w:val="24"/>
                <w:highlight w:val="none"/>
                <w:lang w:val="en-US" w:eastAsia="zh-CN"/>
              </w:rPr>
              <w:t>色选</w:t>
            </w:r>
            <w:r>
              <w:rPr>
                <w:rFonts w:hint="default" w:ascii="Times New Roman" w:hAnsi="Times New Roman" w:eastAsia="宋体" w:cs="Times New Roman"/>
                <w:b w:val="0"/>
                <w:bCs w:val="0"/>
                <w:color w:val="auto"/>
                <w:sz w:val="24"/>
                <w:szCs w:val="24"/>
                <w:highlight w:val="none"/>
                <w:lang w:val="en-US" w:eastAsia="zh-CN"/>
              </w:rPr>
              <w:t>能力为</w:t>
            </w:r>
            <w:r>
              <w:rPr>
                <w:rFonts w:hint="eastAsia" w:cs="Times New Roman"/>
                <w:b w:val="0"/>
                <w:bCs w:val="0"/>
                <w:color w:val="auto"/>
                <w:sz w:val="24"/>
                <w:szCs w:val="24"/>
                <w:highlight w:val="none"/>
                <w:lang w:val="en-US" w:eastAsia="zh-CN"/>
              </w:rPr>
              <w:t>2.5</w:t>
            </w:r>
            <w:r>
              <w:rPr>
                <w:rFonts w:hint="default" w:ascii="Times New Roman" w:hAnsi="Times New Roman" w:cs="Times New Roman"/>
                <w:b w:val="0"/>
                <w:bCs w:val="0"/>
                <w:color w:val="auto"/>
                <w:sz w:val="24"/>
                <w:szCs w:val="24"/>
                <w:highlight w:val="none"/>
                <w:lang w:val="en-US" w:eastAsia="zh-CN"/>
              </w:rPr>
              <w:t>t/h</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色选</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2500</w:t>
            </w:r>
            <w:r>
              <w:rPr>
                <w:rFonts w:hint="default" w:ascii="Times New Roman" w:hAnsi="Times New Roman" w:eastAsia="宋体" w:cs="Times New Roman"/>
                <w:b w:val="0"/>
                <w:bCs w:val="0"/>
                <w:color w:val="auto"/>
                <w:sz w:val="24"/>
                <w:szCs w:val="24"/>
                <w:highlight w:val="none"/>
                <w:lang w:val="en-US" w:eastAsia="zh-CN"/>
              </w:rPr>
              <w:t>t/a，则</w:t>
            </w:r>
            <w:r>
              <w:rPr>
                <w:rFonts w:hint="default" w:ascii="Times New Roman" w:hAnsi="Times New Roman" w:cs="Times New Roman"/>
                <w:b w:val="0"/>
                <w:bCs w:val="0"/>
                <w:color w:val="auto"/>
                <w:sz w:val="24"/>
                <w:szCs w:val="24"/>
                <w:highlight w:val="none"/>
                <w:lang w:val="en-US" w:eastAsia="zh-CN"/>
              </w:rPr>
              <w:t>色选</w:t>
            </w:r>
            <w:r>
              <w:rPr>
                <w:rFonts w:hint="default" w:ascii="Times New Roman" w:hAnsi="Times New Roman" w:eastAsia="宋体" w:cs="Times New Roman"/>
                <w:b w:val="0"/>
                <w:bCs w:val="0"/>
                <w:color w:val="auto"/>
                <w:sz w:val="24"/>
                <w:szCs w:val="24"/>
                <w:highlight w:val="none"/>
                <w:lang w:val="en-US" w:eastAsia="zh-CN"/>
              </w:rPr>
              <w:t>工序有效作业时间是</w:t>
            </w:r>
            <w:r>
              <w:rPr>
                <w:rFonts w:hint="eastAsia" w:cs="Times New Roman"/>
                <w:b w:val="0"/>
                <w:bCs w:val="0"/>
                <w:color w:val="auto"/>
                <w:sz w:val="24"/>
                <w:szCs w:val="24"/>
                <w:highlight w:val="none"/>
                <w:lang w:val="en-US" w:eastAsia="zh-CN"/>
              </w:rPr>
              <w:t>1000</w:t>
            </w:r>
            <w:r>
              <w:rPr>
                <w:rFonts w:hint="default" w:ascii="Times New Roman" w:hAnsi="Times New Roman" w:eastAsia="宋体" w:cs="Times New Roman"/>
                <w:b w:val="0"/>
                <w:bCs w:val="0"/>
                <w:color w:val="auto"/>
                <w:sz w:val="24"/>
                <w:szCs w:val="24"/>
                <w:highlight w:val="none"/>
                <w:lang w:val="en-US" w:eastAsia="zh-CN"/>
              </w:rPr>
              <w:t>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包装</w:t>
            </w:r>
            <w:r>
              <w:rPr>
                <w:rFonts w:hint="default" w:ascii="Times New Roman" w:hAnsi="Times New Roman" w:eastAsia="宋体" w:cs="Times New Roman"/>
                <w:b w:val="0"/>
                <w:bCs w:val="0"/>
                <w:color w:val="auto"/>
                <w:sz w:val="24"/>
                <w:szCs w:val="24"/>
                <w:highlight w:val="none"/>
                <w:lang w:val="en-US" w:eastAsia="zh-CN"/>
              </w:rPr>
              <w:t>工序有效作业时间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cs="Times New Roman"/>
                <w:b w:val="0"/>
                <w:bCs w:val="0"/>
                <w:color w:val="auto"/>
                <w:sz w:val="24"/>
                <w:szCs w:val="24"/>
                <w:highlight w:val="none"/>
                <w:lang w:val="en-US" w:eastAsia="zh-CN"/>
              </w:rPr>
              <w:t>包装</w:t>
            </w:r>
            <w:r>
              <w:rPr>
                <w:rFonts w:hint="default" w:ascii="Times New Roman" w:hAnsi="Times New Roman" w:eastAsia="宋体" w:cs="Times New Roman"/>
                <w:b w:val="0"/>
                <w:bCs w:val="0"/>
                <w:color w:val="auto"/>
                <w:sz w:val="24"/>
                <w:szCs w:val="24"/>
                <w:highlight w:val="none"/>
                <w:lang w:val="en-US" w:eastAsia="zh-CN"/>
              </w:rPr>
              <w:t>工序由</w:t>
            </w:r>
            <w:r>
              <w:rPr>
                <w:rFonts w:hint="default" w:ascii="Times New Roman" w:hAnsi="Times New Roman" w:cs="Times New Roman"/>
                <w:b w:val="0"/>
                <w:bCs w:val="0"/>
                <w:color w:val="auto"/>
                <w:sz w:val="24"/>
                <w:szCs w:val="24"/>
                <w:highlight w:val="none"/>
                <w:lang w:val="en-US" w:eastAsia="zh-CN"/>
              </w:rPr>
              <w:t>包装机</w:t>
            </w:r>
            <w:r>
              <w:rPr>
                <w:rFonts w:hint="default" w:ascii="Times New Roman" w:hAnsi="Times New Roman" w:eastAsia="宋体" w:cs="Times New Roman"/>
                <w:b w:val="0"/>
                <w:bCs w:val="0"/>
                <w:color w:val="auto"/>
                <w:sz w:val="24"/>
                <w:szCs w:val="24"/>
                <w:highlight w:val="none"/>
                <w:lang w:val="en-US" w:eastAsia="zh-CN"/>
              </w:rPr>
              <w:t>完成。</w:t>
            </w:r>
            <w:r>
              <w:rPr>
                <w:rFonts w:hint="eastAsia" w:cs="Times New Roman"/>
                <w:b w:val="0"/>
                <w:bCs w:val="0"/>
                <w:color w:val="auto"/>
                <w:sz w:val="24"/>
                <w:szCs w:val="24"/>
                <w:highlight w:val="none"/>
                <w:lang w:val="en-US" w:eastAsia="zh-CN"/>
              </w:rPr>
              <w:t>包装</w:t>
            </w:r>
            <w:r>
              <w:rPr>
                <w:rFonts w:hint="default" w:ascii="Times New Roman" w:hAnsi="Times New Roman" w:eastAsia="宋体" w:cs="Times New Roman"/>
                <w:b w:val="0"/>
                <w:bCs w:val="0"/>
                <w:color w:val="auto"/>
                <w:sz w:val="24"/>
                <w:szCs w:val="24"/>
                <w:highlight w:val="none"/>
                <w:lang w:val="en-US" w:eastAsia="zh-CN"/>
              </w:rPr>
              <w:t>能力为</w:t>
            </w:r>
            <w:r>
              <w:rPr>
                <w:rFonts w:hint="eastAsia" w:cs="Times New Roman"/>
                <w:b w:val="0"/>
                <w:bCs w:val="0"/>
                <w:color w:val="auto"/>
                <w:sz w:val="24"/>
                <w:szCs w:val="24"/>
                <w:highlight w:val="none"/>
                <w:lang w:val="en-US" w:eastAsia="zh-CN"/>
              </w:rPr>
              <w:t>2.5</w:t>
            </w:r>
            <w:r>
              <w:rPr>
                <w:rFonts w:hint="default" w:ascii="Times New Roman" w:hAnsi="Times New Roman" w:cs="Times New Roman"/>
                <w:b w:val="0"/>
                <w:bCs w:val="0"/>
                <w:color w:val="auto"/>
                <w:sz w:val="24"/>
                <w:szCs w:val="24"/>
                <w:highlight w:val="none"/>
                <w:lang w:val="en-US" w:eastAsia="zh-CN"/>
              </w:rPr>
              <w:t>t/h，包装</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2500</w:t>
            </w:r>
            <w:r>
              <w:rPr>
                <w:rFonts w:hint="default" w:ascii="Times New Roman" w:hAnsi="Times New Roman" w:eastAsia="宋体" w:cs="Times New Roman"/>
                <w:b w:val="0"/>
                <w:bCs w:val="0"/>
                <w:color w:val="auto"/>
                <w:sz w:val="24"/>
                <w:szCs w:val="24"/>
                <w:highlight w:val="none"/>
                <w:lang w:val="en-US" w:eastAsia="zh-CN"/>
              </w:rPr>
              <w:t>t/a，则</w:t>
            </w:r>
            <w:r>
              <w:rPr>
                <w:rFonts w:hint="default" w:ascii="Times New Roman" w:hAnsi="Times New Roman" w:cs="Times New Roman"/>
                <w:b w:val="0"/>
                <w:bCs w:val="0"/>
                <w:color w:val="auto"/>
                <w:sz w:val="24"/>
                <w:szCs w:val="24"/>
                <w:highlight w:val="none"/>
                <w:lang w:val="en-US" w:eastAsia="zh-CN"/>
              </w:rPr>
              <w:t>包装</w:t>
            </w:r>
            <w:r>
              <w:rPr>
                <w:rFonts w:hint="default" w:ascii="Times New Roman" w:hAnsi="Times New Roman" w:eastAsia="宋体" w:cs="Times New Roman"/>
                <w:b w:val="0"/>
                <w:bCs w:val="0"/>
                <w:color w:val="auto"/>
                <w:sz w:val="24"/>
                <w:szCs w:val="24"/>
                <w:highlight w:val="none"/>
                <w:lang w:val="en-US" w:eastAsia="zh-CN"/>
              </w:rPr>
              <w:t>工序有效作业时间是</w:t>
            </w:r>
            <w:r>
              <w:rPr>
                <w:rFonts w:hint="eastAsia" w:cs="Times New Roman"/>
                <w:b w:val="0"/>
                <w:bCs w:val="0"/>
                <w:color w:val="auto"/>
                <w:sz w:val="24"/>
                <w:szCs w:val="24"/>
                <w:highlight w:val="none"/>
                <w:lang w:val="en-US" w:eastAsia="zh-CN"/>
              </w:rPr>
              <w:t>1000</w:t>
            </w:r>
            <w:r>
              <w:rPr>
                <w:rFonts w:hint="default" w:ascii="Times New Roman" w:hAnsi="Times New Roman" w:eastAsia="宋体" w:cs="Times New Roman"/>
                <w:b w:val="0"/>
                <w:bCs w:val="0"/>
                <w:color w:val="auto"/>
                <w:sz w:val="24"/>
                <w:szCs w:val="24"/>
                <w:highlight w:val="none"/>
                <w:lang w:val="en-US" w:eastAsia="zh-CN"/>
              </w:rPr>
              <w:t>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因上料、</w:t>
            </w:r>
            <w:r>
              <w:rPr>
                <w:rFonts w:hint="eastAsia" w:ascii="Times New Roman" w:hAnsi="Times New Roman" w:eastAsia="宋体" w:cs="Times New Roman"/>
                <w:b/>
                <w:bCs/>
                <w:color w:val="auto"/>
                <w:sz w:val="24"/>
                <w:szCs w:val="24"/>
                <w:highlight w:val="none"/>
                <w:lang w:val="en-US" w:eastAsia="zh-CN"/>
              </w:rPr>
              <w:t>皮带运输、</w:t>
            </w:r>
            <w:r>
              <w:rPr>
                <w:rFonts w:hint="default" w:ascii="Times New Roman" w:hAnsi="Times New Roman" w:eastAsia="宋体" w:cs="Times New Roman"/>
                <w:b/>
                <w:bCs/>
                <w:color w:val="auto"/>
                <w:sz w:val="24"/>
                <w:szCs w:val="24"/>
                <w:highlight w:val="none"/>
                <w:lang w:val="en-US" w:eastAsia="zh-CN"/>
              </w:rPr>
              <w:t>布料</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筛分</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色选</w:t>
            </w:r>
            <w:r>
              <w:rPr>
                <w:rFonts w:hint="default" w:ascii="Times New Roman" w:hAnsi="Times New Roman" w:eastAsia="宋体" w:cs="Times New Roman"/>
                <w:b/>
                <w:bCs/>
                <w:color w:val="auto"/>
                <w:sz w:val="24"/>
                <w:szCs w:val="24"/>
                <w:highlight w:val="none"/>
                <w:lang w:val="en-US" w:eastAsia="zh-CN"/>
              </w:rPr>
              <w:t>与</w:t>
            </w:r>
            <w:r>
              <w:rPr>
                <w:rFonts w:hint="default" w:ascii="Times New Roman" w:hAnsi="Times New Roman" w:cs="Times New Roman"/>
                <w:b/>
                <w:bCs/>
                <w:color w:val="auto"/>
                <w:sz w:val="24"/>
                <w:szCs w:val="24"/>
                <w:highlight w:val="none"/>
                <w:lang w:val="en-US" w:eastAsia="zh-CN"/>
              </w:rPr>
              <w:t>包装</w:t>
            </w:r>
            <w:r>
              <w:rPr>
                <w:rFonts w:hint="default" w:ascii="Times New Roman" w:hAnsi="Times New Roman" w:eastAsia="宋体" w:cs="Times New Roman"/>
                <w:b/>
                <w:bCs/>
                <w:color w:val="auto"/>
                <w:sz w:val="24"/>
                <w:szCs w:val="24"/>
                <w:highlight w:val="none"/>
                <w:lang w:val="en-US" w:eastAsia="zh-CN"/>
              </w:rPr>
              <w:t>废气共用</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#脉冲布袋除尘器处理后经15m高排气筒【DA00</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】排放，因此上料、</w:t>
            </w:r>
            <w:r>
              <w:rPr>
                <w:rFonts w:hint="eastAsia" w:ascii="Times New Roman" w:hAnsi="Times New Roman" w:eastAsia="宋体" w:cs="Times New Roman"/>
                <w:b/>
                <w:bCs/>
                <w:color w:val="auto"/>
                <w:sz w:val="24"/>
                <w:szCs w:val="24"/>
                <w:highlight w:val="none"/>
                <w:lang w:val="en-US" w:eastAsia="zh-CN"/>
              </w:rPr>
              <w:t>皮带运输、</w:t>
            </w:r>
            <w:r>
              <w:rPr>
                <w:rFonts w:hint="default" w:ascii="Times New Roman" w:hAnsi="Times New Roman" w:eastAsia="宋体" w:cs="Times New Roman"/>
                <w:b/>
                <w:bCs/>
                <w:color w:val="auto"/>
                <w:sz w:val="24"/>
                <w:szCs w:val="24"/>
                <w:highlight w:val="none"/>
                <w:lang w:val="en-US" w:eastAsia="zh-CN"/>
              </w:rPr>
              <w:t>布料</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筛分</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色选</w:t>
            </w:r>
            <w:r>
              <w:rPr>
                <w:rFonts w:hint="default" w:ascii="Times New Roman" w:hAnsi="Times New Roman" w:eastAsia="宋体" w:cs="Times New Roman"/>
                <w:b/>
                <w:bCs/>
                <w:color w:val="auto"/>
                <w:sz w:val="24"/>
                <w:szCs w:val="24"/>
                <w:highlight w:val="none"/>
                <w:lang w:val="en-US" w:eastAsia="zh-CN"/>
              </w:rPr>
              <w:t>与</w:t>
            </w:r>
            <w:r>
              <w:rPr>
                <w:rFonts w:hint="default" w:ascii="Times New Roman" w:hAnsi="Times New Roman" w:cs="Times New Roman"/>
                <w:b/>
                <w:bCs/>
                <w:color w:val="auto"/>
                <w:sz w:val="24"/>
                <w:szCs w:val="24"/>
                <w:highlight w:val="none"/>
                <w:lang w:val="en-US" w:eastAsia="zh-CN"/>
              </w:rPr>
              <w:t>包装</w:t>
            </w:r>
            <w:r>
              <w:rPr>
                <w:rFonts w:hint="default" w:ascii="Times New Roman" w:hAnsi="Times New Roman" w:eastAsia="宋体" w:cs="Times New Roman"/>
                <w:b/>
                <w:bCs/>
                <w:color w:val="auto"/>
                <w:sz w:val="24"/>
                <w:szCs w:val="24"/>
                <w:highlight w:val="none"/>
                <w:lang w:val="en-US" w:eastAsia="zh-CN"/>
              </w:rPr>
              <w:t>工序有效作业时间是2000h/a。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碳化</w:t>
            </w:r>
            <w:r>
              <w:rPr>
                <w:rFonts w:hint="default" w:ascii="Times New Roman" w:hAnsi="Times New Roman" w:eastAsia="宋体" w:cs="Times New Roman"/>
                <w:b w:val="0"/>
                <w:bCs w:val="0"/>
                <w:color w:val="auto"/>
                <w:sz w:val="24"/>
                <w:szCs w:val="24"/>
                <w:highlight w:val="none"/>
                <w:lang w:val="en-US" w:eastAsia="zh-CN"/>
              </w:rPr>
              <w:t>工序有效作业时间</w:t>
            </w:r>
          </w:p>
          <w:p>
            <w:pPr>
              <w:spacing w:line="440" w:lineRule="exact"/>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单台碳化机整机出料量为1.2t/次。6小时完成一次碳化过程整体完成出料，</w:t>
            </w:r>
            <w:r>
              <w:rPr>
                <w:rFonts w:hint="default" w:ascii="Times New Roman" w:hAnsi="Times New Roman" w:eastAsia="宋体" w:cs="Times New Roman"/>
                <w:b/>
                <w:bCs/>
                <w:color w:val="auto"/>
                <w:sz w:val="24"/>
                <w:szCs w:val="24"/>
                <w:highlight w:val="none"/>
                <w:lang w:val="en-US" w:eastAsia="zh-CN"/>
              </w:rPr>
              <w:t>则</w:t>
            </w:r>
            <w:r>
              <w:rPr>
                <w:rFonts w:hint="eastAsia" w:cs="Times New Roman"/>
                <w:b/>
                <w:bCs/>
                <w:color w:val="auto"/>
                <w:sz w:val="24"/>
                <w:szCs w:val="24"/>
                <w:highlight w:val="none"/>
                <w:lang w:val="en-US" w:eastAsia="zh-CN"/>
              </w:rPr>
              <w:t>碳化</w:t>
            </w:r>
            <w:r>
              <w:rPr>
                <w:rFonts w:hint="default" w:ascii="Times New Roman" w:hAnsi="Times New Roman" w:eastAsia="宋体" w:cs="Times New Roman"/>
                <w:b/>
                <w:bCs/>
                <w:color w:val="auto"/>
                <w:sz w:val="24"/>
                <w:szCs w:val="24"/>
                <w:highlight w:val="none"/>
                <w:lang w:val="en-US" w:eastAsia="zh-CN"/>
              </w:rPr>
              <w:t>工序有效作业时间是</w:t>
            </w:r>
            <w:r>
              <w:rPr>
                <w:rFonts w:hint="eastAsia" w:cs="Times New Roman"/>
                <w:b/>
                <w:bCs/>
                <w:color w:val="auto"/>
                <w:sz w:val="24"/>
                <w:szCs w:val="24"/>
                <w:highlight w:val="none"/>
                <w:lang w:val="en-US" w:eastAsia="zh-CN"/>
              </w:rPr>
              <w:t>6250</w:t>
            </w:r>
            <w:r>
              <w:rPr>
                <w:rFonts w:hint="default" w:ascii="Times New Roman" w:hAnsi="Times New Roman" w:eastAsia="宋体" w:cs="Times New Roman"/>
                <w:b/>
                <w:bCs/>
                <w:color w:val="auto"/>
                <w:sz w:val="24"/>
                <w:szCs w:val="24"/>
                <w:highlight w:val="none"/>
                <w:lang w:val="en-US" w:eastAsia="zh-CN"/>
              </w:rPr>
              <w:t>h/a。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1.2大气污染物治理措施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w:t>
            </w:r>
            <w:r>
              <w:rPr>
                <w:rFonts w:hint="default" w:ascii="Times New Roman" w:hAnsi="Times New Roman" w:eastAsia="宋体" w:cs="Times New Roman"/>
                <w:b/>
                <w:bCs/>
                <w:color w:val="auto"/>
                <w:sz w:val="24"/>
                <w:lang w:val="en-US" w:eastAsia="zh-CN"/>
              </w:rPr>
              <w:t>上料、</w:t>
            </w:r>
            <w:r>
              <w:rPr>
                <w:rFonts w:hint="eastAsia" w:ascii="Times New Roman" w:hAnsi="Times New Roman" w:eastAsia="宋体" w:cs="Times New Roman"/>
                <w:b/>
                <w:bCs/>
                <w:color w:val="auto"/>
                <w:sz w:val="24"/>
                <w:lang w:val="en-US" w:eastAsia="zh-CN"/>
              </w:rPr>
              <w:t>皮带运输、</w:t>
            </w:r>
            <w:r>
              <w:rPr>
                <w:rFonts w:hint="default" w:ascii="Times New Roman" w:hAnsi="Times New Roman" w:eastAsia="宋体" w:cs="Times New Roman"/>
                <w:b/>
                <w:bCs/>
                <w:color w:val="auto"/>
                <w:sz w:val="24"/>
                <w:lang w:val="en-US" w:eastAsia="zh-CN"/>
              </w:rPr>
              <w:t>布料</w:t>
            </w:r>
            <w:r>
              <w:rPr>
                <w:rFonts w:hint="eastAsia" w:cs="Times New Roman"/>
                <w:b/>
                <w:bCs/>
                <w:color w:val="auto"/>
                <w:sz w:val="24"/>
                <w:lang w:val="en-US" w:eastAsia="zh-CN"/>
              </w:rPr>
              <w:t>、</w:t>
            </w:r>
            <w:r>
              <w:rPr>
                <w:rFonts w:hint="default" w:ascii="Times New Roman" w:hAnsi="Times New Roman" w:cs="Times New Roman"/>
                <w:b/>
                <w:bCs/>
                <w:color w:val="auto"/>
                <w:sz w:val="24"/>
                <w:szCs w:val="24"/>
                <w:highlight w:val="none"/>
                <w:lang w:val="en-US" w:eastAsia="zh-CN"/>
              </w:rPr>
              <w:t>筛分、色选、包装</w:t>
            </w:r>
            <w:r>
              <w:rPr>
                <w:rFonts w:hint="default" w:ascii="Times New Roman" w:hAnsi="Times New Roman" w:eastAsia="宋体" w:cs="Times New Roman"/>
                <w:b/>
                <w:bCs/>
                <w:color w:val="auto"/>
                <w:sz w:val="24"/>
                <w:lang w:val="en-US" w:eastAsia="zh-CN"/>
              </w:rPr>
              <w:t>工序产生的</w:t>
            </w:r>
            <w:r>
              <w:rPr>
                <w:rFonts w:hint="default" w:ascii="Times New Roman" w:hAnsi="Times New Roman" w:cs="Times New Roman"/>
                <w:b/>
                <w:bCs/>
                <w:color w:val="auto"/>
                <w:sz w:val="24"/>
                <w:lang w:val="en-US" w:eastAsia="zh-CN"/>
              </w:rPr>
              <w:t>颗粒物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《排放源统计调查产排污核算方法和系数手册》中未给出相关产排污系数，故采取类比法。类比</w:t>
            </w:r>
            <w:r>
              <w:rPr>
                <w:rFonts w:hint="eastAsia" w:ascii="Times New Roman" w:hAnsi="Times New Roman" w:cs="Times New Roman"/>
                <w:color w:val="auto"/>
                <w:sz w:val="24"/>
                <w:lang w:val="en-US" w:eastAsia="zh-CN"/>
              </w:rPr>
              <w:t>唐山市开平云鹏陶瓷材料有限公司</w:t>
            </w:r>
            <w:r>
              <w:rPr>
                <w:rFonts w:hint="eastAsia" w:ascii="Times New Roman" w:hAnsi="Times New Roman" w:eastAsia="宋体" w:cs="Times New Roman"/>
                <w:color w:val="auto"/>
                <w:sz w:val="24"/>
                <w:lang w:val="en-US" w:eastAsia="zh-CN"/>
              </w:rPr>
              <w:t>骨碳生产线扩建项目</w:t>
            </w:r>
            <w:r>
              <w:rPr>
                <w:rFonts w:hint="eastAsia" w:ascii="Times New Roman" w:hAnsi="Times New Roman" w:cs="Times New Roman"/>
                <w:color w:val="auto"/>
                <w:sz w:val="24"/>
                <w:lang w:val="en-US" w:eastAsia="zh-CN"/>
              </w:rPr>
              <w:t>环境影响报告表</w:t>
            </w:r>
            <w:r>
              <w:rPr>
                <w:rFonts w:hint="default" w:ascii="Times New Roman" w:hAnsi="Times New Roman" w:cs="Times New Roman"/>
                <w:color w:val="auto"/>
                <w:sz w:val="24"/>
                <w:lang w:val="en-US" w:eastAsia="zh-CN"/>
              </w:rPr>
              <w:t>，上料工序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w:t>
            </w:r>
            <w:r>
              <w:rPr>
                <w:rFonts w:hint="default" w:ascii="Times New Roman" w:hAnsi="Times New Roman" w:cs="Times New Roman"/>
                <w:b w:val="0"/>
                <w:bCs w:val="0"/>
                <w:color w:val="auto"/>
                <w:sz w:val="24"/>
                <w:szCs w:val="24"/>
                <w:highlight w:val="none"/>
                <w:lang w:val="en-US" w:eastAsia="zh-CN"/>
              </w:rPr>
              <w:t>上料量为</w:t>
            </w:r>
            <w:r>
              <w:rPr>
                <w:rFonts w:hint="eastAsia" w:cs="Times New Roman"/>
                <w:b w:val="0"/>
                <w:bCs w:val="0"/>
                <w:color w:val="auto"/>
                <w:sz w:val="24"/>
                <w:szCs w:val="24"/>
                <w:highlight w:val="none"/>
                <w:lang w:val="en-US" w:eastAsia="zh-CN"/>
              </w:rPr>
              <w:t>5350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则上料</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cs="Times New Roman"/>
                <w:b w:val="0"/>
                <w:bCs w:val="0"/>
                <w:color w:val="auto"/>
                <w:sz w:val="24"/>
                <w:szCs w:val="24"/>
                <w:highlight w:val="none"/>
                <w:lang w:val="en-US" w:eastAsia="zh-CN"/>
              </w:rPr>
              <w:t>5.35</w:t>
            </w:r>
            <w:r>
              <w:rPr>
                <w:rFonts w:hint="default" w:ascii="Times New Roman" w:hAnsi="Times New Roman" w:cs="Times New Roman"/>
                <w:color w:val="auto"/>
                <w:sz w:val="24"/>
              </w:rPr>
              <w:t>t/a</w:t>
            </w:r>
            <w:r>
              <w:rPr>
                <w:rFonts w:hint="default"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皮带运输</w:t>
            </w:r>
            <w:r>
              <w:rPr>
                <w:rFonts w:hint="default" w:ascii="Times New Roman" w:hAnsi="Times New Roman" w:cs="Times New Roman"/>
                <w:color w:val="auto"/>
                <w:sz w:val="24"/>
                <w:lang w:val="en-US" w:eastAsia="zh-CN"/>
              </w:rPr>
              <w:t>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w:t>
            </w:r>
            <w:r>
              <w:rPr>
                <w:rFonts w:hint="eastAsia" w:ascii="Times New Roman" w:hAnsi="Times New Roman" w:cs="Times New Roman"/>
                <w:color w:val="auto"/>
                <w:sz w:val="24"/>
                <w:lang w:val="en-US" w:eastAsia="zh-CN"/>
              </w:rPr>
              <w:t>皮带运输</w:t>
            </w:r>
            <w:r>
              <w:rPr>
                <w:rFonts w:hint="default" w:ascii="Times New Roman" w:hAnsi="Times New Roman" w:cs="Times New Roman"/>
                <w:b w:val="0"/>
                <w:bCs w:val="0"/>
                <w:color w:val="auto"/>
                <w:sz w:val="24"/>
                <w:szCs w:val="24"/>
                <w:highlight w:val="none"/>
                <w:lang w:val="en-US" w:eastAsia="zh-CN"/>
              </w:rPr>
              <w:t>量为</w:t>
            </w:r>
            <w:r>
              <w:rPr>
                <w:rFonts w:hint="eastAsia" w:ascii="Times New Roman" w:hAnsi="Times New Roman" w:cs="Times New Roman"/>
                <w:b w:val="0"/>
                <w:bCs w:val="0"/>
                <w:color w:val="auto"/>
                <w:sz w:val="24"/>
                <w:szCs w:val="24"/>
                <w:highlight w:val="none"/>
                <w:lang w:val="en-US" w:eastAsia="zh-CN"/>
              </w:rPr>
              <w:t>5350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w:t>
            </w:r>
            <w:r>
              <w:rPr>
                <w:rFonts w:hint="eastAsia" w:ascii="Times New Roman" w:hAnsi="Times New Roman" w:cs="Times New Roman"/>
                <w:color w:val="auto"/>
                <w:sz w:val="24"/>
                <w:lang w:val="en-US" w:eastAsia="zh-CN"/>
              </w:rPr>
              <w:t>皮带运输</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ascii="Times New Roman" w:hAnsi="Times New Roman" w:cs="Times New Roman"/>
                <w:b w:val="0"/>
                <w:bCs w:val="0"/>
                <w:color w:val="auto"/>
                <w:sz w:val="24"/>
                <w:szCs w:val="24"/>
                <w:highlight w:val="none"/>
                <w:lang w:val="en-US" w:eastAsia="zh-CN"/>
              </w:rPr>
              <w:t>5.35</w:t>
            </w:r>
            <w:r>
              <w:rPr>
                <w:rFonts w:hint="default" w:ascii="Times New Roman" w:hAnsi="Times New Roman" w:cs="Times New Roman"/>
                <w:color w:val="auto"/>
                <w:sz w:val="24"/>
              </w:rPr>
              <w:t>t/a</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布料工序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原料，布料</w:t>
            </w:r>
            <w:r>
              <w:rPr>
                <w:rFonts w:hint="default" w:ascii="Times New Roman" w:hAnsi="Times New Roman"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5350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则布料</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cs="Times New Roman"/>
                <w:b w:val="0"/>
                <w:bCs w:val="0"/>
                <w:color w:val="auto"/>
                <w:sz w:val="24"/>
                <w:szCs w:val="24"/>
                <w:highlight w:val="none"/>
                <w:lang w:val="en-US" w:eastAsia="zh-CN"/>
              </w:rPr>
              <w:t>5.35</w:t>
            </w:r>
            <w:r>
              <w:rPr>
                <w:rFonts w:hint="default" w:ascii="Times New Roman" w:hAnsi="Times New Roman" w:cs="Times New Roman"/>
                <w:color w:val="auto"/>
                <w:sz w:val="24"/>
              </w:rPr>
              <w:t>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筛分工序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2.5</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w:t>
            </w:r>
            <w:r>
              <w:rPr>
                <w:rFonts w:hint="default" w:ascii="Times New Roman" w:hAnsi="Times New Roman" w:cs="Times New Roman"/>
                <w:b w:val="0"/>
                <w:bCs w:val="0"/>
                <w:color w:val="auto"/>
                <w:sz w:val="24"/>
                <w:szCs w:val="24"/>
                <w:highlight w:val="none"/>
                <w:lang w:val="en-US" w:eastAsia="zh-CN"/>
              </w:rPr>
              <w:t>筛分量为</w:t>
            </w:r>
            <w:r>
              <w:rPr>
                <w:rFonts w:hint="eastAsia" w:cs="Times New Roman"/>
                <w:b w:val="0"/>
                <w:bCs w:val="0"/>
                <w:color w:val="auto"/>
                <w:sz w:val="24"/>
                <w:szCs w:val="24"/>
                <w:highlight w:val="none"/>
                <w:lang w:val="en-US" w:eastAsia="zh-CN"/>
              </w:rPr>
              <w:t>2500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则筛分</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cs="Times New Roman"/>
                <w:b w:val="0"/>
                <w:bCs w:val="0"/>
                <w:color w:val="auto"/>
                <w:sz w:val="24"/>
                <w:szCs w:val="24"/>
                <w:highlight w:val="none"/>
                <w:lang w:val="en-US" w:eastAsia="zh-CN"/>
              </w:rPr>
              <w:t>6.25</w:t>
            </w:r>
            <w:r>
              <w:rPr>
                <w:rFonts w:hint="default" w:ascii="Times New Roman" w:hAnsi="Times New Roman" w:cs="Times New Roman"/>
                <w:color w:val="auto"/>
                <w:sz w:val="24"/>
              </w:rPr>
              <w:t>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色选工序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原料，色选</w:t>
            </w:r>
            <w:r>
              <w:rPr>
                <w:rFonts w:hint="default" w:ascii="Times New Roman" w:hAnsi="Times New Roman"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2500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则色选</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cs="Times New Roman"/>
                <w:b w:val="0"/>
                <w:bCs w:val="0"/>
                <w:color w:val="auto"/>
                <w:sz w:val="24"/>
                <w:szCs w:val="24"/>
                <w:highlight w:val="none"/>
                <w:lang w:val="en-US" w:eastAsia="zh-CN"/>
              </w:rPr>
              <w:t>2.5</w:t>
            </w:r>
            <w:r>
              <w:rPr>
                <w:rFonts w:hint="default" w:ascii="Times New Roman" w:hAnsi="Times New Roman" w:cs="Times New Roman"/>
                <w:color w:val="auto"/>
                <w:sz w:val="24"/>
              </w:rPr>
              <w:t>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包装工序</w:t>
            </w:r>
            <w:r>
              <w:rPr>
                <w:rFonts w:hint="default" w:ascii="Times New Roman" w:hAnsi="Times New Roman" w:eastAsia="宋体" w:cs="Times New Roman"/>
                <w:color w:val="auto"/>
                <w:sz w:val="24"/>
                <w:lang w:val="en-US" w:eastAsia="zh-CN"/>
              </w:rPr>
              <w:t>颗粒物产污系数：</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克/</w:t>
            </w:r>
            <w:r>
              <w:rPr>
                <w:rFonts w:hint="default" w:ascii="Times New Roman" w:hAnsi="Times New Roman" w:cs="Times New Roman"/>
                <w:color w:val="auto"/>
                <w:sz w:val="24"/>
                <w:lang w:val="en-US" w:eastAsia="zh-CN"/>
              </w:rPr>
              <w:t>kg</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原料，包装</w:t>
            </w:r>
            <w:r>
              <w:rPr>
                <w:rFonts w:hint="default" w:ascii="Times New Roman" w:hAnsi="Times New Roman"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2500</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lang w:val="en-US" w:eastAsia="zh-CN"/>
              </w:rPr>
              <w:t>则包装</w:t>
            </w:r>
            <w:r>
              <w:rPr>
                <w:rFonts w:hint="default" w:ascii="Times New Roman" w:hAnsi="Times New Roman" w:eastAsia="宋体" w:cs="Times New Roman"/>
                <w:b w:val="0"/>
                <w:bCs w:val="0"/>
                <w:color w:val="auto"/>
                <w:sz w:val="24"/>
                <w:szCs w:val="24"/>
                <w:highlight w:val="none"/>
                <w:lang w:val="en-US" w:eastAsia="zh-CN"/>
              </w:rPr>
              <w:t>产生的颗粒物为</w:t>
            </w:r>
            <w:r>
              <w:rPr>
                <w:rFonts w:hint="eastAsia" w:cs="Times New Roman"/>
                <w:b w:val="0"/>
                <w:bCs w:val="0"/>
                <w:color w:val="auto"/>
                <w:sz w:val="24"/>
                <w:szCs w:val="24"/>
                <w:highlight w:val="none"/>
                <w:lang w:val="en-US" w:eastAsia="zh-CN"/>
              </w:rPr>
              <w:t>2.5</w:t>
            </w:r>
            <w:r>
              <w:rPr>
                <w:rFonts w:hint="default" w:ascii="Times New Roman" w:hAnsi="Times New Roman" w:cs="Times New Roman"/>
                <w:color w:val="auto"/>
                <w:sz w:val="24"/>
              </w:rPr>
              <w:t>t/a</w:t>
            </w:r>
            <w:r>
              <w:rPr>
                <w:rFonts w:hint="eastAsia" w:cs="Times New Roman"/>
                <w:color w:val="auto"/>
                <w:sz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本项目上</w:t>
            </w:r>
            <w:r>
              <w:rPr>
                <w:rFonts w:hint="default" w:ascii="Times New Roman" w:hAnsi="Times New Roman" w:cs="Times New Roman"/>
                <w:b w:val="0"/>
                <w:bCs w:val="0"/>
                <w:color w:val="auto"/>
                <w:sz w:val="24"/>
                <w:szCs w:val="24"/>
                <w:highlight w:val="none"/>
                <w:lang w:val="en-US" w:eastAsia="zh-CN"/>
              </w:rPr>
              <w:t>料斗</w:t>
            </w:r>
            <w:r>
              <w:rPr>
                <w:rFonts w:hint="default" w:ascii="Times New Roman" w:hAnsi="Times New Roman" w:eastAsia="宋体" w:cs="Times New Roman"/>
                <w:color w:val="auto"/>
                <w:sz w:val="24"/>
                <w:lang w:val="en-US" w:eastAsia="zh-CN"/>
              </w:rPr>
              <w:t>顶部设置集气罩（收集效率95%，尺寸为</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，共计1个），</w:t>
            </w:r>
            <w:r>
              <w:rPr>
                <w:rFonts w:hint="default" w:ascii="Times New Roman" w:hAnsi="Times New Roman" w:eastAsia="宋体" w:cs="Times New Roman"/>
                <w:color w:val="auto"/>
                <w:sz w:val="24"/>
                <w:lang w:val="en-US" w:eastAsia="zh-CN"/>
              </w:rPr>
              <w:t>设置三面围挡入料，一侧设置软帘</w:t>
            </w:r>
            <w:r>
              <w:rPr>
                <w:rFonts w:hint="default" w:ascii="Times New Roman" w:hAnsi="Times New Roman" w:cs="Times New Roman"/>
                <w:color w:val="auto"/>
                <w:sz w:val="24"/>
                <w:lang w:val="en-US" w:eastAsia="zh-CN"/>
              </w:rPr>
              <w:t>。料斗底部的</w:t>
            </w:r>
            <w:r>
              <w:rPr>
                <w:rFonts w:hint="eastAsia" w:cs="Times New Roman"/>
                <w:color w:val="auto"/>
                <w:sz w:val="24"/>
                <w:lang w:val="en-US" w:eastAsia="zh-CN"/>
              </w:rPr>
              <w:t>与</w:t>
            </w:r>
            <w:r>
              <w:rPr>
                <w:rFonts w:hint="default" w:ascii="Times New Roman" w:hAnsi="Times New Roman" w:cs="Times New Roman"/>
                <w:color w:val="auto"/>
                <w:sz w:val="24"/>
                <w:lang w:val="en-US" w:eastAsia="zh-CN"/>
              </w:rPr>
              <w:t>皮带均为全封闭结构</w:t>
            </w:r>
            <w:r>
              <w:rPr>
                <w:rFonts w:hint="eastAsia" w:cs="Times New Roman"/>
                <w:color w:val="auto"/>
                <w:sz w:val="24"/>
                <w:lang w:val="en-US" w:eastAsia="zh-CN"/>
              </w:rPr>
              <w:t>。皮带采取建设封闭皮带，封闭皮带内部设置集气管道</w:t>
            </w:r>
            <w:r>
              <w:rPr>
                <w:rFonts w:hint="default" w:ascii="Times New Roman" w:hAnsi="Times New Roman" w:eastAsia="宋体" w:cs="Times New Roman"/>
                <w:color w:val="auto"/>
                <w:sz w:val="24"/>
                <w:lang w:val="en-US" w:eastAsia="zh-CN"/>
              </w:rPr>
              <w:t>（收集效率95%，</w:t>
            </w:r>
            <w:r>
              <w:rPr>
                <w:rFonts w:hint="eastAsia" w:ascii="Times New Roman" w:hAnsi="Times New Roman" w:eastAsia="宋体" w:cs="Times New Roman"/>
                <w:color w:val="auto"/>
                <w:sz w:val="24"/>
                <w:lang w:val="en-US" w:eastAsia="zh-CN"/>
              </w:rPr>
              <w:t>管道内径为0.3</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，共计1个）</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布料过程在</w:t>
            </w:r>
            <w:r>
              <w:rPr>
                <w:rFonts w:hint="eastAsia" w:cs="Times New Roman"/>
                <w:color w:val="auto"/>
                <w:sz w:val="24"/>
                <w:lang w:val="en-US" w:eastAsia="zh-CN"/>
              </w:rPr>
              <w:t>碳化机</w:t>
            </w:r>
            <w:r>
              <w:rPr>
                <w:rFonts w:hint="default" w:ascii="Times New Roman" w:hAnsi="Times New Roman" w:cs="Times New Roman"/>
                <w:color w:val="auto"/>
                <w:sz w:val="24"/>
                <w:lang w:val="en-US" w:eastAsia="zh-CN"/>
              </w:rPr>
              <w:t>入料口人工完成，本项目</w:t>
            </w:r>
            <w:r>
              <w:rPr>
                <w:rFonts w:hint="eastAsia" w:cs="Times New Roman"/>
                <w:color w:val="auto"/>
                <w:sz w:val="24"/>
                <w:lang w:val="en-US" w:eastAsia="zh-CN"/>
              </w:rPr>
              <w:t>碳化机</w:t>
            </w:r>
            <w:r>
              <w:rPr>
                <w:rFonts w:hint="default" w:ascii="Times New Roman" w:hAnsi="Times New Roman" w:cs="Times New Roman"/>
                <w:color w:val="auto"/>
                <w:sz w:val="24"/>
                <w:lang w:val="en-US" w:eastAsia="zh-CN"/>
              </w:rPr>
              <w:t>入料口</w:t>
            </w:r>
            <w:r>
              <w:rPr>
                <w:rFonts w:hint="default" w:ascii="Times New Roman" w:hAnsi="Times New Roman" w:eastAsia="宋体" w:cs="Times New Roman"/>
                <w:color w:val="auto"/>
                <w:sz w:val="24"/>
                <w:lang w:val="en-US" w:eastAsia="zh-CN"/>
              </w:rPr>
              <w:t>顶部设置集气罩（收集效率95%，尺寸为</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w:t>
            </w:r>
            <w:r>
              <w:rPr>
                <w:rFonts w:hint="eastAsia" w:cs="Times New Roman"/>
                <w:color w:val="auto"/>
                <w:sz w:val="24"/>
                <w:lang w:val="en-US" w:eastAsia="zh-CN"/>
              </w:rPr>
              <w:t>2</w:t>
            </w:r>
            <w:r>
              <w:rPr>
                <w:rFonts w:hint="default" w:ascii="Times New Roman" w:hAnsi="Times New Roman" w:cs="Times New Roman"/>
                <w:color w:val="auto"/>
                <w:sz w:val="24"/>
                <w:lang w:val="en-US" w:eastAsia="zh-CN"/>
              </w:rPr>
              <w:t>个），</w:t>
            </w:r>
            <w:r>
              <w:rPr>
                <w:rFonts w:hint="default" w:ascii="Times New Roman" w:hAnsi="Times New Roman" w:eastAsia="宋体" w:cs="Times New Roman"/>
                <w:color w:val="auto"/>
                <w:sz w:val="24"/>
                <w:lang w:val="en-US" w:eastAsia="zh-CN"/>
              </w:rPr>
              <w:t>设置三面围挡入料，一侧设置软帘</w:t>
            </w:r>
            <w:r>
              <w:rPr>
                <w:rFonts w:hint="eastAsia" w:cs="Times New Roman"/>
                <w:color w:val="auto"/>
                <w:sz w:val="24"/>
                <w:lang w:val="en-US" w:eastAsia="zh-CN"/>
              </w:rPr>
              <w:t>。</w:t>
            </w:r>
            <w:r>
              <w:rPr>
                <w:rFonts w:hint="default" w:ascii="Times New Roman" w:hAnsi="Times New Roman" w:cs="Times New Roman"/>
                <w:color w:val="auto"/>
                <w:sz w:val="24"/>
                <w:lang w:val="en-US" w:eastAsia="zh-CN"/>
              </w:rPr>
              <w:t>本项目筛分机筛面封闭，2台筛分机入料口、出料口设置</w:t>
            </w:r>
            <w:r>
              <w:rPr>
                <w:rFonts w:hint="default" w:ascii="Times New Roman" w:hAnsi="Times New Roman" w:eastAsia="宋体" w:cs="Times New Roman"/>
                <w:color w:val="auto"/>
                <w:sz w:val="24"/>
                <w:lang w:val="en-US" w:eastAsia="zh-CN"/>
              </w:rPr>
              <w:t>集气罩（收集效率95%，尺寸为</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，共计4个），</w:t>
            </w:r>
            <w:r>
              <w:rPr>
                <w:rFonts w:hint="default" w:ascii="Times New Roman" w:hAnsi="Times New Roman" w:eastAsia="宋体" w:cs="Times New Roman"/>
                <w:color w:val="auto"/>
                <w:sz w:val="24"/>
                <w:lang w:val="en-US" w:eastAsia="zh-CN"/>
              </w:rPr>
              <w:t>设置三面围挡入料，一侧设置软帘</w:t>
            </w:r>
            <w:r>
              <w:rPr>
                <w:rFonts w:hint="default" w:ascii="Times New Roman" w:hAnsi="Times New Roman" w:cs="Times New Roman"/>
                <w:color w:val="auto"/>
                <w:sz w:val="24"/>
                <w:lang w:val="en-US" w:eastAsia="zh-CN"/>
              </w:rPr>
              <w:t>。本项目1台色选机</w:t>
            </w:r>
            <w:r>
              <w:rPr>
                <w:rFonts w:hint="default" w:ascii="Times New Roman" w:hAnsi="Times New Roman" w:eastAsia="宋体" w:cs="Times New Roman"/>
                <w:color w:val="auto"/>
                <w:sz w:val="24"/>
                <w:lang w:val="en-US" w:eastAsia="zh-CN"/>
              </w:rPr>
              <w:t>顶部设置集气罩（收集效率95%，尺寸为</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，共计1个），</w:t>
            </w:r>
            <w:r>
              <w:rPr>
                <w:rFonts w:hint="default" w:ascii="Times New Roman" w:hAnsi="Times New Roman" w:eastAsia="宋体" w:cs="Times New Roman"/>
                <w:color w:val="auto"/>
                <w:sz w:val="24"/>
                <w:lang w:val="en-US" w:eastAsia="zh-CN"/>
              </w:rPr>
              <w:t>设置三面围挡入料，一侧设置软帘</w:t>
            </w:r>
            <w:r>
              <w:rPr>
                <w:rFonts w:hint="default" w:ascii="Times New Roman" w:hAnsi="Times New Roman" w:cs="Times New Roman"/>
                <w:color w:val="auto"/>
                <w:sz w:val="24"/>
                <w:lang w:val="en-US" w:eastAsia="zh-CN"/>
              </w:rPr>
              <w:t>。本项目2台包装机</w:t>
            </w:r>
            <w:r>
              <w:rPr>
                <w:rFonts w:hint="default" w:ascii="Times New Roman" w:hAnsi="Times New Roman" w:eastAsia="宋体" w:cs="Times New Roman"/>
                <w:color w:val="auto"/>
                <w:sz w:val="24"/>
                <w:lang w:val="en-US" w:eastAsia="zh-CN"/>
              </w:rPr>
              <w:t>顶部设置集气罩（收集效率95%，尺寸为</w:t>
            </w:r>
            <w:r>
              <w:rPr>
                <w:rFonts w:hint="default" w:ascii="Times New Roman" w:hAnsi="Times New Roman"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default" w:ascii="Times New Roman" w:hAnsi="Times New Roman" w:cs="Times New Roman"/>
                <w:color w:val="auto"/>
                <w:sz w:val="24"/>
                <w:lang w:val="en-US" w:eastAsia="zh-CN"/>
              </w:rPr>
              <w:t>，共计2个），</w:t>
            </w:r>
            <w:r>
              <w:rPr>
                <w:rFonts w:hint="default" w:ascii="Times New Roman" w:hAnsi="Times New Roman" w:eastAsia="宋体" w:cs="Times New Roman"/>
                <w:color w:val="auto"/>
                <w:sz w:val="24"/>
                <w:lang w:val="en-US" w:eastAsia="zh-CN"/>
              </w:rPr>
              <w:t>设置三面围挡入料，一侧设置软帘</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上述废气经集气罩或集尘管收集引入</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#脉冲布袋除尘器处理，</w:t>
            </w:r>
            <w:r>
              <w:rPr>
                <w:rFonts w:hint="default" w:ascii="Times New Roman" w:hAnsi="Times New Roman" w:cs="Times New Roman"/>
                <w:color w:val="auto"/>
                <w:sz w:val="24"/>
                <w:lang w:val="en-US" w:eastAsia="zh-CN"/>
              </w:rPr>
              <w:t>处理能力为</w:t>
            </w:r>
            <w:r>
              <w:rPr>
                <w:rFonts w:hint="eastAsia" w:cs="Times New Roman"/>
                <w:color w:val="auto"/>
                <w:sz w:val="24"/>
                <w:lang w:val="en-US" w:eastAsia="zh-CN"/>
              </w:rPr>
              <w:t>30</w:t>
            </w:r>
            <w:r>
              <w:rPr>
                <w:rFonts w:hint="default" w:ascii="Times New Roman" w:hAnsi="Times New Roman" w:cs="Times New Roman"/>
                <w:color w:val="auto"/>
                <w:sz w:val="24"/>
                <w:lang w:val="en-US" w:eastAsia="zh-CN"/>
              </w:rPr>
              <w:t>000m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/h，</w:t>
            </w:r>
            <w:r>
              <w:rPr>
                <w:rFonts w:hint="default" w:ascii="Times New Roman" w:hAnsi="Times New Roman" w:eastAsia="宋体" w:cs="Times New Roman"/>
                <w:color w:val="auto"/>
                <w:sz w:val="24"/>
                <w:lang w:val="en-US" w:eastAsia="zh-CN"/>
              </w:rPr>
              <w:t>处理效率为99%，废气净化后经15m高DA00</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排气筒排放。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经</w:t>
            </w:r>
            <w:r>
              <w:rPr>
                <w:rFonts w:hint="default" w:ascii="Times New Roman" w:hAnsi="Times New Roman" w:eastAsia="宋体" w:cs="Times New Roman"/>
                <w:b w:val="0"/>
                <w:bCs w:val="0"/>
                <w:color w:val="auto"/>
                <w:sz w:val="24"/>
                <w:szCs w:val="24"/>
                <w:highlight w:val="none"/>
                <w:lang w:val="en-US" w:eastAsia="zh-CN"/>
              </w:rPr>
              <w:t>计算，上料、</w:t>
            </w:r>
            <w:r>
              <w:rPr>
                <w:rFonts w:hint="eastAsia" w:ascii="Times New Roman" w:hAnsi="Times New Roman" w:eastAsia="宋体" w:cs="Times New Roman"/>
                <w:b w:val="0"/>
                <w:bCs w:val="0"/>
                <w:color w:val="auto"/>
                <w:sz w:val="24"/>
                <w:szCs w:val="24"/>
                <w:highlight w:val="none"/>
                <w:lang w:val="en-US" w:eastAsia="zh-CN"/>
              </w:rPr>
              <w:t>皮带运输、</w:t>
            </w:r>
            <w:r>
              <w:rPr>
                <w:rFonts w:hint="default" w:ascii="Times New Roman" w:hAnsi="Times New Roman" w:eastAsia="宋体" w:cs="Times New Roman"/>
                <w:b w:val="0"/>
                <w:bCs w:val="0"/>
                <w:color w:val="auto"/>
                <w:sz w:val="24"/>
                <w:szCs w:val="24"/>
                <w:highlight w:val="none"/>
                <w:lang w:val="en-US" w:eastAsia="zh-CN"/>
              </w:rPr>
              <w:t>布料</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筛分、色选、包装工序排放的颗粒物浓度为</w:t>
            </w:r>
            <w:r>
              <w:rPr>
                <w:rFonts w:hint="eastAsia" w:cs="Times New Roman"/>
                <w:b w:val="0"/>
                <w:bCs w:val="0"/>
                <w:color w:val="auto"/>
                <w:sz w:val="24"/>
                <w:szCs w:val="24"/>
                <w:highlight w:val="none"/>
                <w:lang w:val="en-US" w:eastAsia="zh-CN"/>
              </w:rPr>
              <w:t>4.32</w:t>
            </w:r>
            <w:r>
              <w:rPr>
                <w:rFonts w:hint="default" w:ascii="Times New Roman" w:hAnsi="Times New Roman" w:eastAsia="宋体" w:cs="Times New Roman"/>
                <w:color w:val="auto"/>
                <w:kern w:val="0"/>
                <w:sz w:val="24"/>
                <w:lang w:eastAsia="zh-CN"/>
              </w:rPr>
              <w:t>mg/m</w:t>
            </w:r>
            <w:r>
              <w:rPr>
                <w:rFonts w:hint="default" w:ascii="Times New Roman" w:hAnsi="Times New Roman" w:eastAsia="宋体" w:cs="Times New Roman"/>
                <w:color w:val="auto"/>
                <w:kern w:val="0"/>
                <w:sz w:val="24"/>
                <w:vertAlign w:val="superscript"/>
                <w:lang w:eastAsia="zh-CN"/>
              </w:rPr>
              <w:t>3</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szCs w:val="24"/>
                <w:highlight w:val="none"/>
                <w:vertAlign w:val="baseline"/>
                <w:lang w:val="en-US" w:eastAsia="zh-CN"/>
              </w:rPr>
              <w:t>排放速率</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color w:val="auto"/>
                <w:sz w:val="24"/>
                <w:szCs w:val="24"/>
                <w:highlight w:val="none"/>
                <w:vertAlign w:val="baseline"/>
                <w:lang w:val="en-US" w:eastAsia="zh-CN"/>
              </w:rPr>
              <w:t>0.13</w:t>
            </w:r>
            <w:r>
              <w:rPr>
                <w:rFonts w:hint="eastAsia" w:ascii="Times New Roman" w:hAnsi="Times New Roman" w:cs="Times New Roman"/>
                <w:color w:val="auto"/>
                <w:sz w:val="24"/>
                <w:szCs w:val="24"/>
                <w:highlight w:val="none"/>
                <w:vertAlign w:val="baseline"/>
                <w:lang w:val="en-US" w:eastAsia="zh-CN"/>
              </w:rPr>
              <w:t>kg/h</w:t>
            </w:r>
            <w:r>
              <w:rPr>
                <w:rFonts w:hint="default" w:ascii="Times New Roman" w:hAnsi="Times New Roman" w:eastAsia="宋体" w:cs="Times New Roman"/>
                <w:color w:val="auto"/>
                <w:sz w:val="24"/>
                <w:lang w:val="en-US" w:eastAsia="zh-CN"/>
              </w:rPr>
              <w:t>，满足</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同时满足</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eastAsia="宋体" w:cs="Times New Roman"/>
                <w:color w:val="auto"/>
                <w:kern w:val="0"/>
                <w:sz w:val="24"/>
                <w:lang w:eastAsia="zh-CN"/>
              </w:rPr>
              <w:t>。</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表2</w:t>
            </w:r>
            <w:r>
              <w:rPr>
                <w:rFonts w:hint="eastAsia" w:ascii="Times New Roman" w:hAnsi="Times New Roman" w:eastAsia="宋体" w:cs="Times New Roman"/>
                <w:b/>
                <w:bCs/>
                <w:color w:val="auto"/>
                <w:kern w:val="2"/>
                <w:sz w:val="24"/>
                <w:szCs w:val="24"/>
                <w:highlight w:val="none"/>
                <w:lang w:val="en-US" w:eastAsia="zh-CN" w:bidi="ar-SA"/>
              </w:rPr>
              <w:t>0</w:t>
            </w:r>
            <w:r>
              <w:rPr>
                <w:rFonts w:hint="default" w:ascii="Times New Roman" w:hAnsi="Times New Roman" w:eastAsia="宋体" w:cs="Times New Roman"/>
                <w:b/>
                <w:bCs/>
                <w:color w:val="auto"/>
                <w:kern w:val="2"/>
                <w:sz w:val="24"/>
                <w:szCs w:val="24"/>
                <w:highlight w:val="none"/>
                <w:lang w:val="en-US" w:eastAsia="zh-CN" w:bidi="ar-SA"/>
              </w:rPr>
              <w:t xml:space="preserve"> 本项目上料、</w:t>
            </w:r>
            <w:r>
              <w:rPr>
                <w:rFonts w:hint="eastAsia" w:ascii="Times New Roman" w:hAnsi="Times New Roman" w:eastAsia="宋体" w:cs="Times New Roman"/>
                <w:b/>
                <w:bCs/>
                <w:color w:val="auto"/>
                <w:kern w:val="2"/>
                <w:sz w:val="24"/>
                <w:szCs w:val="24"/>
                <w:highlight w:val="none"/>
                <w:lang w:val="en-US" w:eastAsia="zh-CN" w:bidi="ar-SA"/>
              </w:rPr>
              <w:t>皮带运输、</w:t>
            </w:r>
            <w:r>
              <w:rPr>
                <w:rFonts w:hint="default" w:ascii="Times New Roman" w:hAnsi="Times New Roman" w:eastAsia="宋体" w:cs="Times New Roman"/>
                <w:b/>
                <w:bCs/>
                <w:color w:val="auto"/>
                <w:kern w:val="2"/>
                <w:sz w:val="24"/>
                <w:szCs w:val="24"/>
                <w:highlight w:val="none"/>
                <w:lang w:val="en-US" w:eastAsia="zh-CN" w:bidi="ar-SA"/>
              </w:rPr>
              <w:t>布料</w:t>
            </w: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筛分、色选、包装工序DA00</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排气筒废气产生、排放情况表</w:t>
            </w:r>
          </w:p>
          <w:tbl>
            <w:tblPr>
              <w:tblStyle w:val="20"/>
              <w:tblW w:w="82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9"/>
              <w:gridCol w:w="750"/>
              <w:gridCol w:w="645"/>
              <w:gridCol w:w="900"/>
              <w:gridCol w:w="990"/>
              <w:gridCol w:w="855"/>
              <w:gridCol w:w="918"/>
              <w:gridCol w:w="941"/>
              <w:gridCol w:w="1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2"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污染源</w:t>
                  </w:r>
                </w:p>
              </w:tc>
              <w:tc>
                <w:tcPr>
                  <w:tcW w:w="457"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产生量</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(t/a)</w:t>
                  </w:r>
                </w:p>
              </w:tc>
              <w:tc>
                <w:tcPr>
                  <w:tcW w:w="393"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收集效率</w:t>
                  </w:r>
                </w:p>
              </w:tc>
              <w:tc>
                <w:tcPr>
                  <w:tcW w:w="548"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最大产生速率</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(kg/h)</w:t>
                  </w:r>
                </w:p>
              </w:tc>
              <w:tc>
                <w:tcPr>
                  <w:tcW w:w="603"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产生浓度</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(mg/m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w:t>
                  </w:r>
                </w:p>
              </w:tc>
              <w:tc>
                <w:tcPr>
                  <w:tcW w:w="521"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运行时间(h/a)</w:t>
                  </w:r>
                </w:p>
              </w:tc>
              <w:tc>
                <w:tcPr>
                  <w:tcW w:w="559"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有组织排放量</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(t/a)</w:t>
                  </w:r>
                </w:p>
              </w:tc>
              <w:tc>
                <w:tcPr>
                  <w:tcW w:w="573"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排放</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速率</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(kg/h)</w:t>
                  </w:r>
                </w:p>
              </w:tc>
              <w:tc>
                <w:tcPr>
                  <w:tcW w:w="739"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排放浓度</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(mg/m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2" w:type="pct"/>
                  <w:tcBorders>
                    <w:tl2br w:val="nil"/>
                    <w:tr2bl w:val="nil"/>
                  </w:tcBorders>
                  <w:noWrap w:val="0"/>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eastAsia="zh-CN"/>
                    </w:rPr>
                    <w:t>上料、</w:t>
                  </w:r>
                  <w:r>
                    <w:rPr>
                      <w:rFonts w:hint="eastAsia" w:ascii="Times New Roman" w:hAnsi="Times New Roman" w:eastAsia="宋体" w:cs="Times New Roman"/>
                      <w:bCs/>
                      <w:color w:val="auto"/>
                      <w:szCs w:val="21"/>
                      <w:lang w:val="en-US" w:eastAsia="zh-CN"/>
                    </w:rPr>
                    <w:t>皮带运输、</w:t>
                  </w:r>
                  <w:r>
                    <w:rPr>
                      <w:rFonts w:hint="default" w:ascii="Times New Roman" w:hAnsi="Times New Roman" w:eastAsia="宋体" w:cs="Times New Roman"/>
                      <w:bCs/>
                      <w:color w:val="auto"/>
                      <w:szCs w:val="21"/>
                      <w:lang w:val="en-US" w:eastAsia="zh-CN"/>
                    </w:rPr>
                    <w:t>布料</w:t>
                  </w:r>
                  <w:r>
                    <w:rPr>
                      <w:rFonts w:hint="eastAsia" w:ascii="Times New Roman" w:hAnsi="Times New Roman" w:eastAsia="宋体" w:cs="Times New Roman"/>
                      <w:bCs/>
                      <w:color w:val="auto"/>
                      <w:szCs w:val="21"/>
                      <w:lang w:val="en-US" w:eastAsia="zh-CN"/>
                    </w:rPr>
                    <w:t>、</w:t>
                  </w:r>
                  <w:r>
                    <w:rPr>
                      <w:rFonts w:hint="default" w:ascii="Times New Roman" w:hAnsi="Times New Roman" w:eastAsia="宋体" w:cs="Times New Roman"/>
                      <w:bCs/>
                      <w:color w:val="auto"/>
                      <w:szCs w:val="21"/>
                      <w:lang w:val="en-US" w:eastAsia="zh-CN"/>
                    </w:rPr>
                    <w:t>筛分、色选、包装</w:t>
                  </w:r>
                </w:p>
              </w:tc>
              <w:tc>
                <w:tcPr>
                  <w:tcW w:w="457"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27.3</w:t>
                  </w:r>
                </w:p>
              </w:tc>
              <w:tc>
                <w:tcPr>
                  <w:tcW w:w="393" w:type="pct"/>
                  <w:tcBorders>
                    <w:tl2br w:val="nil"/>
                    <w:tr2bl w:val="nil"/>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95%</w:t>
                  </w:r>
                </w:p>
              </w:tc>
              <w:tc>
                <w:tcPr>
                  <w:tcW w:w="548"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12.968</w:t>
                  </w:r>
                </w:p>
              </w:tc>
              <w:tc>
                <w:tcPr>
                  <w:tcW w:w="603"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432.25</w:t>
                  </w:r>
                </w:p>
              </w:tc>
              <w:tc>
                <w:tcPr>
                  <w:tcW w:w="521"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2000</w:t>
                  </w:r>
                </w:p>
              </w:tc>
              <w:tc>
                <w:tcPr>
                  <w:tcW w:w="559"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0.259</w:t>
                  </w:r>
                </w:p>
              </w:tc>
              <w:tc>
                <w:tcPr>
                  <w:tcW w:w="573"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0.130</w:t>
                  </w:r>
                </w:p>
              </w:tc>
              <w:tc>
                <w:tcPr>
                  <w:tcW w:w="739" w:type="pct"/>
                  <w:tcBorders>
                    <w:tl2br w:val="nil"/>
                    <w:tr2bl w:val="nil"/>
                  </w:tcBorders>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4.32</w:t>
                  </w:r>
                </w:p>
              </w:tc>
            </w:tr>
          </w:tbl>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default" w:ascii="Times New Roman" w:hAnsi="Times New Roman" w:cs="Times New Roman"/>
                <w:b/>
                <w:bCs/>
                <w:color w:val="auto"/>
                <w:kern w:val="2"/>
                <w:sz w:val="24"/>
                <w:szCs w:val="24"/>
                <w:highlight w:val="none"/>
                <w:lang w:val="en-US" w:eastAsia="zh-CN" w:bidi="ar-SA"/>
              </w:rPr>
              <w:t>2</w:t>
            </w:r>
            <w:r>
              <w:rPr>
                <w:rFonts w:hint="eastAsia"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 xml:space="preserve">     本项目DA00</w:t>
            </w:r>
            <w:r>
              <w:rPr>
                <w:rFonts w:hint="eastAsia"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排放口基本情况一览表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2"/>
              <w:gridCol w:w="765"/>
              <w:gridCol w:w="879"/>
              <w:gridCol w:w="831"/>
              <w:gridCol w:w="687"/>
              <w:gridCol w:w="655"/>
              <w:gridCol w:w="851"/>
              <w:gridCol w:w="679"/>
              <w:gridCol w:w="889"/>
              <w:gridCol w:w="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4" w:type="pct"/>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排放口名称</w:t>
                  </w:r>
                </w:p>
              </w:tc>
              <w:tc>
                <w:tcPr>
                  <w:tcW w:w="470" w:type="pct"/>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编号</w:t>
                  </w:r>
                </w:p>
              </w:tc>
              <w:tc>
                <w:tcPr>
                  <w:tcW w:w="1051" w:type="pct"/>
                  <w:gridSpan w:val="2"/>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排气筒底部中心坐标</w:t>
                  </w:r>
                </w:p>
              </w:tc>
              <w:tc>
                <w:tcPr>
                  <w:tcW w:w="42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污染物名称</w:t>
                  </w:r>
                </w:p>
              </w:tc>
              <w:tc>
                <w:tcPr>
                  <w:tcW w:w="40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高度（m）</w:t>
                  </w:r>
                </w:p>
              </w:tc>
              <w:tc>
                <w:tcPr>
                  <w:tcW w:w="523"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排气筒内径（m）</w:t>
                  </w:r>
                </w:p>
              </w:tc>
              <w:tc>
                <w:tcPr>
                  <w:tcW w:w="417"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温度(℃)</w:t>
                  </w:r>
                </w:p>
              </w:tc>
              <w:tc>
                <w:tcPr>
                  <w:tcW w:w="546"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类型</w:t>
                  </w:r>
                </w:p>
              </w:tc>
              <w:tc>
                <w:tcPr>
                  <w:tcW w:w="53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634"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eastAsia="宋体" w:cs="Times New Roman"/>
                      <w:bCs/>
                      <w:color w:val="auto"/>
                      <w:szCs w:val="21"/>
                      <w:lang w:val="en-US" w:eastAsia="zh-CN"/>
                    </w:rPr>
                    <w:t>上料、</w:t>
                  </w:r>
                  <w:r>
                    <w:rPr>
                      <w:rFonts w:hint="eastAsia" w:ascii="Times New Roman" w:hAnsi="Times New Roman" w:eastAsia="宋体" w:cs="Times New Roman"/>
                      <w:bCs/>
                      <w:color w:val="auto"/>
                      <w:szCs w:val="21"/>
                      <w:lang w:val="en-US" w:eastAsia="zh-CN"/>
                    </w:rPr>
                    <w:t>皮带运输、</w:t>
                  </w:r>
                  <w:r>
                    <w:rPr>
                      <w:rFonts w:hint="default" w:ascii="Times New Roman" w:hAnsi="Times New Roman" w:eastAsia="宋体" w:cs="Times New Roman"/>
                      <w:bCs/>
                      <w:color w:val="auto"/>
                      <w:szCs w:val="21"/>
                      <w:lang w:val="en-US" w:eastAsia="zh-CN"/>
                    </w:rPr>
                    <w:t>布料</w:t>
                  </w:r>
                  <w:r>
                    <w:rPr>
                      <w:rFonts w:hint="eastAsia" w:ascii="Times New Roman" w:hAnsi="Times New Roman" w:eastAsia="宋体" w:cs="Times New Roman"/>
                      <w:bCs/>
                      <w:color w:val="auto"/>
                      <w:szCs w:val="21"/>
                      <w:lang w:val="en-US" w:eastAsia="zh-CN"/>
                    </w:rPr>
                    <w:t>、</w:t>
                  </w:r>
                  <w:r>
                    <w:rPr>
                      <w:rFonts w:hint="default" w:ascii="Times New Roman" w:hAnsi="Times New Roman" w:eastAsia="宋体" w:cs="Times New Roman"/>
                      <w:bCs/>
                      <w:color w:val="auto"/>
                      <w:szCs w:val="21"/>
                      <w:lang w:val="en-US" w:eastAsia="zh-CN"/>
                    </w:rPr>
                    <w:t>筛分、色选、包装</w:t>
                  </w:r>
                  <w:r>
                    <w:rPr>
                      <w:rFonts w:hint="default" w:ascii="Times New Roman" w:hAnsi="Times New Roman" w:cs="Times New Roman"/>
                      <w:color w:val="auto"/>
                      <w:kern w:val="2"/>
                      <w:szCs w:val="21"/>
                      <w:lang w:val="en-US" w:eastAsia="zh-CN"/>
                    </w:rPr>
                    <w:t>排气筒</w:t>
                  </w:r>
                </w:p>
              </w:tc>
              <w:tc>
                <w:tcPr>
                  <w:tcW w:w="470" w:type="pct"/>
                  <w:noWrap w:val="0"/>
                  <w:vAlign w:val="center"/>
                </w:tcPr>
                <w:p>
                  <w:pPr>
                    <w:spacing w:line="300" w:lineRule="exact"/>
                    <w:jc w:val="center"/>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DA00</w:t>
                  </w:r>
                  <w:r>
                    <w:rPr>
                      <w:rFonts w:hint="eastAsia" w:cs="Times New Roman"/>
                      <w:color w:val="auto"/>
                      <w:szCs w:val="21"/>
                      <w:lang w:val="en-US" w:eastAsia="zh-CN"/>
                    </w:rPr>
                    <w:t>1</w:t>
                  </w:r>
                </w:p>
              </w:tc>
              <w:tc>
                <w:tcPr>
                  <w:tcW w:w="540" w:type="pct"/>
                  <w:noWrap w:val="0"/>
                  <w:vAlign w:val="center"/>
                </w:tcPr>
                <w:p>
                  <w:pPr>
                    <w:spacing w:line="30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E</w:t>
                  </w:r>
                  <w:r>
                    <w:rPr>
                      <w:rFonts w:hint="default" w:ascii="Times New Roman" w:hAnsi="Times New Roman" w:cs="Times New Roman"/>
                      <w:color w:val="auto"/>
                      <w:szCs w:val="21"/>
                    </w:rPr>
                    <w:t>118</w:t>
                  </w:r>
                  <w:r>
                    <w:rPr>
                      <w:rFonts w:hint="eastAsia" w:cs="Times New Roman"/>
                      <w:color w:val="auto"/>
                      <w:szCs w:val="21"/>
                      <w:lang w:val="en-US" w:eastAsia="zh-CN"/>
                    </w:rPr>
                    <w:t>.229855</w:t>
                  </w:r>
                  <w:r>
                    <w:rPr>
                      <w:rFonts w:hint="default" w:ascii="Times New Roman" w:hAnsi="Times New Roman" w:cs="Times New Roman"/>
                      <w:color w:val="auto"/>
                      <w:szCs w:val="21"/>
                    </w:rPr>
                    <w:t>°</w:t>
                  </w:r>
                </w:p>
              </w:tc>
              <w:tc>
                <w:tcPr>
                  <w:tcW w:w="510" w:type="pct"/>
                  <w:noWrap w:val="0"/>
                  <w:vAlign w:val="center"/>
                </w:tcPr>
                <w:p>
                  <w:pPr>
                    <w:spacing w:line="30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N</w:t>
                  </w:r>
                  <w:r>
                    <w:rPr>
                      <w:rFonts w:hint="default" w:ascii="Times New Roman" w:hAnsi="Times New Roman" w:cs="Times New Roman"/>
                      <w:color w:val="auto"/>
                      <w:szCs w:val="21"/>
                    </w:rPr>
                    <w:t>39</w:t>
                  </w:r>
                  <w:r>
                    <w:rPr>
                      <w:rFonts w:hint="eastAsia" w:cs="Times New Roman"/>
                      <w:color w:val="auto"/>
                      <w:szCs w:val="21"/>
                      <w:lang w:val="en-US" w:eastAsia="zh-CN"/>
                    </w:rPr>
                    <w:t>.741779</w:t>
                  </w:r>
                  <w:r>
                    <w:rPr>
                      <w:rFonts w:hint="default" w:ascii="Times New Roman" w:hAnsi="Times New Roman" w:cs="Times New Roman"/>
                      <w:color w:val="auto"/>
                      <w:szCs w:val="21"/>
                    </w:rPr>
                    <w:t>°</w:t>
                  </w:r>
                </w:p>
              </w:tc>
              <w:tc>
                <w:tcPr>
                  <w:tcW w:w="422"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2"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523" w:type="pct"/>
                  <w:noWrap w:val="0"/>
                  <w:vAlign w:val="center"/>
                </w:tcPr>
                <w:p>
                  <w:pPr>
                    <w:spacing w:line="300" w:lineRule="exact"/>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0.8</w:t>
                  </w:r>
                </w:p>
              </w:tc>
              <w:tc>
                <w:tcPr>
                  <w:tcW w:w="417"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546"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532" w:type="pct"/>
                  <w:noWrap w:val="0"/>
                  <w:vAlign w:val="center"/>
                </w:tcPr>
                <w:p>
                  <w:pPr>
                    <w:spacing w:line="300" w:lineRule="exact"/>
                    <w:jc w:val="center"/>
                    <w:rPr>
                      <w:rFonts w:hint="default" w:ascii="Times New Roman" w:hAnsi="Times New Roman" w:cs="Times New Roman"/>
                      <w:color w:val="auto"/>
                      <w:szCs w:val="21"/>
                      <w:lang w:val="en-US"/>
                    </w:rPr>
                  </w:pPr>
                  <w:r>
                    <w:rPr>
                      <w:rFonts w:hint="eastAsia" w:cs="Times New Roman"/>
                      <w:bCs/>
                      <w:color w:val="auto"/>
                      <w:szCs w:val="21"/>
                      <w:lang w:val="en-US" w:eastAsia="zh-CN"/>
                    </w:rPr>
                    <w:t>0.13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除尘器参数见下表。</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表2</w:t>
            </w:r>
            <w:r>
              <w:rPr>
                <w:rFonts w:hint="eastAsia"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#脉冲布袋除尘器相关参数一览表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4"/>
              <w:gridCol w:w="2979"/>
              <w:gridCol w:w="3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序号</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项目</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1</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处理风量</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eastAsia" w:ascii="Times New Roman" w:cs="Times New Roman"/>
                      <w:color w:val="auto"/>
                      <w:kern w:val="2"/>
                      <w:szCs w:val="21"/>
                      <w:lang w:val="en-US" w:eastAsia="zh-CN"/>
                    </w:rPr>
                    <w:t>30</w:t>
                  </w:r>
                  <w:r>
                    <w:rPr>
                      <w:rFonts w:hint="default" w:ascii="Times New Roman" w:hAnsi="Times New Roman" w:cs="Times New Roman"/>
                      <w:color w:val="auto"/>
                      <w:kern w:val="2"/>
                      <w:szCs w:val="21"/>
                      <w:lang w:val="en-US" w:eastAsia="zh-CN"/>
                    </w:rPr>
                    <w:t>0</w:t>
                  </w:r>
                  <w:r>
                    <w:rPr>
                      <w:rFonts w:hint="default" w:ascii="Times New Roman" w:hAnsi="Times New Roman" w:eastAsia="宋体" w:cs="Times New Roman"/>
                      <w:color w:val="auto"/>
                      <w:kern w:val="2"/>
                      <w:szCs w:val="21"/>
                    </w:rPr>
                    <w:t>00m</w:t>
                  </w:r>
                  <w:r>
                    <w:rPr>
                      <w:rFonts w:hint="default" w:ascii="Times New Roman" w:hAnsi="Times New Roman" w:eastAsia="宋体" w:cs="Times New Roman"/>
                      <w:color w:val="auto"/>
                      <w:kern w:val="2"/>
                      <w:szCs w:val="21"/>
                      <w:vertAlign w:val="superscript"/>
                    </w:rPr>
                    <w:t>3</w:t>
                  </w:r>
                  <w:r>
                    <w:rPr>
                      <w:rFonts w:hint="default" w:ascii="Times New Roman" w:hAnsi="Times New Roman" w:eastAsia="宋体" w:cs="Times New Roman"/>
                      <w:color w:val="auto"/>
                      <w:kern w:val="2"/>
                      <w:szCs w:val="21"/>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2</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过滤面积</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不低于</w:t>
                  </w:r>
                  <w:r>
                    <w:rPr>
                      <w:rFonts w:hint="eastAsia" w:ascii="Times New Roman" w:cs="Times New Roman"/>
                      <w:color w:val="auto"/>
                      <w:kern w:val="2"/>
                      <w:szCs w:val="21"/>
                      <w:lang w:val="en-US" w:eastAsia="zh-CN"/>
                    </w:rPr>
                    <w:t>421.4</w:t>
                  </w:r>
                  <w:r>
                    <w:rPr>
                      <w:rFonts w:hint="default" w:ascii="Times New Roman" w:hAnsi="Times New Roman" w:eastAsia="宋体" w:cs="Times New Roman"/>
                      <w:color w:val="auto"/>
                      <w:kern w:val="2"/>
                      <w:szCs w:val="21"/>
                    </w:rPr>
                    <w:t>m</w:t>
                  </w:r>
                  <w:r>
                    <w:rPr>
                      <w:rFonts w:hint="default" w:ascii="Times New Roman" w:hAnsi="Times New Roman" w:eastAsia="宋体" w:cs="Times New Roman"/>
                      <w:color w:val="auto"/>
                      <w:kern w:val="2"/>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3</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过滤风速</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0.8m/min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4</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滤袋材质</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覆膜针刺毡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5</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滤袋规格</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rPr>
                  </w:pPr>
                  <w:r>
                    <w:rPr>
                      <w:rFonts w:hint="default" w:ascii="Times New Roman" w:hAnsi="Times New Roman" w:eastAsia="宋体" w:cs="Times New Roman"/>
                      <w:color w:val="auto"/>
                      <w:kern w:val="2"/>
                      <w:szCs w:val="21"/>
                    </w:rPr>
                    <w:t>φ130mm×3000mm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val="en-US" w:eastAsia="zh-CN"/>
                    </w:rPr>
                    <w:t>6</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除尘器设计效率</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val="en-US" w:eastAsia="zh-CN"/>
                    </w:rPr>
                    <w:t>8</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出口含尘浓度</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w:t>
                  </w:r>
                  <w:r>
                    <w:rPr>
                      <w:rFonts w:hint="eastAsia" w:ascii="Times New Roman" w:cs="Times New Roman"/>
                      <w:color w:val="auto"/>
                      <w:kern w:val="2"/>
                      <w:szCs w:val="21"/>
                      <w:lang w:val="en-US" w:eastAsia="zh-CN"/>
                    </w:rPr>
                    <w:t>10</w:t>
                  </w:r>
                  <w:r>
                    <w:rPr>
                      <w:rFonts w:hint="default" w:ascii="Times New Roman" w:hAnsi="Times New Roman" w:eastAsia="宋体" w:cs="Times New Roman"/>
                      <w:color w:val="auto"/>
                      <w:kern w:val="2"/>
                      <w:szCs w:val="21"/>
                    </w:rPr>
                    <w:t>mg/m</w:t>
                  </w:r>
                  <w:r>
                    <w:rPr>
                      <w:rFonts w:hint="default" w:ascii="Times New Roman" w:hAnsi="Times New Roman" w:eastAsia="宋体" w:cs="Times New Roman"/>
                      <w:color w:val="auto"/>
                      <w:kern w:val="2"/>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val="en-US" w:eastAsia="zh-CN"/>
                    </w:rPr>
                    <w:t>9</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清灰方式</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低压脉冲清灰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81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10</w:t>
                  </w:r>
                </w:p>
              </w:tc>
              <w:tc>
                <w:tcPr>
                  <w:tcW w:w="183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漏风率</w:t>
                  </w:r>
                </w:p>
              </w:tc>
              <w:tc>
                <w:tcPr>
                  <w:tcW w:w="23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rPr>
                    <w:t>＜2%</w:t>
                  </w:r>
                </w:p>
              </w:tc>
            </w:tr>
          </w:tbl>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zh-CN" w:eastAsia="zh-CN" w:bidi="ar-SA"/>
              </w:rPr>
            </w:pPr>
            <w:r>
              <w:rPr>
                <w:rFonts w:hint="default" w:ascii="Times New Roman" w:hAnsi="Times New Roman" w:eastAsia="宋体" w:cs="Times New Roman"/>
                <w:b/>
                <w:bCs/>
                <w:color w:val="auto"/>
                <w:kern w:val="2"/>
                <w:sz w:val="24"/>
                <w:szCs w:val="24"/>
                <w:highlight w:val="none"/>
                <w:lang w:val="en-US" w:eastAsia="zh-CN" w:bidi="ar-SA"/>
              </w:rPr>
              <w:t>表2</w:t>
            </w:r>
            <w:r>
              <w:rPr>
                <w:rFonts w:hint="eastAsia"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 xml:space="preserve">    上料、</w:t>
            </w:r>
            <w:r>
              <w:rPr>
                <w:rFonts w:hint="eastAsia" w:ascii="Times New Roman" w:hAnsi="Times New Roman" w:eastAsia="宋体" w:cs="Times New Roman"/>
                <w:b/>
                <w:bCs/>
                <w:color w:val="auto"/>
                <w:kern w:val="2"/>
                <w:sz w:val="24"/>
                <w:szCs w:val="24"/>
                <w:highlight w:val="none"/>
                <w:lang w:val="en-US" w:eastAsia="zh-CN" w:bidi="ar-SA"/>
              </w:rPr>
              <w:t>皮带运输、</w:t>
            </w:r>
            <w:r>
              <w:rPr>
                <w:rFonts w:hint="default" w:ascii="Times New Roman" w:hAnsi="Times New Roman" w:eastAsia="宋体" w:cs="Times New Roman"/>
                <w:b/>
                <w:bCs/>
                <w:color w:val="auto"/>
                <w:kern w:val="2"/>
                <w:sz w:val="24"/>
                <w:szCs w:val="24"/>
                <w:highlight w:val="none"/>
                <w:lang w:val="en-US" w:eastAsia="zh-CN" w:bidi="ar-SA"/>
              </w:rPr>
              <w:t>布料</w:t>
            </w: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筛分、色选、包装工序有组织废气产生、收集情况</w:t>
            </w:r>
            <w:r>
              <w:rPr>
                <w:rFonts w:hint="default" w:ascii="Times New Roman" w:hAnsi="Times New Roman" w:eastAsia="宋体" w:cs="Times New Roman"/>
                <w:b/>
                <w:bCs/>
                <w:color w:val="auto"/>
                <w:kern w:val="2"/>
                <w:sz w:val="24"/>
                <w:szCs w:val="24"/>
                <w:highlight w:val="none"/>
                <w:lang w:val="zh-CN" w:eastAsia="zh-CN" w:bidi="ar-SA"/>
              </w:rPr>
              <w:t>一览表</w:t>
            </w:r>
          </w:p>
          <w:tbl>
            <w:tblPr>
              <w:tblStyle w:val="20"/>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35"/>
              <w:gridCol w:w="782"/>
              <w:gridCol w:w="1213"/>
              <w:gridCol w:w="1831"/>
              <w:gridCol w:w="884"/>
              <w:gridCol w:w="735"/>
              <w:gridCol w:w="1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47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工序</w:t>
                  </w:r>
                </w:p>
              </w:tc>
              <w:tc>
                <w:tcPr>
                  <w:tcW w:w="45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排放</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特征</w:t>
                  </w:r>
                </w:p>
              </w:tc>
              <w:tc>
                <w:tcPr>
                  <w:tcW w:w="48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产生量</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t/a</w:t>
                  </w:r>
                </w:p>
              </w:tc>
              <w:tc>
                <w:tcPr>
                  <w:tcW w:w="74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颗粒物收集方式</w:t>
                  </w:r>
                </w:p>
              </w:tc>
              <w:tc>
                <w:tcPr>
                  <w:tcW w:w="112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eastAsia="zh-CN"/>
                    </w:rPr>
                    <w:t>集气罩尺寸</w:t>
                  </w:r>
                  <w:r>
                    <w:rPr>
                      <w:rFonts w:hint="default" w:ascii="Times New Roman" w:hAnsi="Times New Roman" w:eastAsia="宋体" w:cs="Times New Roman"/>
                      <w:color w:val="auto"/>
                      <w:kern w:val="2"/>
                      <w:szCs w:val="21"/>
                      <w:lang w:val="en-US" w:eastAsia="zh-CN"/>
                    </w:rPr>
                    <w:t>/数量/</w:t>
                  </w:r>
                  <w:r>
                    <w:rPr>
                      <w:rFonts w:hint="default" w:ascii="Times New Roman" w:hAnsi="Times New Roman" w:cs="Times New Roman"/>
                      <w:color w:val="auto"/>
                      <w:kern w:val="2"/>
                      <w:szCs w:val="21"/>
                      <w:lang w:val="en-US" w:eastAsia="zh-CN"/>
                    </w:rPr>
                    <w:t>集气风速</w:t>
                  </w:r>
                </w:p>
              </w:tc>
              <w:tc>
                <w:tcPr>
                  <w:tcW w:w="543"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废气量</w:t>
                  </w:r>
                </w:p>
              </w:tc>
              <w:tc>
                <w:tcPr>
                  <w:tcW w:w="45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捕集</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效率</w:t>
                  </w:r>
                </w:p>
              </w:tc>
              <w:tc>
                <w:tcPr>
                  <w:tcW w:w="728"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废气处理方式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bCs/>
                      <w:color w:val="auto"/>
                      <w:szCs w:val="21"/>
                      <w:lang w:val="en-US" w:eastAsia="zh-CN"/>
                    </w:rPr>
                    <w:t>上料</w:t>
                  </w:r>
                </w:p>
              </w:tc>
              <w:tc>
                <w:tcPr>
                  <w:tcW w:w="451" w:type="pct"/>
                  <w:vMerge w:val="restar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48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5.35</w:t>
                  </w:r>
                </w:p>
              </w:tc>
              <w:tc>
                <w:tcPr>
                  <w:tcW w:w="74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集气罩+集尘管道</w:t>
                  </w:r>
                </w:p>
              </w:tc>
              <w:tc>
                <w:tcPr>
                  <w:tcW w:w="112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1.5</w:t>
                  </w:r>
                  <w:r>
                    <w:rPr>
                      <w:rFonts w:hint="default" w:ascii="Times New Roman" w:hAnsi="Times New Roman" w:eastAsia="宋体" w:cs="Times New Roman"/>
                      <w:color w:val="auto"/>
                      <w:kern w:val="2"/>
                      <w:szCs w:val="21"/>
                      <w:lang w:val="en-US" w:eastAsia="zh-CN"/>
                    </w:rPr>
                    <w:t>m×</w:t>
                  </w:r>
                  <w:r>
                    <w:rPr>
                      <w:rFonts w:hint="eastAsia" w:ascii="Times New Roman"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m</w:t>
                  </w:r>
                  <w:r>
                    <w:rPr>
                      <w:rFonts w:hint="default" w:ascii="Times New Roman" w:hAnsi="Times New Roman" w:cs="Times New Roman"/>
                      <w:color w:val="auto"/>
                      <w:kern w:val="2"/>
                      <w:szCs w:val="21"/>
                      <w:lang w:val="en-US" w:eastAsia="zh-CN"/>
                    </w:rPr>
                    <w:t xml:space="preserve">   1个</w:t>
                  </w:r>
                </w:p>
                <w:p>
                  <w:pPr>
                    <w:jc w:val="center"/>
                    <w:rPr>
                      <w:rFonts w:hint="default" w:ascii="Times New Roman" w:hAnsi="Times New Roman" w:cs="Times New Roman"/>
                      <w:color w:val="auto"/>
                      <w:lang w:val="en-US" w:eastAsia="zh-CN"/>
                    </w:rPr>
                  </w:pPr>
                  <w:r>
                    <w:rPr>
                      <w:rFonts w:hint="default" w:ascii="Times New Roman" w:hAnsi="Times New Roman" w:cs="Times New Roman"/>
                      <w:color w:val="auto"/>
                      <w:sz w:val="21"/>
                      <w:szCs w:val="21"/>
                    </w:rPr>
                    <w:t>0.</w:t>
                  </w:r>
                  <w:r>
                    <w:rPr>
                      <w:rFonts w:hint="eastAsia" w:cs="Times New Roman"/>
                      <w:color w:val="auto"/>
                      <w:sz w:val="21"/>
                      <w:szCs w:val="21"/>
                      <w:lang w:val="en-US" w:eastAsia="zh-CN"/>
                    </w:rPr>
                    <w:t>6</w:t>
                  </w:r>
                  <w:r>
                    <w:rPr>
                      <w:rFonts w:hint="default" w:ascii="Times New Roman" w:hAnsi="Times New Roman" w:cs="Times New Roman"/>
                      <w:color w:val="auto"/>
                      <w:sz w:val="21"/>
                      <w:szCs w:val="21"/>
                    </w:rPr>
                    <w:t>m/s</w:t>
                  </w:r>
                </w:p>
              </w:tc>
              <w:tc>
                <w:tcPr>
                  <w:tcW w:w="543"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Cs w:val="21"/>
                      <w:lang w:val="en-US" w:eastAsia="zh-CN"/>
                    </w:rPr>
                    <w:t>3240</w:t>
                  </w:r>
                  <w:r>
                    <w:rPr>
                      <w:rFonts w:hint="default" w:ascii="Times New Roman" w:hAnsi="Times New Roman" w:eastAsia="宋体" w:cs="Times New Roman"/>
                      <w:color w:val="auto"/>
                      <w:kern w:val="2"/>
                      <w:szCs w:val="21"/>
                      <w:lang w:val="en-US" w:eastAsia="zh-CN"/>
                    </w:rPr>
                    <w:t>m</w:t>
                  </w:r>
                  <w:r>
                    <w:rPr>
                      <w:rFonts w:hint="default" w:ascii="Times New Roman" w:hAnsi="Times New Roman" w:eastAsia="宋体" w:cs="Times New Roman"/>
                      <w:color w:val="auto"/>
                      <w:kern w:val="2"/>
                      <w:szCs w:val="21"/>
                      <w:vertAlign w:val="superscript"/>
                      <w:lang w:val="en-US" w:eastAsia="zh-CN"/>
                    </w:rPr>
                    <w:t>3</w:t>
                  </w:r>
                  <w:r>
                    <w:rPr>
                      <w:rFonts w:hint="default" w:ascii="Times New Roman" w:hAnsi="Times New Roman" w:eastAsia="宋体" w:cs="Times New Roman"/>
                      <w:color w:val="auto"/>
                      <w:kern w:val="2"/>
                      <w:szCs w:val="21"/>
                      <w:lang w:val="en-US" w:eastAsia="zh-CN"/>
                    </w:rPr>
                    <w:t>/h</w:t>
                  </w:r>
                </w:p>
              </w:tc>
              <w:tc>
                <w:tcPr>
                  <w:tcW w:w="451" w:type="pct"/>
                  <w:vMerge w:val="restar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default"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728" w:type="pct"/>
                  <w:vMerge w:val="restar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cs="Times New Roman"/>
                      <w:color w:val="auto"/>
                      <w:kern w:val="2"/>
                      <w:szCs w:val="21"/>
                      <w:lang w:val="en-US" w:eastAsia="zh-CN"/>
                    </w:rPr>
                    <w:t>1</w:t>
                  </w:r>
                  <w:r>
                    <w:rPr>
                      <w:rFonts w:hint="default" w:ascii="Times New Roman" w:hAnsi="Times New Roman" w:cs="Times New Roman"/>
                      <w:color w:val="auto"/>
                      <w:kern w:val="2"/>
                      <w:szCs w:val="21"/>
                      <w:lang w:val="en-US" w:eastAsia="zh-CN"/>
                    </w:rPr>
                    <w:t>#</w:t>
                  </w:r>
                  <w:r>
                    <w:rPr>
                      <w:rFonts w:hint="default" w:ascii="Times New Roman" w:hAnsi="Times New Roman" w:eastAsia="宋体" w:cs="Times New Roman"/>
                      <w:color w:val="auto"/>
                      <w:kern w:val="2"/>
                      <w:szCs w:val="21"/>
                      <w:lang w:eastAsia="zh-CN"/>
                    </w:rPr>
                    <w:t>脉冲布袋除尘器+</w:t>
                  </w:r>
                  <w:r>
                    <w:rPr>
                      <w:rFonts w:hint="default" w:ascii="Times New Roman" w:hAnsi="Times New Roman" w:eastAsia="宋体" w:cs="Times New Roman"/>
                      <w:color w:val="auto"/>
                      <w:kern w:val="2"/>
                      <w:szCs w:val="21"/>
                      <w:lang w:val="en-US" w:eastAsia="zh-CN"/>
                    </w:rPr>
                    <w:t>15</w:t>
                  </w:r>
                  <w:r>
                    <w:rPr>
                      <w:rFonts w:hint="default" w:ascii="Times New Roman" w:hAnsi="Times New Roman" w:eastAsia="宋体" w:cs="Times New Roman"/>
                      <w:color w:val="auto"/>
                      <w:kern w:val="2"/>
                      <w:szCs w:val="21"/>
                      <w:lang w:eastAsia="zh-CN"/>
                    </w:rPr>
                    <w:t>m高排气筒（DA00</w:t>
                  </w:r>
                  <w:r>
                    <w:rPr>
                      <w:rFonts w:hint="eastAsia" w:ascii="Times New Roman" w:cs="Times New Roman"/>
                      <w:color w:val="auto"/>
                      <w:kern w:val="2"/>
                      <w:szCs w:val="21"/>
                      <w:lang w:val="en-US" w:eastAsia="zh-CN"/>
                    </w:rPr>
                    <w:t>1</w:t>
                  </w:r>
                  <w:r>
                    <w:rPr>
                      <w:rFonts w:hint="default" w:ascii="Times New Roman" w:hAnsi="Times New Roman" w:eastAsia="宋体" w:cs="Times New Roman"/>
                      <w:color w:val="auto"/>
                      <w:kern w:val="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bCs/>
                      <w:color w:val="auto"/>
                      <w:szCs w:val="21"/>
                      <w:lang w:val="en-US" w:eastAsia="zh-CN"/>
                    </w:rPr>
                  </w:pPr>
                  <w:r>
                    <w:rPr>
                      <w:rFonts w:hint="eastAsia" w:ascii="Times New Roman" w:cs="Times New Roman"/>
                      <w:bCs/>
                      <w:color w:val="auto"/>
                      <w:szCs w:val="21"/>
                      <w:lang w:val="en-US" w:eastAsia="zh-CN"/>
                    </w:rPr>
                    <w:t>皮带运输</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8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5.35</w:t>
                  </w:r>
                </w:p>
              </w:tc>
              <w:tc>
                <w:tcPr>
                  <w:tcW w:w="74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集气管道</w:t>
                  </w:r>
                </w:p>
              </w:tc>
              <w:tc>
                <w:tcPr>
                  <w:tcW w:w="1125" w:type="pct"/>
                  <w:tcBorders>
                    <w:tl2br w:val="nil"/>
                    <w:tr2bl w:val="nil"/>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eastAsia="zh-CN"/>
                    </w:rPr>
                    <w:t>管道直径</w:t>
                  </w:r>
                  <w:r>
                    <w:rPr>
                      <w:rFonts w:hint="eastAsia" w:cs="Times New Roman"/>
                      <w:color w:val="auto"/>
                      <w:sz w:val="21"/>
                      <w:szCs w:val="21"/>
                      <w:lang w:val="en-US" w:eastAsia="zh-CN"/>
                    </w:rPr>
                    <w:t>0.3m</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Cs w:val="21"/>
                      <w:lang w:val="en-US" w:eastAsia="zh-CN"/>
                    </w:rPr>
                    <w:t>1个</w:t>
                  </w:r>
                  <w:r>
                    <w:rPr>
                      <w:rFonts w:hint="eastAsia" w:ascii="Times New Roman" w:hAnsi="Times New Roman" w:cs="Times New Roman"/>
                      <w:color w:val="auto"/>
                      <w:kern w:val="2"/>
                      <w:szCs w:val="21"/>
                      <w:lang w:val="en-US" w:eastAsia="zh-CN"/>
                    </w:rPr>
                    <w:t xml:space="preserve">  </w:t>
                  </w:r>
                  <w:r>
                    <w:rPr>
                      <w:rFonts w:hint="default" w:ascii="Times New Roman" w:hAnsi="Times New Roman" w:cs="Times New Roman"/>
                      <w:color w:val="auto"/>
                      <w:sz w:val="21"/>
                      <w:szCs w:val="21"/>
                    </w:rPr>
                    <w:t>0.</w:t>
                  </w:r>
                  <w:r>
                    <w:rPr>
                      <w:rFonts w:hint="eastAsia" w:cs="Times New Roman"/>
                      <w:color w:val="auto"/>
                      <w:sz w:val="21"/>
                      <w:szCs w:val="21"/>
                      <w:lang w:val="en-US" w:eastAsia="zh-CN"/>
                    </w:rPr>
                    <w:t>6</w:t>
                  </w:r>
                  <w:r>
                    <w:rPr>
                      <w:rFonts w:hint="default" w:ascii="Times New Roman" w:hAnsi="Times New Roman" w:cs="Times New Roman"/>
                      <w:color w:val="auto"/>
                      <w:sz w:val="21"/>
                      <w:szCs w:val="21"/>
                    </w:rPr>
                    <w:t>m/s</w:t>
                  </w:r>
                  <w:r>
                    <w:rPr>
                      <w:rFonts w:hint="eastAsia" w:ascii="Times New Roman" w:hAnsi="Times New Roman" w:cs="Times New Roman"/>
                      <w:color w:val="auto"/>
                      <w:kern w:val="2"/>
                      <w:szCs w:val="21"/>
                      <w:lang w:val="en-US" w:eastAsia="zh-CN"/>
                    </w:rPr>
                    <w:t xml:space="preserve"> </w:t>
                  </w:r>
                </w:p>
              </w:tc>
              <w:tc>
                <w:tcPr>
                  <w:tcW w:w="543" w:type="pct"/>
                  <w:tcBorders>
                    <w:tl2br w:val="nil"/>
                    <w:tr2bl w:val="nil"/>
                  </w:tcBorders>
                  <w:noWrap w:val="0"/>
                  <w:vAlign w:val="center"/>
                </w:tcPr>
                <w:p>
                  <w:pPr>
                    <w:pStyle w:val="33"/>
                    <w:spacing w:beforeLines="-2147483648" w:afterLines="-2147483648" w:line="240" w:lineRule="auto"/>
                    <w:ind w:firstLine="0" w:firstLineChars="0"/>
                    <w:jc w:val="center"/>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2670.57</w:t>
                  </w:r>
                  <w:r>
                    <w:rPr>
                      <w:rFonts w:hint="default" w:ascii="Times New Roman" w:hAnsi="Times New Roman" w:eastAsia="宋体" w:cs="Times New Roman"/>
                      <w:color w:val="auto"/>
                      <w:kern w:val="2"/>
                      <w:szCs w:val="21"/>
                      <w:lang w:val="en-US" w:eastAsia="zh-CN"/>
                    </w:rPr>
                    <w:t>m</w:t>
                  </w:r>
                  <w:r>
                    <w:rPr>
                      <w:rFonts w:hint="default" w:ascii="Times New Roman" w:hAnsi="Times New Roman" w:eastAsia="宋体" w:cs="Times New Roman"/>
                      <w:color w:val="auto"/>
                      <w:kern w:val="2"/>
                      <w:szCs w:val="21"/>
                      <w:vertAlign w:val="superscript"/>
                      <w:lang w:val="en-US" w:eastAsia="zh-CN"/>
                    </w:rPr>
                    <w:t>3</w:t>
                  </w:r>
                  <w:r>
                    <w:rPr>
                      <w:rFonts w:hint="default" w:ascii="Times New Roman" w:hAnsi="Times New Roman" w:eastAsia="宋体" w:cs="Times New Roman"/>
                      <w:color w:val="auto"/>
                      <w:kern w:val="2"/>
                      <w:szCs w:val="21"/>
                      <w:lang w:val="en-US" w:eastAsia="zh-CN"/>
                    </w:rPr>
                    <w:t>/h</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28"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布料</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8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5.35</w:t>
                  </w:r>
                </w:p>
              </w:tc>
              <w:tc>
                <w:tcPr>
                  <w:tcW w:w="74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集气罩+集尘管道</w:t>
                  </w:r>
                </w:p>
              </w:tc>
              <w:tc>
                <w:tcPr>
                  <w:tcW w:w="112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1.5</w:t>
                  </w:r>
                  <w:r>
                    <w:rPr>
                      <w:rFonts w:hint="default" w:ascii="Times New Roman" w:hAnsi="Times New Roman" w:eastAsia="宋体" w:cs="Times New Roman"/>
                      <w:color w:val="auto"/>
                      <w:kern w:val="2"/>
                      <w:szCs w:val="21"/>
                      <w:lang w:val="en-US" w:eastAsia="zh-CN"/>
                    </w:rPr>
                    <w:t>m×</w:t>
                  </w:r>
                  <w:r>
                    <w:rPr>
                      <w:rFonts w:hint="eastAsia" w:ascii="Times New Roman" w:cs="Times New Roman"/>
                      <w:color w:val="auto"/>
                      <w:kern w:val="2"/>
                      <w:szCs w:val="21"/>
                      <w:lang w:val="en-US" w:eastAsia="zh-CN"/>
                    </w:rPr>
                    <w:t>1</w:t>
                  </w:r>
                  <w:r>
                    <w:rPr>
                      <w:rFonts w:hint="default" w:ascii="Times New Roman" w:hAnsi="Times New Roman" w:eastAsia="宋体" w:cs="Times New Roman"/>
                      <w:color w:val="auto"/>
                      <w:kern w:val="2"/>
                      <w:szCs w:val="21"/>
                      <w:lang w:val="en-US" w:eastAsia="zh-CN"/>
                    </w:rPr>
                    <w:t xml:space="preserve">m   </w:t>
                  </w:r>
                  <w:r>
                    <w:rPr>
                      <w:rFonts w:hint="eastAsia" w:ascii="Times New Roman" w:cs="Times New Roman"/>
                      <w:color w:val="auto"/>
                      <w:kern w:val="2"/>
                      <w:szCs w:val="21"/>
                      <w:lang w:val="en-US" w:eastAsia="zh-CN"/>
                    </w:rPr>
                    <w:t>2</w:t>
                  </w:r>
                  <w:r>
                    <w:rPr>
                      <w:rFonts w:hint="default" w:ascii="Times New Roman" w:hAnsi="Times New Roman" w:cs="Times New Roman"/>
                      <w:color w:val="auto"/>
                      <w:kern w:val="2"/>
                      <w:szCs w:val="21"/>
                      <w:lang w:val="en-US" w:eastAsia="zh-CN"/>
                    </w:rPr>
                    <w:t>个</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r>
                    <w:rPr>
                      <w:rFonts w:hint="eastAsia" w:cs="Times New Roman"/>
                      <w:color w:val="auto"/>
                      <w:sz w:val="21"/>
                      <w:szCs w:val="21"/>
                      <w:lang w:val="en-US" w:eastAsia="zh-CN"/>
                    </w:rPr>
                    <w:t>6</w:t>
                  </w:r>
                  <w:r>
                    <w:rPr>
                      <w:rFonts w:hint="default" w:ascii="Times New Roman" w:hAnsi="Times New Roman" w:cs="Times New Roman"/>
                      <w:color w:val="auto"/>
                      <w:sz w:val="21"/>
                      <w:szCs w:val="21"/>
                    </w:rPr>
                    <w:t>m/s</w:t>
                  </w:r>
                </w:p>
              </w:tc>
              <w:tc>
                <w:tcPr>
                  <w:tcW w:w="543" w:type="pct"/>
                  <w:tcBorders>
                    <w:tl2br w:val="nil"/>
                    <w:tr2bl w:val="nil"/>
                  </w:tcBorders>
                  <w:noWrap w:val="0"/>
                  <w:vAlign w:val="center"/>
                </w:tcPr>
                <w:p>
                  <w:pPr>
                    <w:pStyle w:val="33"/>
                    <w:spacing w:beforeLines="-2147483648" w:afterLines="-2147483648" w:line="240" w:lineRule="auto"/>
                    <w:ind w:firstLine="0" w:firstLineChars="0"/>
                    <w:jc w:val="center"/>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6480</w:t>
                  </w:r>
                  <w:r>
                    <w:rPr>
                      <w:rFonts w:hint="default" w:ascii="Times New Roman" w:hAnsi="Times New Roman" w:eastAsia="宋体" w:cs="Times New Roman"/>
                      <w:color w:val="auto"/>
                      <w:kern w:val="2"/>
                      <w:szCs w:val="21"/>
                      <w:lang w:val="en-US" w:eastAsia="zh-CN"/>
                    </w:rPr>
                    <w:t>m</w:t>
                  </w:r>
                  <w:r>
                    <w:rPr>
                      <w:rFonts w:hint="default" w:ascii="Times New Roman" w:hAnsi="Times New Roman" w:eastAsia="宋体" w:cs="Times New Roman"/>
                      <w:color w:val="auto"/>
                      <w:kern w:val="2"/>
                      <w:szCs w:val="21"/>
                      <w:vertAlign w:val="superscript"/>
                      <w:lang w:val="en-US" w:eastAsia="zh-CN"/>
                    </w:rPr>
                    <w:t>3</w:t>
                  </w:r>
                  <w:r>
                    <w:rPr>
                      <w:rFonts w:hint="default" w:ascii="Times New Roman" w:hAnsi="Times New Roman" w:eastAsia="宋体" w:cs="Times New Roman"/>
                      <w:color w:val="auto"/>
                      <w:kern w:val="2"/>
                      <w:szCs w:val="21"/>
                      <w:lang w:val="en-US" w:eastAsia="zh-CN"/>
                    </w:rPr>
                    <w:t>/h</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28"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1"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筛分</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80"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Cs w:val="21"/>
                      <w:lang w:val="en-US" w:eastAsia="zh-CN"/>
                    </w:rPr>
                    <w:t>6.25</w:t>
                  </w:r>
                </w:p>
              </w:tc>
              <w:tc>
                <w:tcPr>
                  <w:tcW w:w="745"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集气罩+集尘管道</w:t>
                  </w:r>
                </w:p>
              </w:tc>
              <w:tc>
                <w:tcPr>
                  <w:tcW w:w="1125"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ascii="Times New Roman"/>
                      <w:color w:val="auto"/>
                      <w:kern w:val="2"/>
                      <w:szCs w:val="21"/>
                      <w:highlight w:val="none"/>
                    </w:rPr>
                  </w:pPr>
                  <w:r>
                    <w:rPr>
                      <w:rFonts w:hint="eastAsia" w:ascii="Times New Roman"/>
                      <w:color w:val="auto"/>
                      <w:kern w:val="2"/>
                      <w:szCs w:val="21"/>
                      <w:highlight w:val="none"/>
                    </w:rPr>
                    <w:t>1.5</w:t>
                  </w:r>
                  <w:r>
                    <w:rPr>
                      <w:rFonts w:ascii="Times New Roman"/>
                      <w:color w:val="auto"/>
                      <w:kern w:val="2"/>
                      <w:szCs w:val="21"/>
                      <w:highlight w:val="none"/>
                    </w:rPr>
                    <w:t xml:space="preserve">m×1m </w:t>
                  </w:r>
                  <w:r>
                    <w:rPr>
                      <w:rFonts w:hint="eastAsia" w:ascii="Times New Roman"/>
                      <w:color w:val="auto"/>
                      <w:kern w:val="2"/>
                      <w:szCs w:val="21"/>
                      <w:highlight w:val="none"/>
                    </w:rPr>
                    <w:t>4</w:t>
                  </w:r>
                  <w:r>
                    <w:rPr>
                      <w:rFonts w:ascii="Times New Roman"/>
                      <w:color w:val="auto"/>
                      <w:kern w:val="2"/>
                      <w:szCs w:val="21"/>
                      <w:highlight w:val="none"/>
                    </w:rPr>
                    <w:t>个</w:t>
                  </w:r>
                </w:p>
                <w:p>
                  <w:pPr>
                    <w:jc w:val="center"/>
                    <w:rPr>
                      <w:rFonts w:hint="default" w:ascii="Times New Roman" w:hAnsi="Times New Roman" w:eastAsia="宋体" w:cs="Times New Roman"/>
                      <w:color w:val="auto"/>
                      <w:kern w:val="2"/>
                      <w:sz w:val="21"/>
                      <w:szCs w:val="24"/>
                      <w:lang w:val="en-US" w:eastAsia="zh-CN" w:bidi="ar-SA"/>
                    </w:rPr>
                  </w:pPr>
                  <w:r>
                    <w:rPr>
                      <w:color w:val="auto"/>
                      <w:szCs w:val="21"/>
                      <w:highlight w:val="none"/>
                    </w:rPr>
                    <w:t>0.5m/s</w:t>
                  </w:r>
                </w:p>
              </w:tc>
              <w:tc>
                <w:tcPr>
                  <w:tcW w:w="543"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color w:val="auto"/>
                      <w:kern w:val="2"/>
                      <w:szCs w:val="21"/>
                      <w:highlight w:val="none"/>
                    </w:rPr>
                    <w:t>10800</w:t>
                  </w:r>
                  <w:r>
                    <w:rPr>
                      <w:rFonts w:ascii="Times New Roman"/>
                      <w:color w:val="auto"/>
                      <w:kern w:val="2"/>
                      <w:szCs w:val="21"/>
                      <w:highlight w:val="none"/>
                    </w:rPr>
                    <w:t>m</w:t>
                  </w:r>
                  <w:r>
                    <w:rPr>
                      <w:rFonts w:ascii="Times New Roman"/>
                      <w:color w:val="auto"/>
                      <w:kern w:val="2"/>
                      <w:szCs w:val="21"/>
                      <w:highlight w:val="none"/>
                      <w:vertAlign w:val="superscript"/>
                    </w:rPr>
                    <w:t>3</w:t>
                  </w:r>
                  <w:r>
                    <w:rPr>
                      <w:rFonts w:ascii="Times New Roman"/>
                      <w:color w:val="auto"/>
                      <w:kern w:val="2"/>
                      <w:szCs w:val="21"/>
                      <w:highlight w:val="none"/>
                    </w:rPr>
                    <w:t>/h</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28"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1"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Cs w:val="21"/>
                      <w:lang w:val="en-US" w:eastAsia="zh-CN"/>
                    </w:rPr>
                    <w:t>色选</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80"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Cs w:val="21"/>
                      <w:lang w:val="en-US" w:eastAsia="zh-CN"/>
                    </w:rPr>
                    <w:t>2.5</w:t>
                  </w:r>
                </w:p>
              </w:tc>
              <w:tc>
                <w:tcPr>
                  <w:tcW w:w="745"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集气罩+集尘管道</w:t>
                  </w:r>
                </w:p>
              </w:tc>
              <w:tc>
                <w:tcPr>
                  <w:tcW w:w="1125"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ascii="Times New Roman"/>
                      <w:color w:val="auto"/>
                      <w:kern w:val="2"/>
                      <w:szCs w:val="21"/>
                      <w:highlight w:val="none"/>
                    </w:rPr>
                  </w:pPr>
                  <w:r>
                    <w:rPr>
                      <w:rFonts w:ascii="Times New Roman"/>
                      <w:color w:val="auto"/>
                      <w:kern w:val="2"/>
                      <w:szCs w:val="21"/>
                      <w:highlight w:val="none"/>
                    </w:rPr>
                    <w:t>1m×1.5m 1个</w:t>
                  </w:r>
                </w:p>
                <w:p>
                  <w:pPr>
                    <w:jc w:val="center"/>
                    <w:rPr>
                      <w:rFonts w:hint="default" w:ascii="Times New Roman" w:hAnsi="Times New Roman" w:eastAsia="宋体" w:cs="Times New Roman"/>
                      <w:color w:val="auto"/>
                      <w:kern w:val="2"/>
                      <w:sz w:val="21"/>
                      <w:szCs w:val="21"/>
                      <w:lang w:val="en-US" w:eastAsia="zh-CN" w:bidi="ar-SA"/>
                    </w:rPr>
                  </w:pPr>
                  <w:r>
                    <w:rPr>
                      <w:color w:val="auto"/>
                      <w:szCs w:val="21"/>
                      <w:highlight w:val="none"/>
                    </w:rPr>
                    <w:t>0.5m/s</w:t>
                  </w:r>
                </w:p>
              </w:tc>
              <w:tc>
                <w:tcPr>
                  <w:tcW w:w="543"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ascii="Times New Roman"/>
                      <w:color w:val="auto"/>
                      <w:kern w:val="2"/>
                      <w:szCs w:val="21"/>
                      <w:highlight w:val="none"/>
                    </w:rPr>
                    <w:t>2700m</w:t>
                  </w:r>
                  <w:r>
                    <w:rPr>
                      <w:rFonts w:ascii="Times New Roman"/>
                      <w:color w:val="auto"/>
                      <w:kern w:val="2"/>
                      <w:szCs w:val="21"/>
                      <w:highlight w:val="none"/>
                      <w:vertAlign w:val="superscript"/>
                    </w:rPr>
                    <w:t>3</w:t>
                  </w:r>
                  <w:r>
                    <w:rPr>
                      <w:rFonts w:ascii="Times New Roman"/>
                      <w:color w:val="auto"/>
                      <w:kern w:val="2"/>
                      <w:szCs w:val="21"/>
                      <w:highlight w:val="none"/>
                    </w:rPr>
                    <w:t>/h</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28"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1"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Cs w:val="21"/>
                      <w:lang w:val="en-US" w:eastAsia="zh-CN"/>
                    </w:rPr>
                    <w:t>包装</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480"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Cs w:val="21"/>
                      <w:lang w:val="en-US" w:eastAsia="zh-CN"/>
                    </w:rPr>
                    <w:t>2.5</w:t>
                  </w:r>
                </w:p>
              </w:tc>
              <w:tc>
                <w:tcPr>
                  <w:tcW w:w="745" w:type="pct"/>
                  <w:tcBorders>
                    <w:tl2br w:val="nil"/>
                    <w:tr2bl w:val="nil"/>
                  </w:tcBorders>
                  <w:shd w:val="clear" w:color="auto" w:fill="auto"/>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集气罩+集尘管道</w:t>
                  </w:r>
                </w:p>
              </w:tc>
              <w:tc>
                <w:tcPr>
                  <w:tcW w:w="1125"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ascii="Times New Roman"/>
                      <w:color w:val="auto"/>
                      <w:kern w:val="2"/>
                      <w:szCs w:val="21"/>
                      <w:highlight w:val="none"/>
                    </w:rPr>
                  </w:pPr>
                  <w:r>
                    <w:rPr>
                      <w:rFonts w:ascii="Times New Roman"/>
                      <w:color w:val="auto"/>
                      <w:kern w:val="2"/>
                      <w:szCs w:val="21"/>
                      <w:highlight w:val="none"/>
                    </w:rPr>
                    <w:t xml:space="preserve">1m×1.5m </w:t>
                  </w:r>
                  <w:r>
                    <w:rPr>
                      <w:rFonts w:hint="eastAsia" w:ascii="Times New Roman"/>
                      <w:color w:val="auto"/>
                      <w:kern w:val="2"/>
                      <w:szCs w:val="21"/>
                      <w:highlight w:val="none"/>
                    </w:rPr>
                    <w:t>1</w:t>
                  </w:r>
                  <w:r>
                    <w:rPr>
                      <w:rFonts w:ascii="Times New Roman"/>
                      <w:color w:val="auto"/>
                      <w:kern w:val="2"/>
                      <w:szCs w:val="21"/>
                      <w:highlight w:val="none"/>
                    </w:rPr>
                    <w:t>个</w:t>
                  </w:r>
                </w:p>
                <w:p>
                  <w:pPr>
                    <w:jc w:val="center"/>
                    <w:rPr>
                      <w:rFonts w:hint="default" w:ascii="Times New Roman" w:hAnsi="Times New Roman" w:eastAsia="宋体" w:cs="Times New Roman"/>
                      <w:color w:val="auto"/>
                      <w:kern w:val="2"/>
                      <w:sz w:val="21"/>
                      <w:szCs w:val="21"/>
                      <w:lang w:val="en-US" w:eastAsia="zh-CN" w:bidi="ar-SA"/>
                    </w:rPr>
                  </w:pPr>
                  <w:r>
                    <w:rPr>
                      <w:color w:val="auto"/>
                      <w:szCs w:val="21"/>
                      <w:highlight w:val="none"/>
                    </w:rPr>
                    <w:t>0.5m/s</w:t>
                  </w:r>
                </w:p>
              </w:tc>
              <w:tc>
                <w:tcPr>
                  <w:tcW w:w="543" w:type="pct"/>
                  <w:tcBorders>
                    <w:tl2br w:val="nil"/>
                    <w:tr2bl w:val="nil"/>
                  </w:tcBorders>
                  <w:shd w:val="clear" w:color="auto" w:fill="auto"/>
                  <w:noWrap w:val="0"/>
                  <w:vAlign w:val="center"/>
                </w:tcPr>
                <w:p>
                  <w:pPr>
                    <w:pStyle w:val="33"/>
                    <w:spacing w:beforeLines="0" w:afterLines="0" w:line="240" w:lineRule="auto"/>
                    <w:ind w:firstLine="0" w:firstLineChars="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color w:val="auto"/>
                      <w:kern w:val="2"/>
                      <w:szCs w:val="21"/>
                      <w:highlight w:val="none"/>
                    </w:rPr>
                    <w:t>2700</w:t>
                  </w:r>
                  <w:r>
                    <w:rPr>
                      <w:rFonts w:ascii="Times New Roman"/>
                      <w:color w:val="auto"/>
                      <w:kern w:val="2"/>
                      <w:szCs w:val="21"/>
                      <w:highlight w:val="none"/>
                    </w:rPr>
                    <w:t>m</w:t>
                  </w:r>
                  <w:r>
                    <w:rPr>
                      <w:rFonts w:ascii="Times New Roman"/>
                      <w:color w:val="auto"/>
                      <w:kern w:val="2"/>
                      <w:szCs w:val="21"/>
                      <w:highlight w:val="none"/>
                      <w:vertAlign w:val="superscript"/>
                    </w:rPr>
                    <w:t>3</w:t>
                  </w:r>
                  <w:r>
                    <w:rPr>
                      <w:rFonts w:ascii="Times New Roman"/>
                      <w:color w:val="auto"/>
                      <w:kern w:val="2"/>
                      <w:szCs w:val="21"/>
                      <w:highlight w:val="none"/>
                    </w:rPr>
                    <w:t>/h</w:t>
                  </w:r>
                </w:p>
              </w:tc>
              <w:tc>
                <w:tcPr>
                  <w:tcW w:w="451"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p>
              </w:tc>
              <w:tc>
                <w:tcPr>
                  <w:tcW w:w="728" w:type="pct"/>
                  <w:vMerge w:val="continue"/>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合计</w:t>
                  </w:r>
                </w:p>
              </w:tc>
              <w:tc>
                <w:tcPr>
                  <w:tcW w:w="45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cs="Times New Roman"/>
                      <w:color w:val="auto"/>
                      <w:kern w:val="2"/>
                      <w:szCs w:val="21"/>
                      <w:lang w:val="en-US" w:eastAsia="zh-CN"/>
                    </w:rPr>
                    <w:t>/</w:t>
                  </w:r>
                </w:p>
              </w:tc>
              <w:tc>
                <w:tcPr>
                  <w:tcW w:w="48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eastAsia" w:ascii="Times New Roman" w:cs="Times New Roman"/>
                      <w:color w:val="auto"/>
                      <w:kern w:val="2"/>
                      <w:szCs w:val="21"/>
                      <w:lang w:val="en-US" w:eastAsia="zh-CN"/>
                    </w:rPr>
                    <w:t>27.3</w:t>
                  </w:r>
                </w:p>
              </w:tc>
              <w:tc>
                <w:tcPr>
                  <w:tcW w:w="745"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w:t>
                  </w:r>
                </w:p>
              </w:tc>
              <w:tc>
                <w:tcPr>
                  <w:tcW w:w="1125"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43" w:type="pct"/>
                  <w:tcBorders>
                    <w:tl2br w:val="nil"/>
                    <w:tr2bl w:val="nil"/>
                  </w:tcBorders>
                  <w:noWrap w:val="0"/>
                  <w:vAlign w:val="center"/>
                </w:tcPr>
                <w:p>
                  <w:pPr>
                    <w:jc w:val="center"/>
                    <w:rPr>
                      <w:rFonts w:hint="default" w:ascii="Times New Roman" w:hAnsi="Times New Roman" w:cs="Times New Roman"/>
                      <w:color w:val="auto"/>
                      <w:lang w:val="en-US" w:eastAsia="zh-CN"/>
                    </w:rPr>
                  </w:pPr>
                  <w:r>
                    <w:rPr>
                      <w:rFonts w:hint="eastAsia" w:cs="Times New Roman"/>
                      <w:color w:val="auto"/>
                      <w:kern w:val="2"/>
                      <w:szCs w:val="21"/>
                      <w:lang w:val="en-US" w:eastAsia="zh-CN"/>
                    </w:rPr>
                    <w:t>28590</w:t>
                  </w:r>
                  <w:r>
                    <w:rPr>
                      <w:rFonts w:hint="default" w:ascii="Times New Roman" w:hAnsi="Times New Roman" w:eastAsia="宋体" w:cs="Times New Roman"/>
                      <w:color w:val="auto"/>
                      <w:kern w:val="2"/>
                      <w:szCs w:val="21"/>
                      <w:lang w:val="en-US" w:eastAsia="zh-CN"/>
                    </w:rPr>
                    <w:t>m</w:t>
                  </w:r>
                  <w:r>
                    <w:rPr>
                      <w:rFonts w:hint="default" w:ascii="Times New Roman" w:hAnsi="Times New Roman" w:eastAsia="宋体" w:cs="Times New Roman"/>
                      <w:color w:val="auto"/>
                      <w:kern w:val="2"/>
                      <w:szCs w:val="21"/>
                      <w:vertAlign w:val="superscript"/>
                      <w:lang w:val="en-US" w:eastAsia="zh-CN"/>
                    </w:rPr>
                    <w:t>3</w:t>
                  </w:r>
                  <w:r>
                    <w:rPr>
                      <w:rFonts w:hint="default" w:ascii="Times New Roman" w:hAnsi="Times New Roman" w:eastAsia="宋体" w:cs="Times New Roman"/>
                      <w:color w:val="auto"/>
                      <w:kern w:val="2"/>
                      <w:szCs w:val="21"/>
                      <w:lang w:val="en-US" w:eastAsia="zh-CN"/>
                    </w:rPr>
                    <w:t>/h</w:t>
                  </w:r>
                </w:p>
              </w:tc>
              <w:tc>
                <w:tcPr>
                  <w:tcW w:w="45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cs="Times New Roman"/>
                      <w:color w:val="auto"/>
                      <w:kern w:val="2"/>
                      <w:szCs w:val="21"/>
                      <w:lang w:val="en-US" w:eastAsia="zh-CN"/>
                    </w:rPr>
                    <w:t>/</w:t>
                  </w:r>
                </w:p>
              </w:tc>
              <w:tc>
                <w:tcPr>
                  <w:tcW w:w="728"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default" w:ascii="Times New Roman" w:hAnsi="Times New Roman" w:cs="Times New Roman"/>
                      <w:color w:val="auto"/>
                      <w:kern w:val="2"/>
                      <w:szCs w:val="21"/>
                      <w:lang w:val="en-US" w:eastAsia="zh-CN"/>
                    </w:rPr>
                    <w:t>/</w:t>
                  </w:r>
                </w:p>
              </w:tc>
            </w:tr>
          </w:tbl>
          <w:p>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集气罩收集废气量按照以下公式计算：</w:t>
            </w:r>
          </w:p>
          <w:p>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Q =3600AVP</w:t>
            </w:r>
          </w:p>
          <w:p>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Q：吸风量，m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w:t>
            </w:r>
          </w:p>
          <w:p>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A：罩口面积，m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VP：罩口平均风速取0.</w:t>
            </w:r>
            <w:r>
              <w:rPr>
                <w:rFonts w:hint="eastAsia" w:cs="Times New Roman"/>
                <w:color w:val="auto"/>
                <w:sz w:val="24"/>
                <w:lang w:val="en-US" w:eastAsia="zh-CN"/>
              </w:rPr>
              <w:t>6</w:t>
            </w:r>
            <w:r>
              <w:rPr>
                <w:rFonts w:hint="default" w:ascii="Times New Roman" w:hAnsi="Times New Roman" w:cs="Times New Roman"/>
                <w:color w:val="auto"/>
                <w:sz w:val="24"/>
              </w:rPr>
              <w:t>m/s。</w:t>
            </w:r>
          </w:p>
          <w:p>
            <w:pPr>
              <w:adjustRightInd w:val="0"/>
              <w:snapToGrid w:val="0"/>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集气管道单孔的风量为：L=3600Fvβ</w:t>
            </w:r>
          </w:p>
          <w:p>
            <w:pPr>
              <w:adjustRightInd w:val="0"/>
              <w:snapToGrid w:val="0"/>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式中：L：排气量，m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/h；</w:t>
            </w:r>
            <w:r>
              <w:rPr>
                <w:rFonts w:hint="eastAsia" w:cs="Times New Roman"/>
                <w:bCs/>
                <w:color w:val="auto"/>
                <w:sz w:val="24"/>
                <w:lang w:val="en-US" w:eastAsia="zh-CN"/>
              </w:rPr>
              <w:t xml:space="preserve">   </w:t>
            </w:r>
            <w:r>
              <w:rPr>
                <w:rFonts w:hint="default" w:ascii="Times New Roman" w:hAnsi="Times New Roman" w:cs="Times New Roman"/>
                <w:bCs/>
                <w:color w:val="auto"/>
                <w:sz w:val="24"/>
              </w:rPr>
              <w:t>F：工作孔的面积，m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w:t>
            </w:r>
          </w:p>
          <w:p>
            <w:pPr>
              <w:adjustRightInd w:val="0"/>
              <w:snapToGrid w:val="0"/>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V：工作孔空气的吸入速度，m/s，本项目取1</w:t>
            </w:r>
            <w:r>
              <w:rPr>
                <w:rFonts w:hint="eastAsia" w:cs="Times New Roman"/>
                <w:bCs/>
                <w:color w:val="auto"/>
                <w:sz w:val="24"/>
                <w:lang w:val="en-US" w:eastAsia="zh-CN"/>
              </w:rPr>
              <w:t>0</w:t>
            </w:r>
            <w:r>
              <w:rPr>
                <w:rFonts w:hint="default" w:ascii="Times New Roman" w:hAnsi="Times New Roman" w:cs="Times New Roman"/>
                <w:bCs/>
                <w:color w:val="auto"/>
                <w:sz w:val="24"/>
              </w:rPr>
              <w:t>m/s（风速一般取8-12m/s）；</w:t>
            </w:r>
          </w:p>
          <w:p>
            <w:pPr>
              <w:adjustRightInd w:val="0"/>
              <w:snapToGrid w:val="0"/>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β：安全系数。一般取1.05。</w:t>
            </w:r>
          </w:p>
          <w:p>
            <w:pPr>
              <w:adjustRightInd w:val="0"/>
              <w:snapToGrid w:val="0"/>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根据上表可知，本项目</w:t>
            </w:r>
            <w:r>
              <w:rPr>
                <w:rFonts w:hint="eastAsia" w:cs="Times New Roman"/>
                <w:bCs/>
                <w:color w:val="auto"/>
                <w:sz w:val="24"/>
                <w:lang w:val="en-US" w:eastAsia="zh-CN"/>
              </w:rPr>
              <w:t>1</w:t>
            </w:r>
            <w:r>
              <w:rPr>
                <w:rFonts w:hint="default" w:ascii="Times New Roman" w:hAnsi="Times New Roman" w:cs="Times New Roman"/>
                <w:bCs/>
                <w:color w:val="auto"/>
                <w:sz w:val="24"/>
              </w:rPr>
              <w:t>#脉冲布袋除尘器</w:t>
            </w:r>
            <w:r>
              <w:rPr>
                <w:rFonts w:hint="eastAsia" w:cs="Times New Roman"/>
                <w:bCs/>
                <w:color w:val="auto"/>
                <w:sz w:val="24"/>
                <w:lang w:val="en-US" w:eastAsia="zh-CN"/>
              </w:rPr>
              <w:t>30</w:t>
            </w:r>
            <w:r>
              <w:rPr>
                <w:rFonts w:hint="default" w:ascii="Times New Roman" w:hAnsi="Times New Roman" w:cs="Times New Roman"/>
                <w:bCs/>
                <w:color w:val="auto"/>
                <w:sz w:val="24"/>
              </w:rPr>
              <w:t>000m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/h可满足使用。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w:t>
            </w:r>
            <w:r>
              <w:rPr>
                <w:rFonts w:hint="eastAsia" w:ascii="Times New Roman" w:hAnsi="Times New Roman" w:cs="Times New Roman"/>
                <w:b/>
                <w:bCs/>
                <w:color w:val="auto"/>
                <w:sz w:val="24"/>
                <w:lang w:val="en-US" w:eastAsia="zh-CN"/>
              </w:rPr>
              <w:t>2</w:t>
            </w:r>
            <w:r>
              <w:rPr>
                <w:rFonts w:hint="default" w:ascii="Times New Roman" w:hAnsi="Times New Roman" w:cs="Times New Roman"/>
                <w:b/>
                <w:bCs/>
                <w:color w:val="auto"/>
                <w:sz w:val="24"/>
                <w:lang w:val="en-US" w:eastAsia="zh-CN"/>
              </w:rPr>
              <w:t>）</w:t>
            </w:r>
            <w:r>
              <w:rPr>
                <w:rFonts w:hint="eastAsia" w:ascii="Times New Roman" w:hAnsi="Times New Roman" w:cs="Times New Roman"/>
                <w:b/>
                <w:bCs/>
                <w:color w:val="auto"/>
                <w:sz w:val="24"/>
                <w:lang w:val="en-US" w:eastAsia="zh-CN"/>
              </w:rPr>
              <w:t>碳化机</w:t>
            </w:r>
            <w:r>
              <w:rPr>
                <w:rFonts w:hint="default" w:ascii="Times New Roman" w:hAnsi="Times New Roman" w:cs="Times New Roman"/>
                <w:b/>
                <w:bCs/>
                <w:color w:val="auto"/>
                <w:sz w:val="24"/>
                <w:lang w:val="en-US" w:eastAsia="zh-CN"/>
              </w:rPr>
              <w:t>产生的颗粒物、臭气浓度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《排放源统计调查产排污核算方法和系数手册》中未给出相关产排污系数，故采取类比法。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本项目设置2台</w:t>
            </w:r>
            <w:r>
              <w:rPr>
                <w:rFonts w:hint="eastAsia" w:cs="Times New Roman"/>
                <w:color w:val="auto"/>
                <w:sz w:val="24"/>
                <w:lang w:val="en-US" w:eastAsia="zh-CN"/>
              </w:rPr>
              <w:t>碳化机</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碳化机</w:t>
            </w:r>
            <w:r>
              <w:rPr>
                <w:rFonts w:hint="default" w:ascii="Times New Roman" w:hAnsi="Times New Roman" w:eastAsia="宋体" w:cs="Times New Roman"/>
                <w:color w:val="auto"/>
                <w:sz w:val="24"/>
                <w:lang w:val="en-US" w:eastAsia="zh-CN"/>
              </w:rPr>
              <w:t>废气经</w:t>
            </w:r>
            <w:r>
              <w:rPr>
                <w:rFonts w:hint="default" w:ascii="Times New Roman" w:hAnsi="Times New Roman" w:cs="Times New Roman"/>
                <w:color w:val="auto"/>
                <w:sz w:val="24"/>
                <w:lang w:val="en-US" w:eastAsia="zh-CN"/>
              </w:rPr>
              <w:t>烟</w:t>
            </w:r>
            <w:r>
              <w:rPr>
                <w:rFonts w:hint="default" w:ascii="Times New Roman" w:hAnsi="Times New Roman" w:eastAsia="宋体" w:cs="Times New Roman"/>
                <w:color w:val="auto"/>
                <w:sz w:val="24"/>
                <w:lang w:val="en-US" w:eastAsia="zh-CN"/>
              </w:rPr>
              <w:t>道收集引入</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#旋风除尘+水浴除尘+</w:t>
            </w:r>
            <w:r>
              <w:rPr>
                <w:rFonts w:hint="eastAsia" w:cs="Times New Roman"/>
                <w:color w:val="auto"/>
                <w:sz w:val="24"/>
                <w:lang w:val="en-US" w:eastAsia="zh-CN"/>
              </w:rPr>
              <w:t>湿式静电除尘</w:t>
            </w:r>
            <w:r>
              <w:rPr>
                <w:rFonts w:hint="default" w:ascii="Times New Roman" w:hAnsi="Times New Roman" w:eastAsia="宋体" w:cs="Times New Roman"/>
                <w:color w:val="auto"/>
                <w:sz w:val="24"/>
                <w:lang w:val="en-US" w:eastAsia="zh-CN"/>
              </w:rPr>
              <w:t>装置处理（风量为10000m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/h</w:t>
            </w:r>
            <w:r>
              <w:rPr>
                <w:rFonts w:hint="default" w:ascii="Times New Roman" w:hAnsi="Times New Roman" w:cs="Times New Roman"/>
                <w:color w:val="auto"/>
                <w:sz w:val="24"/>
                <w:lang w:val="en-US" w:eastAsia="zh-CN"/>
              </w:rPr>
              <w:t>，除尘效率99%</w:t>
            </w:r>
            <w:r>
              <w:rPr>
                <w:rFonts w:hint="default" w:ascii="Times New Roman" w:hAnsi="Times New Roman" w:eastAsia="宋体" w:cs="Times New Roman"/>
                <w:color w:val="auto"/>
                <w:sz w:val="24"/>
                <w:lang w:val="en-US" w:eastAsia="zh-CN"/>
              </w:rPr>
              <w:t>）后经15m高排气筒【DA00</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cs="Times New Roman"/>
                <w:color w:val="auto"/>
                <w:kern w:val="0"/>
                <w:sz w:val="24"/>
                <w:lang w:val="en-US" w:eastAsia="zh-CN"/>
              </w:rPr>
            </w:pPr>
            <w:r>
              <w:rPr>
                <w:rFonts w:hint="default" w:ascii="Times New Roman" w:hAnsi="Times New Roman" w:cs="Times New Roman"/>
                <w:color w:val="auto"/>
                <w:sz w:val="24"/>
                <w:lang w:val="en-US" w:eastAsia="zh-CN"/>
              </w:rPr>
              <w:t>类比</w:t>
            </w:r>
            <w:r>
              <w:rPr>
                <w:rFonts w:hint="eastAsia" w:ascii="Times New Roman" w:hAnsi="Times New Roman" w:cs="Times New Roman"/>
                <w:color w:val="auto"/>
                <w:sz w:val="24"/>
                <w:lang w:val="en-US" w:eastAsia="zh-CN"/>
              </w:rPr>
              <w:t>唐山市开平云鹏陶瓷材料有限</w:t>
            </w:r>
            <w:r>
              <w:rPr>
                <w:rFonts w:hint="eastAsia" w:ascii="Times New Roman" w:hAnsi="Times New Roman" w:eastAsia="宋体" w:cs="Times New Roman"/>
                <w:color w:val="auto"/>
                <w:sz w:val="24"/>
                <w:lang w:val="en-US" w:eastAsia="zh-CN"/>
              </w:rPr>
              <w:t>公司骨碳生产线扩建项目验收监测报告（见附件）</w:t>
            </w:r>
            <w:r>
              <w:rPr>
                <w:rFonts w:hint="default" w:ascii="Times New Roman" w:hAnsi="Times New Roman" w:eastAsia="宋体" w:cs="Times New Roman"/>
                <w:color w:val="auto"/>
                <w:sz w:val="24"/>
                <w:lang w:val="en-US" w:eastAsia="zh-CN"/>
              </w:rPr>
              <w:t>，</w:t>
            </w:r>
            <w:r>
              <w:rPr>
                <w:rFonts w:hint="eastAsia" w:cs="Times New Roman"/>
                <w:color w:val="auto"/>
                <w:sz w:val="24"/>
                <w:szCs w:val="24"/>
                <w:highlight w:val="none"/>
                <w:lang w:val="en-US" w:eastAsia="zh-CN"/>
              </w:rPr>
              <w:t>碳化机</w:t>
            </w:r>
            <w:r>
              <w:rPr>
                <w:rFonts w:hint="default" w:ascii="Times New Roman" w:hAnsi="Times New Roman" w:eastAsia="宋体" w:cs="Times New Roman"/>
                <w:b w:val="0"/>
                <w:bCs w:val="0"/>
                <w:color w:val="auto"/>
                <w:sz w:val="24"/>
                <w:szCs w:val="24"/>
                <w:highlight w:val="none"/>
                <w:lang w:val="en-US" w:eastAsia="zh-CN"/>
              </w:rPr>
              <w:t>排放的颗粒物</w:t>
            </w:r>
            <w:r>
              <w:rPr>
                <w:rFonts w:hint="default" w:ascii="Times New Roman" w:hAnsi="Times New Roman" w:cs="Times New Roman"/>
                <w:b w:val="0"/>
                <w:bCs w:val="0"/>
                <w:color w:val="auto"/>
                <w:sz w:val="24"/>
                <w:szCs w:val="24"/>
                <w:highlight w:val="none"/>
                <w:lang w:val="en-US" w:eastAsia="zh-CN"/>
              </w:rPr>
              <w:t>最大</w:t>
            </w:r>
            <w:r>
              <w:rPr>
                <w:rFonts w:hint="default" w:ascii="Times New Roman" w:hAnsi="Times New Roman" w:eastAsia="宋体" w:cs="Times New Roman"/>
                <w:b w:val="0"/>
                <w:bCs w:val="0"/>
                <w:color w:val="auto"/>
                <w:sz w:val="24"/>
                <w:szCs w:val="24"/>
                <w:highlight w:val="none"/>
                <w:lang w:val="en-US" w:eastAsia="zh-CN"/>
              </w:rPr>
              <w:t>浓度为</w:t>
            </w:r>
            <w:r>
              <w:rPr>
                <w:rFonts w:hint="eastAsia" w:cs="Times New Roman"/>
                <w:b w:val="0"/>
                <w:bCs w:val="0"/>
                <w:color w:val="auto"/>
                <w:sz w:val="24"/>
                <w:szCs w:val="24"/>
                <w:highlight w:val="none"/>
                <w:lang w:val="en-US" w:eastAsia="zh-CN"/>
              </w:rPr>
              <w:t>3.5</w:t>
            </w:r>
            <w:r>
              <w:rPr>
                <w:rFonts w:hint="default" w:ascii="Times New Roman" w:hAnsi="Times New Roman" w:eastAsia="宋体" w:cs="Times New Roman"/>
                <w:color w:val="auto"/>
                <w:kern w:val="0"/>
                <w:sz w:val="24"/>
                <w:lang w:eastAsia="zh-CN"/>
              </w:rPr>
              <w:t>mg/m</w:t>
            </w:r>
            <w:r>
              <w:rPr>
                <w:rFonts w:hint="default" w:ascii="Times New Roman" w:hAnsi="Times New Roman" w:eastAsia="宋体" w:cs="Times New Roman"/>
                <w:color w:val="auto"/>
                <w:kern w:val="0"/>
                <w:sz w:val="24"/>
                <w:vertAlign w:val="superscript"/>
                <w:lang w:eastAsia="zh-CN"/>
              </w:rPr>
              <w:t>3</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szCs w:val="24"/>
                <w:highlight w:val="none"/>
                <w:vertAlign w:val="baseline"/>
                <w:lang w:val="en-US" w:eastAsia="zh-CN"/>
              </w:rPr>
              <w:t>排放速率</w:t>
            </w:r>
            <w:r>
              <w:rPr>
                <w:rFonts w:hint="eastAsia" w:cs="Times New Roman"/>
                <w:color w:val="auto"/>
                <w:sz w:val="24"/>
                <w:szCs w:val="24"/>
                <w:highlight w:val="none"/>
                <w:vertAlign w:val="baseline"/>
                <w:lang w:val="en-US" w:eastAsia="zh-CN"/>
              </w:rPr>
              <w:t>为0.035</w:t>
            </w:r>
            <w:r>
              <w:rPr>
                <w:rFonts w:hint="eastAsia" w:ascii="Times New Roman" w:hAnsi="Times New Roman" w:cs="Times New Roman"/>
                <w:color w:val="auto"/>
                <w:sz w:val="24"/>
                <w:szCs w:val="24"/>
                <w:highlight w:val="none"/>
                <w:vertAlign w:val="baseline"/>
                <w:lang w:val="en-US" w:eastAsia="zh-CN"/>
              </w:rPr>
              <w:t>kg/h</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lang w:val="en-US" w:eastAsia="zh-CN"/>
              </w:rPr>
              <w:t>满足</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eastAsia="宋体" w:cs="Times New Roman"/>
                <w:color w:val="auto"/>
                <w:kern w:val="0"/>
                <w:sz w:val="24"/>
                <w:lang w:eastAsia="zh-CN"/>
              </w:rPr>
              <w:t>。</w:t>
            </w:r>
            <w:r>
              <w:rPr>
                <w:rFonts w:hint="eastAsia" w:cs="Times New Roman"/>
                <w:color w:val="auto"/>
                <w:kern w:val="0"/>
                <w:sz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类比</w:t>
            </w:r>
            <w:r>
              <w:rPr>
                <w:rFonts w:hint="eastAsia" w:ascii="Times New Roman" w:hAnsi="Times New Roman" w:cs="Times New Roman"/>
                <w:color w:val="auto"/>
                <w:sz w:val="24"/>
                <w:lang w:val="en-US" w:eastAsia="zh-CN"/>
              </w:rPr>
              <w:t>唐山市开平云鹏陶瓷材料有限</w:t>
            </w:r>
            <w:r>
              <w:rPr>
                <w:rFonts w:hint="eastAsia" w:ascii="Times New Roman" w:hAnsi="Times New Roman" w:eastAsia="宋体" w:cs="Times New Roman"/>
                <w:color w:val="auto"/>
                <w:sz w:val="24"/>
                <w:lang w:val="en-US" w:eastAsia="zh-CN"/>
              </w:rPr>
              <w:t>公司骨碳生产线扩建项目验收监测报告（见附件）</w:t>
            </w:r>
            <w:r>
              <w:rPr>
                <w:rFonts w:hint="default" w:ascii="Times New Roman" w:hAnsi="Times New Roman" w:eastAsia="宋体" w:cs="Times New Roman"/>
                <w:color w:val="auto"/>
                <w:sz w:val="24"/>
                <w:lang w:val="en-US" w:eastAsia="zh-CN"/>
              </w:rPr>
              <w:t>，排放</w:t>
            </w:r>
            <w:r>
              <w:rPr>
                <w:rFonts w:hint="default" w:ascii="Times New Roman" w:hAnsi="Times New Roman" w:cs="Times New Roman"/>
                <w:color w:val="auto"/>
                <w:kern w:val="0"/>
                <w:sz w:val="24"/>
                <w:lang w:eastAsia="zh-CN"/>
              </w:rPr>
              <w:t>的臭气浓度为</w:t>
            </w:r>
            <w:r>
              <w:rPr>
                <w:rFonts w:hint="eastAsia" w:cs="Times New Roman"/>
                <w:color w:val="auto"/>
                <w:kern w:val="0"/>
                <w:sz w:val="24"/>
                <w:lang w:val="en-US" w:eastAsia="zh-CN"/>
              </w:rPr>
              <w:t>1737</w:t>
            </w:r>
            <w:r>
              <w:rPr>
                <w:rFonts w:hint="default" w:ascii="Times New Roman" w:hAnsi="Times New Roman" w:cs="Times New Roman"/>
                <w:color w:val="auto"/>
                <w:kern w:val="0"/>
                <w:sz w:val="24"/>
                <w:lang w:val="en-US" w:eastAsia="zh-CN"/>
              </w:rPr>
              <w:t>无量纲，</w:t>
            </w:r>
            <w:r>
              <w:rPr>
                <w:rFonts w:hint="default" w:ascii="Times New Roman" w:hAnsi="Times New Roman" w:cs="Times New Roman"/>
                <w:color w:val="auto"/>
                <w:kern w:val="0"/>
                <w:sz w:val="24"/>
                <w:lang w:eastAsia="zh-CN"/>
              </w:rPr>
              <w:t>满足</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sz w:val="24"/>
                <w:lang w:eastAsia="zh-CN"/>
              </w:rPr>
              <w:t>恶臭污染物排放标准</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G</w:t>
            </w:r>
            <w:r>
              <w:rPr>
                <w:rFonts w:hint="default" w:ascii="Times New Roman" w:hAnsi="Times New Roman" w:eastAsia="宋体" w:cs="Times New Roman"/>
                <w:color w:val="auto"/>
                <w:sz w:val="24"/>
              </w:rPr>
              <w:t>B</w:t>
            </w:r>
            <w:r>
              <w:rPr>
                <w:rFonts w:hint="default" w:ascii="Times New Roman" w:hAnsi="Times New Roman" w:cs="Times New Roman"/>
                <w:color w:val="auto"/>
                <w:sz w:val="24"/>
                <w:lang w:val="en-US" w:eastAsia="zh-CN"/>
              </w:rPr>
              <w:t>14554</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93</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eastAsia="zh-CN"/>
              </w:rPr>
              <w:t>有</w:t>
            </w:r>
            <w:r>
              <w:rPr>
                <w:rFonts w:hint="default" w:ascii="Times New Roman" w:hAnsi="Times New Roman" w:eastAsia="宋体" w:cs="Times New Roman"/>
                <w:color w:val="auto"/>
                <w:sz w:val="24"/>
                <w:lang w:eastAsia="zh-CN"/>
              </w:rPr>
              <w:t>组织</w:t>
            </w:r>
            <w:r>
              <w:rPr>
                <w:rFonts w:hint="default" w:ascii="Times New Roman" w:hAnsi="Times New Roman" w:cs="Times New Roman"/>
                <w:color w:val="auto"/>
                <w:sz w:val="24"/>
                <w:lang w:eastAsia="zh-CN"/>
              </w:rPr>
              <w:t>臭气浓度</w:t>
            </w:r>
            <w:r>
              <w:rPr>
                <w:rFonts w:hint="default" w:ascii="Times New Roman" w:hAnsi="Times New Roman" w:cs="Times New Roman"/>
                <w:color w:val="auto"/>
                <w:sz w:val="24"/>
                <w:lang w:val="en-US" w:eastAsia="zh-CN"/>
              </w:rPr>
              <w:t>2000</w:t>
            </w:r>
            <w:r>
              <w:rPr>
                <w:rFonts w:hint="default" w:ascii="Times New Roman" w:hAnsi="Times New Roman" w:cs="Times New Roman"/>
                <w:color w:val="auto"/>
                <w:kern w:val="0"/>
                <w:sz w:val="24"/>
                <w:lang w:val="en-US" w:eastAsia="zh-CN" w:bidi="ar"/>
              </w:rPr>
              <w:t>无量纲</w:t>
            </w:r>
            <w:r>
              <w:rPr>
                <w:rFonts w:hint="default" w:ascii="Times New Roman" w:hAnsi="Times New Roman" w:eastAsia="宋体" w:cs="Times New Roman"/>
                <w:color w:val="auto"/>
                <w:sz w:val="24"/>
                <w:lang w:val="en-US" w:eastAsia="zh-CN"/>
              </w:rPr>
              <w:t>要求</w:t>
            </w:r>
            <w:r>
              <w:rPr>
                <w:rFonts w:hint="default" w:ascii="Times New Roman" w:hAnsi="Times New Roman" w:cs="Times New Roman"/>
                <w:color w:val="auto"/>
                <w:sz w:val="24"/>
                <w:lang w:val="en-US" w:eastAsia="zh-CN"/>
              </w:rPr>
              <w:t>。</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p>
          <w:p>
            <w:pPr>
              <w:pStyle w:val="2"/>
              <w:rPr>
                <w:rFonts w:hint="default"/>
                <w:color w:val="auto"/>
                <w:lang w:val="en-US" w:eastAsia="zh-CN"/>
              </w:rPr>
            </w:pP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24</w:t>
            </w:r>
            <w:r>
              <w:rPr>
                <w:rFonts w:hint="default" w:ascii="Times New Roman" w:hAnsi="Times New Roman" w:eastAsia="宋体" w:cs="Times New Roman"/>
                <w:b/>
                <w:bCs/>
                <w:color w:val="auto"/>
                <w:kern w:val="2"/>
                <w:sz w:val="24"/>
                <w:szCs w:val="24"/>
                <w:highlight w:val="none"/>
                <w:lang w:val="en-US" w:eastAsia="zh-CN" w:bidi="ar-SA"/>
              </w:rPr>
              <w:t xml:space="preserve">     项目DA00</w:t>
            </w:r>
            <w:r>
              <w:rPr>
                <w:rFonts w:hint="eastAsia"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排放口基本情况一览表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94"/>
              <w:gridCol w:w="689"/>
              <w:gridCol w:w="793"/>
              <w:gridCol w:w="733"/>
              <w:gridCol w:w="785"/>
              <w:gridCol w:w="655"/>
              <w:gridCol w:w="851"/>
              <w:gridCol w:w="679"/>
              <w:gridCol w:w="889"/>
              <w:gridCol w:w="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3" w:type="pct"/>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排放口名称</w:t>
                  </w:r>
                </w:p>
              </w:tc>
              <w:tc>
                <w:tcPr>
                  <w:tcW w:w="423" w:type="pct"/>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编号</w:t>
                  </w:r>
                </w:p>
              </w:tc>
              <w:tc>
                <w:tcPr>
                  <w:tcW w:w="937" w:type="pct"/>
                  <w:gridSpan w:val="2"/>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排气筒底部中心坐标</w:t>
                  </w:r>
                </w:p>
              </w:tc>
              <w:tc>
                <w:tcPr>
                  <w:tcW w:w="48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污染物名称</w:t>
                  </w:r>
                </w:p>
              </w:tc>
              <w:tc>
                <w:tcPr>
                  <w:tcW w:w="40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高度（m）</w:t>
                  </w:r>
                </w:p>
              </w:tc>
              <w:tc>
                <w:tcPr>
                  <w:tcW w:w="523"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排气筒内径（m）</w:t>
                  </w:r>
                </w:p>
              </w:tc>
              <w:tc>
                <w:tcPr>
                  <w:tcW w:w="417"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温度(℃)</w:t>
                  </w:r>
                </w:p>
              </w:tc>
              <w:tc>
                <w:tcPr>
                  <w:tcW w:w="546"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类型</w:t>
                  </w:r>
                </w:p>
              </w:tc>
              <w:tc>
                <w:tcPr>
                  <w:tcW w:w="532" w:type="pct"/>
                  <w:noWrap w:val="0"/>
                  <w:vAlign w:val="center"/>
                </w:tcPr>
                <w:p>
                  <w:pPr>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733" w:type="pct"/>
                  <w:vMerge w:val="restart"/>
                  <w:noWrap w:val="0"/>
                  <w:vAlign w:val="center"/>
                </w:tcPr>
                <w:p>
                  <w:pPr>
                    <w:spacing w:line="300" w:lineRule="exact"/>
                    <w:jc w:val="center"/>
                    <w:rPr>
                      <w:rFonts w:hint="default" w:ascii="Times New Roman" w:hAnsi="Times New Roman" w:cs="Times New Roman"/>
                      <w:color w:val="auto"/>
                      <w:szCs w:val="21"/>
                    </w:rPr>
                  </w:pPr>
                  <w:r>
                    <w:rPr>
                      <w:rFonts w:hint="eastAsia" w:cs="Times New Roman"/>
                      <w:bCs/>
                      <w:color w:val="auto"/>
                      <w:szCs w:val="21"/>
                      <w:lang w:val="en-US" w:eastAsia="zh-CN"/>
                    </w:rPr>
                    <w:t>碳化</w:t>
                  </w:r>
                  <w:r>
                    <w:rPr>
                      <w:rFonts w:hint="default" w:ascii="Times New Roman" w:hAnsi="Times New Roman" w:cs="Times New Roman"/>
                      <w:bCs/>
                      <w:color w:val="auto"/>
                      <w:szCs w:val="21"/>
                      <w:lang w:val="en-US" w:eastAsia="zh-CN"/>
                    </w:rPr>
                    <w:t>工序</w:t>
                  </w:r>
                  <w:r>
                    <w:rPr>
                      <w:rFonts w:hint="default" w:ascii="Times New Roman" w:hAnsi="Times New Roman" w:cs="Times New Roman"/>
                      <w:color w:val="auto"/>
                      <w:kern w:val="2"/>
                      <w:szCs w:val="21"/>
                      <w:lang w:val="en-US" w:eastAsia="zh-CN"/>
                    </w:rPr>
                    <w:t>排气筒</w:t>
                  </w:r>
                </w:p>
              </w:tc>
              <w:tc>
                <w:tcPr>
                  <w:tcW w:w="423" w:type="pct"/>
                  <w:vMerge w:val="restart"/>
                  <w:noWrap w:val="0"/>
                  <w:vAlign w:val="center"/>
                </w:tcPr>
                <w:p>
                  <w:pPr>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DA00</w:t>
                  </w:r>
                  <w:r>
                    <w:rPr>
                      <w:rFonts w:hint="eastAsia" w:cs="Times New Roman"/>
                      <w:color w:val="auto"/>
                      <w:szCs w:val="21"/>
                      <w:lang w:val="en-US" w:eastAsia="zh-CN"/>
                    </w:rPr>
                    <w:t>3</w:t>
                  </w:r>
                </w:p>
              </w:tc>
              <w:tc>
                <w:tcPr>
                  <w:tcW w:w="793" w:type="dxa"/>
                  <w:vMerge w:val="restart"/>
                  <w:noWrap w:val="0"/>
                  <w:vAlign w:val="center"/>
                </w:tcPr>
                <w:p>
                  <w:pPr>
                    <w:spacing w:line="30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E</w:t>
                  </w:r>
                  <w:r>
                    <w:rPr>
                      <w:rFonts w:hint="default" w:ascii="Times New Roman" w:hAnsi="Times New Roman" w:cs="Times New Roman"/>
                      <w:color w:val="auto"/>
                      <w:szCs w:val="21"/>
                    </w:rPr>
                    <w:t>118</w:t>
                  </w:r>
                  <w:r>
                    <w:rPr>
                      <w:rFonts w:hint="eastAsia" w:cs="Times New Roman"/>
                      <w:color w:val="auto"/>
                      <w:szCs w:val="21"/>
                      <w:lang w:val="en-US" w:eastAsia="zh-CN"/>
                    </w:rPr>
                    <w:t>.229615</w:t>
                  </w:r>
                  <w:r>
                    <w:rPr>
                      <w:rFonts w:hint="default" w:ascii="Times New Roman" w:hAnsi="Times New Roman" w:cs="Times New Roman"/>
                      <w:color w:val="auto"/>
                      <w:szCs w:val="21"/>
                    </w:rPr>
                    <w:t>°</w:t>
                  </w:r>
                </w:p>
              </w:tc>
              <w:tc>
                <w:tcPr>
                  <w:tcW w:w="733" w:type="dxa"/>
                  <w:vMerge w:val="restart"/>
                  <w:noWrap w:val="0"/>
                  <w:vAlign w:val="center"/>
                </w:tcPr>
                <w:p>
                  <w:pPr>
                    <w:spacing w:line="30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N</w:t>
                  </w:r>
                  <w:r>
                    <w:rPr>
                      <w:rFonts w:hint="default" w:ascii="Times New Roman" w:hAnsi="Times New Roman" w:cs="Times New Roman"/>
                      <w:color w:val="auto"/>
                      <w:szCs w:val="21"/>
                    </w:rPr>
                    <w:t>39</w:t>
                  </w:r>
                  <w:r>
                    <w:rPr>
                      <w:rFonts w:hint="eastAsia" w:cs="Times New Roman"/>
                      <w:color w:val="auto"/>
                      <w:szCs w:val="21"/>
                      <w:lang w:val="en-US" w:eastAsia="zh-CN"/>
                    </w:rPr>
                    <w:t>.741623</w:t>
                  </w:r>
                  <w:r>
                    <w:rPr>
                      <w:rFonts w:hint="default" w:ascii="Times New Roman" w:hAnsi="Times New Roman" w:cs="Times New Roman"/>
                      <w:color w:val="auto"/>
                      <w:szCs w:val="21"/>
                    </w:rPr>
                    <w:t>°</w:t>
                  </w:r>
                </w:p>
              </w:tc>
              <w:tc>
                <w:tcPr>
                  <w:tcW w:w="482" w:type="pct"/>
                  <w:noWrap w:val="0"/>
                  <w:vAlign w:val="center"/>
                </w:tcPr>
                <w:p>
                  <w:pPr>
                    <w:spacing w:line="30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颗粒物</w:t>
                  </w:r>
                </w:p>
              </w:tc>
              <w:tc>
                <w:tcPr>
                  <w:tcW w:w="402" w:type="pct"/>
                  <w:vMerge w:val="restar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523" w:type="pct"/>
                  <w:vMerge w:val="restart"/>
                  <w:noWrap w:val="0"/>
                  <w:vAlign w:val="center"/>
                </w:tcPr>
                <w:p>
                  <w:pPr>
                    <w:spacing w:line="30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0.5</w:t>
                  </w:r>
                </w:p>
              </w:tc>
              <w:tc>
                <w:tcPr>
                  <w:tcW w:w="417" w:type="pct"/>
                  <w:vMerge w:val="restart"/>
                  <w:noWrap w:val="0"/>
                  <w:vAlign w:val="center"/>
                </w:tcPr>
                <w:p>
                  <w:pPr>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60</w:t>
                  </w:r>
                </w:p>
              </w:tc>
              <w:tc>
                <w:tcPr>
                  <w:tcW w:w="546" w:type="pct"/>
                  <w:vMerge w:val="restar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532" w:type="pct"/>
                  <w:noWrap w:val="0"/>
                  <w:vAlign w:val="center"/>
                </w:tcPr>
                <w:p>
                  <w:pPr>
                    <w:spacing w:line="300" w:lineRule="exact"/>
                    <w:jc w:val="center"/>
                    <w:rPr>
                      <w:rFonts w:hint="default" w:ascii="Times New Roman" w:hAnsi="Times New Roman" w:cs="Times New Roman"/>
                      <w:color w:val="auto"/>
                      <w:szCs w:val="21"/>
                      <w:lang w:val="en-US"/>
                    </w:rPr>
                  </w:pPr>
                  <w:r>
                    <w:rPr>
                      <w:rFonts w:hint="default" w:ascii="Times New Roman" w:hAnsi="Times New Roman" w:cs="Times New Roman"/>
                      <w:bCs/>
                      <w:color w:val="auto"/>
                      <w:szCs w:val="21"/>
                      <w:lang w:val="en-US" w:eastAsia="zh-CN"/>
                    </w:rPr>
                    <w:t>0.0</w:t>
                  </w:r>
                  <w:r>
                    <w:rPr>
                      <w:rFonts w:hint="eastAsia" w:cs="Times New Roman"/>
                      <w:bCs/>
                      <w:color w:val="auto"/>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733" w:type="pct"/>
                  <w:vMerge w:val="continue"/>
                  <w:noWrap w:val="0"/>
                  <w:vAlign w:val="center"/>
                </w:tcPr>
                <w:p>
                  <w:pPr>
                    <w:spacing w:line="300" w:lineRule="exact"/>
                    <w:jc w:val="center"/>
                    <w:rPr>
                      <w:rFonts w:hint="default" w:ascii="Times New Roman" w:hAnsi="Times New Roman" w:cs="Times New Roman"/>
                      <w:color w:val="auto"/>
                      <w:szCs w:val="21"/>
                    </w:rPr>
                  </w:pPr>
                </w:p>
              </w:tc>
              <w:tc>
                <w:tcPr>
                  <w:tcW w:w="423" w:type="pct"/>
                  <w:vMerge w:val="continue"/>
                  <w:noWrap w:val="0"/>
                  <w:vAlign w:val="center"/>
                </w:tcPr>
                <w:p>
                  <w:pPr>
                    <w:spacing w:line="300" w:lineRule="exact"/>
                    <w:jc w:val="center"/>
                    <w:rPr>
                      <w:rFonts w:hint="default" w:ascii="Times New Roman" w:hAnsi="Times New Roman" w:cs="Times New Roman"/>
                      <w:color w:val="auto"/>
                      <w:szCs w:val="21"/>
                    </w:rPr>
                  </w:pPr>
                </w:p>
              </w:tc>
              <w:tc>
                <w:tcPr>
                  <w:tcW w:w="487" w:type="pct"/>
                  <w:vMerge w:val="continue"/>
                  <w:noWrap w:val="0"/>
                  <w:vAlign w:val="center"/>
                </w:tcPr>
                <w:p>
                  <w:pPr>
                    <w:spacing w:line="300" w:lineRule="exact"/>
                    <w:jc w:val="center"/>
                    <w:rPr>
                      <w:rFonts w:hint="default" w:ascii="Times New Roman" w:hAnsi="Times New Roman" w:cs="Times New Roman"/>
                      <w:color w:val="auto"/>
                      <w:szCs w:val="21"/>
                    </w:rPr>
                  </w:pPr>
                </w:p>
              </w:tc>
              <w:tc>
                <w:tcPr>
                  <w:tcW w:w="450" w:type="pct"/>
                  <w:vMerge w:val="continue"/>
                  <w:noWrap w:val="0"/>
                  <w:vAlign w:val="center"/>
                </w:tcPr>
                <w:p>
                  <w:pPr>
                    <w:spacing w:line="300" w:lineRule="exact"/>
                    <w:jc w:val="center"/>
                    <w:rPr>
                      <w:rFonts w:hint="default" w:ascii="Times New Roman" w:hAnsi="Times New Roman" w:cs="Times New Roman"/>
                      <w:color w:val="auto"/>
                      <w:szCs w:val="21"/>
                    </w:rPr>
                  </w:pPr>
                </w:p>
              </w:tc>
              <w:tc>
                <w:tcPr>
                  <w:tcW w:w="482" w:type="pct"/>
                  <w:noWrap w:val="0"/>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臭气浓度</w:t>
                  </w:r>
                </w:p>
              </w:tc>
              <w:tc>
                <w:tcPr>
                  <w:tcW w:w="402" w:type="pct"/>
                  <w:vMerge w:val="continue"/>
                  <w:noWrap w:val="0"/>
                  <w:vAlign w:val="center"/>
                </w:tcPr>
                <w:p>
                  <w:pPr>
                    <w:spacing w:line="300" w:lineRule="exact"/>
                    <w:jc w:val="center"/>
                    <w:rPr>
                      <w:rFonts w:hint="default" w:ascii="Times New Roman" w:hAnsi="Times New Roman" w:cs="Times New Roman"/>
                      <w:color w:val="auto"/>
                      <w:szCs w:val="21"/>
                    </w:rPr>
                  </w:pPr>
                </w:p>
              </w:tc>
              <w:tc>
                <w:tcPr>
                  <w:tcW w:w="523" w:type="pct"/>
                  <w:vMerge w:val="continue"/>
                  <w:noWrap w:val="0"/>
                  <w:vAlign w:val="center"/>
                </w:tcPr>
                <w:p>
                  <w:pPr>
                    <w:spacing w:line="300" w:lineRule="exact"/>
                    <w:jc w:val="center"/>
                    <w:rPr>
                      <w:rFonts w:hint="default" w:ascii="Times New Roman" w:hAnsi="Times New Roman" w:cs="Times New Roman"/>
                      <w:color w:val="auto"/>
                      <w:szCs w:val="21"/>
                    </w:rPr>
                  </w:pPr>
                </w:p>
              </w:tc>
              <w:tc>
                <w:tcPr>
                  <w:tcW w:w="417" w:type="pct"/>
                  <w:vMerge w:val="continue"/>
                  <w:noWrap w:val="0"/>
                  <w:vAlign w:val="center"/>
                </w:tcPr>
                <w:p>
                  <w:pPr>
                    <w:spacing w:line="300" w:lineRule="exact"/>
                    <w:jc w:val="center"/>
                    <w:rPr>
                      <w:rFonts w:hint="default" w:ascii="Times New Roman" w:hAnsi="Times New Roman" w:cs="Times New Roman"/>
                      <w:color w:val="auto"/>
                      <w:szCs w:val="21"/>
                    </w:rPr>
                  </w:pPr>
                </w:p>
              </w:tc>
              <w:tc>
                <w:tcPr>
                  <w:tcW w:w="546" w:type="pct"/>
                  <w:vMerge w:val="continue"/>
                  <w:noWrap w:val="0"/>
                  <w:vAlign w:val="center"/>
                </w:tcPr>
                <w:p>
                  <w:pPr>
                    <w:spacing w:line="300" w:lineRule="exact"/>
                    <w:jc w:val="center"/>
                    <w:rPr>
                      <w:rFonts w:hint="default" w:ascii="Times New Roman" w:hAnsi="Times New Roman" w:cs="Times New Roman"/>
                      <w:color w:val="auto"/>
                      <w:szCs w:val="21"/>
                    </w:rPr>
                  </w:pPr>
                </w:p>
              </w:tc>
              <w:tc>
                <w:tcPr>
                  <w:tcW w:w="532" w:type="pct"/>
                  <w:noWrap w:val="0"/>
                  <w:vAlign w:val="center"/>
                </w:tcPr>
                <w:p>
                  <w:pPr>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bl>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zh-CN"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25</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cs="Times New Roman"/>
                <w:b/>
                <w:bCs/>
                <w:color w:val="auto"/>
                <w:kern w:val="2"/>
                <w:sz w:val="24"/>
                <w:szCs w:val="24"/>
                <w:highlight w:val="none"/>
                <w:lang w:val="en-US" w:eastAsia="zh-CN" w:bidi="ar-SA"/>
              </w:rPr>
              <w:t>碳化机</w:t>
            </w:r>
            <w:r>
              <w:rPr>
                <w:rFonts w:hint="default" w:ascii="Times New Roman" w:hAnsi="Times New Roman" w:eastAsia="宋体" w:cs="Times New Roman"/>
                <w:b/>
                <w:bCs/>
                <w:color w:val="auto"/>
                <w:kern w:val="2"/>
                <w:sz w:val="24"/>
                <w:szCs w:val="24"/>
                <w:highlight w:val="none"/>
                <w:lang w:val="en-US" w:eastAsia="zh-CN" w:bidi="ar-SA"/>
              </w:rPr>
              <w:t>有组织废气产生、收集情况</w:t>
            </w:r>
            <w:r>
              <w:rPr>
                <w:rFonts w:hint="default" w:ascii="Times New Roman" w:hAnsi="Times New Roman" w:eastAsia="宋体" w:cs="Times New Roman"/>
                <w:b/>
                <w:bCs/>
                <w:color w:val="auto"/>
                <w:kern w:val="2"/>
                <w:sz w:val="24"/>
                <w:szCs w:val="24"/>
                <w:highlight w:val="none"/>
                <w:lang w:val="zh-CN" w:eastAsia="zh-CN" w:bidi="ar-SA"/>
              </w:rPr>
              <w:t>一览表</w:t>
            </w:r>
          </w:p>
          <w:tbl>
            <w:tblPr>
              <w:tblStyle w:val="20"/>
              <w:tblW w:w="8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74"/>
              <w:gridCol w:w="901"/>
              <w:gridCol w:w="982"/>
              <w:gridCol w:w="1680"/>
              <w:gridCol w:w="968"/>
              <w:gridCol w:w="660"/>
              <w:gridCol w:w="16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404"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工序</w:t>
                  </w:r>
                </w:p>
              </w:tc>
              <w:tc>
                <w:tcPr>
                  <w:tcW w:w="41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排放</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特征</w:t>
                  </w:r>
                </w:p>
              </w:tc>
              <w:tc>
                <w:tcPr>
                  <w:tcW w:w="5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cs="Times New Roman"/>
                      <w:color w:val="auto"/>
                      <w:kern w:val="2"/>
                      <w:szCs w:val="21"/>
                      <w:lang w:eastAsia="zh-CN"/>
                    </w:rPr>
                    <w:t>污染物</w:t>
                  </w:r>
                </w:p>
              </w:tc>
              <w:tc>
                <w:tcPr>
                  <w:tcW w:w="59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颗粒物收集方式</w:t>
                  </w:r>
                </w:p>
              </w:tc>
              <w:tc>
                <w:tcPr>
                  <w:tcW w:w="1024"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cs="Times New Roman"/>
                      <w:color w:val="auto"/>
                      <w:kern w:val="2"/>
                      <w:szCs w:val="21"/>
                      <w:lang w:eastAsia="zh-CN"/>
                    </w:rPr>
                    <w:t>烟道</w:t>
                  </w:r>
                  <w:r>
                    <w:rPr>
                      <w:rFonts w:hint="default" w:ascii="Times New Roman" w:hAnsi="Times New Roman" w:eastAsia="宋体" w:cs="Times New Roman"/>
                      <w:color w:val="auto"/>
                      <w:kern w:val="2"/>
                      <w:szCs w:val="21"/>
                      <w:lang w:eastAsia="zh-CN"/>
                    </w:rPr>
                    <w:t>尺寸</w:t>
                  </w:r>
                  <w:r>
                    <w:rPr>
                      <w:rFonts w:hint="default" w:ascii="Times New Roman" w:hAnsi="Times New Roman" w:eastAsia="宋体" w:cs="Times New Roman"/>
                      <w:color w:val="auto"/>
                      <w:kern w:val="2"/>
                      <w:szCs w:val="21"/>
                      <w:lang w:val="en-US" w:eastAsia="zh-CN"/>
                    </w:rPr>
                    <w:t>/数量/</w:t>
                  </w:r>
                  <w:r>
                    <w:rPr>
                      <w:rFonts w:hint="default" w:ascii="Times New Roman" w:hAnsi="Times New Roman" w:cs="Times New Roman"/>
                      <w:color w:val="auto"/>
                      <w:kern w:val="2"/>
                      <w:szCs w:val="21"/>
                      <w:lang w:val="en-US" w:eastAsia="zh-CN"/>
                    </w:rPr>
                    <w:t>集气风速</w:t>
                  </w:r>
                </w:p>
              </w:tc>
              <w:tc>
                <w:tcPr>
                  <w:tcW w:w="59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废气量</w:t>
                  </w:r>
                </w:p>
              </w:tc>
              <w:tc>
                <w:tcPr>
                  <w:tcW w:w="402"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捕集</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效率</w:t>
                  </w:r>
                </w:p>
              </w:tc>
              <w:tc>
                <w:tcPr>
                  <w:tcW w:w="1017"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废气处理方式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04"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碳化机</w:t>
                  </w:r>
                </w:p>
              </w:tc>
              <w:tc>
                <w:tcPr>
                  <w:tcW w:w="411"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有组织</w:t>
                  </w:r>
                </w:p>
              </w:tc>
              <w:tc>
                <w:tcPr>
                  <w:tcW w:w="54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default" w:ascii="Times New Roman" w:hAnsi="Times New Roman" w:eastAsia="宋体" w:cs="Times New Roman"/>
                      <w:color w:val="auto"/>
                      <w:kern w:val="2"/>
                      <w:szCs w:val="21"/>
                      <w:lang w:val="en-US" w:eastAsia="zh-CN"/>
                    </w:rPr>
                    <w:t>颗粒物、臭气浓度</w:t>
                  </w:r>
                </w:p>
              </w:tc>
              <w:tc>
                <w:tcPr>
                  <w:tcW w:w="599"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val="en-US" w:eastAsia="zh-CN"/>
                    </w:rPr>
                  </w:pPr>
                  <w:r>
                    <w:rPr>
                      <w:rFonts w:hint="eastAsia" w:ascii="Times New Roman" w:cs="Times New Roman"/>
                      <w:color w:val="auto"/>
                      <w:kern w:val="2"/>
                      <w:szCs w:val="21"/>
                      <w:lang w:val="en-US" w:eastAsia="zh-CN"/>
                    </w:rPr>
                    <w:t>碳化机</w:t>
                  </w:r>
                  <w:r>
                    <w:rPr>
                      <w:rFonts w:hint="default" w:ascii="Times New Roman" w:hAnsi="Times New Roman" w:eastAsia="宋体" w:cs="Times New Roman"/>
                      <w:color w:val="auto"/>
                      <w:kern w:val="2"/>
                      <w:szCs w:val="21"/>
                      <w:lang w:val="en-US" w:eastAsia="zh-CN"/>
                    </w:rPr>
                    <w:t>废气经烟道收集</w:t>
                  </w:r>
                </w:p>
              </w:tc>
              <w:tc>
                <w:tcPr>
                  <w:tcW w:w="1024" w:type="pct"/>
                  <w:tcBorders>
                    <w:tl2br w:val="nil"/>
                    <w:tr2bl w:val="nil"/>
                  </w:tcBorders>
                  <w:noWrap w:val="0"/>
                  <w:vAlign w:val="center"/>
                </w:tcPr>
                <w:p>
                  <w:pPr>
                    <w:jc w:val="center"/>
                    <w:rPr>
                      <w:rFonts w:hint="default" w:ascii="Times New Roman" w:hAnsi="Times New Roman" w:cs="Times New Roman"/>
                      <w:color w:val="auto"/>
                      <w:kern w:val="2"/>
                      <w:szCs w:val="21"/>
                      <w:lang w:val="en-US" w:eastAsia="zh-CN"/>
                    </w:rPr>
                  </w:pPr>
                  <w:r>
                    <w:rPr>
                      <w:rFonts w:hint="default" w:ascii="Times New Roman" w:hAnsi="Times New Roman" w:cs="Times New Roman"/>
                      <w:color w:val="auto"/>
                      <w:kern w:val="2"/>
                      <w:szCs w:val="21"/>
                      <w:lang w:val="en-US" w:eastAsia="zh-CN"/>
                    </w:rPr>
                    <w:t>烟道直径为0.4m</w:t>
                  </w:r>
                </w:p>
                <w:p>
                  <w:pPr>
                    <w:jc w:val="center"/>
                    <w:rPr>
                      <w:rFonts w:hint="default" w:ascii="Times New Roman" w:hAnsi="Times New Roman" w:cs="Times New Roman"/>
                      <w:color w:val="auto"/>
                      <w:kern w:val="2"/>
                      <w:szCs w:val="21"/>
                      <w:lang w:val="en-US" w:eastAsia="zh-CN"/>
                    </w:rPr>
                  </w:pPr>
                  <w:r>
                    <w:rPr>
                      <w:rFonts w:hint="default" w:ascii="Times New Roman" w:hAnsi="Times New Roman" w:cs="Times New Roman"/>
                      <w:color w:val="auto"/>
                      <w:kern w:val="2"/>
                      <w:szCs w:val="21"/>
                      <w:lang w:val="en-US" w:eastAsia="zh-CN"/>
                    </w:rPr>
                    <w:t>2个</w:t>
                  </w:r>
                </w:p>
                <w:p>
                  <w:pPr>
                    <w:jc w:val="center"/>
                    <w:rPr>
                      <w:rFonts w:hint="default" w:ascii="Times New Roman" w:hAnsi="Times New Roman" w:cs="Times New Roman"/>
                      <w:color w:val="auto"/>
                      <w:lang w:val="en-US" w:eastAsia="zh-CN"/>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m/s</w:t>
                  </w:r>
                </w:p>
              </w:tc>
              <w:tc>
                <w:tcPr>
                  <w:tcW w:w="590"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cs="Times New Roman"/>
                      <w:color w:val="auto"/>
                      <w:kern w:val="2"/>
                      <w:szCs w:val="21"/>
                      <w:lang w:val="en-US" w:eastAsia="zh-CN"/>
                    </w:rPr>
                  </w:pPr>
                  <w:r>
                    <w:rPr>
                      <w:rFonts w:hint="default" w:ascii="Times New Roman" w:hAnsi="Times New Roman" w:cs="Times New Roman"/>
                      <w:color w:val="auto"/>
                      <w:kern w:val="2"/>
                      <w:szCs w:val="21"/>
                      <w:lang w:val="en-US" w:eastAsia="zh-CN"/>
                    </w:rPr>
                    <w:t>9495.36</w:t>
                  </w:r>
                </w:p>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Cs w:val="21"/>
                      <w:lang w:val="en-US" w:eastAsia="zh-CN"/>
                    </w:rPr>
                    <w:t>m</w:t>
                  </w:r>
                  <w:r>
                    <w:rPr>
                      <w:rFonts w:hint="default" w:ascii="Times New Roman" w:hAnsi="Times New Roman" w:eastAsia="宋体" w:cs="Times New Roman"/>
                      <w:color w:val="auto"/>
                      <w:kern w:val="2"/>
                      <w:szCs w:val="21"/>
                      <w:vertAlign w:val="superscript"/>
                      <w:lang w:val="en-US" w:eastAsia="zh-CN"/>
                    </w:rPr>
                    <w:t>3</w:t>
                  </w:r>
                  <w:r>
                    <w:rPr>
                      <w:rFonts w:hint="default" w:ascii="Times New Roman" w:hAnsi="Times New Roman" w:eastAsia="宋体" w:cs="Times New Roman"/>
                      <w:color w:val="auto"/>
                      <w:kern w:val="2"/>
                      <w:szCs w:val="21"/>
                      <w:lang w:val="en-US" w:eastAsia="zh-CN"/>
                    </w:rPr>
                    <w:t>/h</w:t>
                  </w:r>
                </w:p>
              </w:tc>
              <w:tc>
                <w:tcPr>
                  <w:tcW w:w="402"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default" w:ascii="Times New Roman" w:hAnsi="Times New Roman" w:eastAsia="宋体" w:cs="Times New Roman"/>
                      <w:color w:val="auto"/>
                      <w:kern w:val="2"/>
                      <w:szCs w:val="21"/>
                      <w:lang w:eastAsia="zh-CN"/>
                    </w:rPr>
                    <w:t>9</w:t>
                  </w:r>
                  <w:r>
                    <w:rPr>
                      <w:rFonts w:hint="default" w:ascii="Times New Roman" w:hAnsi="Times New Roman" w:eastAsia="宋体" w:cs="Times New Roman"/>
                      <w:color w:val="auto"/>
                      <w:kern w:val="2"/>
                      <w:szCs w:val="21"/>
                      <w:lang w:val="en-US" w:eastAsia="zh-CN"/>
                    </w:rPr>
                    <w:t>5</w:t>
                  </w:r>
                  <w:r>
                    <w:rPr>
                      <w:rFonts w:hint="default" w:ascii="Times New Roman" w:hAnsi="Times New Roman" w:eastAsia="宋体" w:cs="Times New Roman"/>
                      <w:color w:val="auto"/>
                      <w:kern w:val="2"/>
                      <w:szCs w:val="21"/>
                      <w:lang w:eastAsia="zh-CN"/>
                    </w:rPr>
                    <w:t>%</w:t>
                  </w:r>
                </w:p>
              </w:tc>
              <w:tc>
                <w:tcPr>
                  <w:tcW w:w="1017" w:type="pct"/>
                  <w:tcBorders>
                    <w:tl2br w:val="nil"/>
                    <w:tr2bl w:val="nil"/>
                  </w:tcBorders>
                  <w:noWrap w:val="0"/>
                  <w:vAlign w:val="center"/>
                </w:tcPr>
                <w:p>
                  <w:pPr>
                    <w:pStyle w:val="33"/>
                    <w:spacing w:beforeLines="-2147483648" w:afterLines="-2147483648" w:line="240" w:lineRule="auto"/>
                    <w:ind w:firstLine="0" w:firstLineChars="0"/>
                    <w:textAlignment w:val="baseline"/>
                    <w:rPr>
                      <w:rFonts w:hint="default" w:ascii="Times New Roman" w:hAnsi="Times New Roman" w:eastAsia="宋体" w:cs="Times New Roman"/>
                      <w:color w:val="auto"/>
                      <w:kern w:val="2"/>
                      <w:szCs w:val="21"/>
                      <w:lang w:eastAsia="zh-CN"/>
                    </w:rPr>
                  </w:pPr>
                  <w:r>
                    <w:rPr>
                      <w:rFonts w:hint="eastAsia" w:ascii="Times New Roman"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#旋风除尘+水浴除尘+</w:t>
                  </w:r>
                  <w:r>
                    <w:rPr>
                      <w:rFonts w:hint="eastAsia" w:ascii="Times New Roman" w:cs="Times New Roman"/>
                      <w:color w:val="auto"/>
                      <w:kern w:val="2"/>
                      <w:szCs w:val="21"/>
                      <w:lang w:val="en-US" w:eastAsia="zh-CN"/>
                    </w:rPr>
                    <w:t>湿式静电除尘</w:t>
                  </w:r>
                  <w:r>
                    <w:rPr>
                      <w:rFonts w:hint="default" w:ascii="Times New Roman" w:hAnsi="Times New Roman" w:eastAsia="宋体" w:cs="Times New Roman"/>
                      <w:color w:val="auto"/>
                      <w:kern w:val="2"/>
                      <w:szCs w:val="21"/>
                      <w:lang w:val="en-US" w:eastAsia="zh-CN"/>
                    </w:rPr>
                    <w:t>装置+15m高排气筒（DA00</w:t>
                  </w:r>
                  <w:r>
                    <w:rPr>
                      <w:rFonts w:hint="eastAsia" w:ascii="Times New Roman" w:cs="Times New Roman"/>
                      <w:color w:val="auto"/>
                      <w:kern w:val="2"/>
                      <w:szCs w:val="21"/>
                      <w:lang w:val="en-US" w:eastAsia="zh-CN"/>
                    </w:rPr>
                    <w:t>2</w:t>
                  </w:r>
                  <w:r>
                    <w:rPr>
                      <w:rFonts w:hint="default" w:ascii="Times New Roman" w:hAnsi="Times New Roman" w:eastAsia="宋体" w:cs="Times New Roman"/>
                      <w:color w:val="auto"/>
                      <w:kern w:val="2"/>
                      <w:szCs w:val="21"/>
                      <w:lang w:val="en-US" w:eastAsia="zh-CN"/>
                    </w:rPr>
                    <w:t>）</w:t>
                  </w:r>
                </w:p>
              </w:tc>
            </w:tr>
          </w:tbl>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项目集气管道单孔的风量为：L=3600Fvβ</w:t>
            </w:r>
          </w:p>
          <w:p>
            <w:pPr>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式中：L：排气量，m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w:t>
            </w:r>
          </w:p>
          <w:p>
            <w:pPr>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F：工作孔的面积，m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V：工作孔空气的吸入速度，m/s，本项目取1</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m/s（风速一般取8-12m/s）；</w:t>
            </w:r>
          </w:p>
          <w:p>
            <w:pPr>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β：安全系数。一般取1.05。</w:t>
            </w:r>
          </w:p>
          <w:p>
            <w:pPr>
              <w:adjustRightInd w:val="0"/>
              <w:snapToGrid w:val="0"/>
              <w:spacing w:line="360" w:lineRule="auto"/>
              <w:ind w:firstLine="480" w:firstLineChars="200"/>
              <w:jc w:val="both"/>
              <w:rPr>
                <w:rFonts w:hint="default" w:ascii="Times New Roman" w:hAnsi="Times New Roman" w:cs="Times New Roman"/>
                <w:bCs/>
                <w:color w:val="auto"/>
                <w:sz w:val="24"/>
              </w:rPr>
            </w:pPr>
            <w:r>
              <w:rPr>
                <w:rFonts w:hint="default" w:ascii="Times New Roman" w:hAnsi="Times New Roman" w:cs="Times New Roman"/>
                <w:bCs/>
                <w:color w:val="auto"/>
                <w:sz w:val="24"/>
              </w:rPr>
              <w:t>根据上表可知，本项目</w:t>
            </w:r>
            <w:r>
              <w:rPr>
                <w:rFonts w:hint="eastAsia" w:cs="Times New Roman"/>
                <w:bCs/>
                <w:color w:val="auto"/>
                <w:sz w:val="24"/>
                <w:lang w:val="en-US" w:eastAsia="zh-CN"/>
              </w:rPr>
              <w:t>2</w:t>
            </w:r>
            <w:r>
              <w:rPr>
                <w:rFonts w:hint="default" w:ascii="Times New Roman" w:hAnsi="Times New Roman" w:cs="Times New Roman"/>
                <w:bCs/>
                <w:color w:val="auto"/>
                <w:sz w:val="24"/>
                <w:lang w:val="en-US" w:eastAsia="zh-CN"/>
              </w:rPr>
              <w:t>#旋风除尘+水浴除尘+</w:t>
            </w:r>
            <w:r>
              <w:rPr>
                <w:rFonts w:hint="eastAsia" w:cs="Times New Roman"/>
                <w:bCs/>
                <w:color w:val="auto"/>
                <w:sz w:val="24"/>
                <w:lang w:val="en-US" w:eastAsia="zh-CN"/>
              </w:rPr>
              <w:t>湿式静电除尘</w:t>
            </w:r>
            <w:r>
              <w:rPr>
                <w:rFonts w:hint="default" w:ascii="Times New Roman" w:hAnsi="Times New Roman" w:cs="Times New Roman"/>
                <w:bCs/>
                <w:color w:val="auto"/>
                <w:sz w:val="24"/>
                <w:lang w:val="en-US" w:eastAsia="zh-CN"/>
              </w:rPr>
              <w:t>装置10</w:t>
            </w:r>
            <w:r>
              <w:rPr>
                <w:rFonts w:hint="default" w:ascii="Times New Roman" w:hAnsi="Times New Roman" w:cs="Times New Roman"/>
                <w:bCs/>
                <w:color w:val="auto"/>
                <w:sz w:val="24"/>
              </w:rPr>
              <w:t>000m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/h可满足使用。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原料装卸堆存过程的臭气浓度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《排放源统计调查产排污核算方法和系数手册》中未给出相关产排污系数，故采取类比法。</w:t>
            </w:r>
            <w:r>
              <w:rPr>
                <w:rFonts w:hint="default" w:ascii="Times New Roman" w:hAnsi="Times New Roman" w:cs="Times New Roman"/>
                <w:b w:val="0"/>
                <w:bCs w:val="0"/>
                <w:color w:val="auto"/>
                <w:sz w:val="24"/>
                <w:szCs w:val="24"/>
                <w:highlight w:val="none"/>
                <w:lang w:val="en-US" w:eastAsia="zh-CN"/>
              </w:rPr>
              <w:t>采取定期喷洒生物除臭剂方式处理后，厂区内无组织排放。</w:t>
            </w:r>
            <w:r>
              <w:rPr>
                <w:rFonts w:hint="default" w:ascii="Times New Roman" w:hAnsi="Times New Roman" w:cs="Times New Roman"/>
                <w:color w:val="auto"/>
                <w:sz w:val="24"/>
                <w:lang w:val="en-US" w:eastAsia="zh-CN"/>
              </w:rPr>
              <w:t>类比</w:t>
            </w:r>
            <w:r>
              <w:rPr>
                <w:rFonts w:hint="eastAsia" w:ascii="Times New Roman" w:hAnsi="Times New Roman" w:cs="Times New Roman"/>
                <w:color w:val="auto"/>
                <w:sz w:val="24"/>
                <w:lang w:val="en-US" w:eastAsia="zh-CN"/>
              </w:rPr>
              <w:t>唐山市开平云鹏陶瓷材料有限公司建设</w:t>
            </w:r>
            <w:r>
              <w:rPr>
                <w:rFonts w:hint="default" w:ascii="Times New Roman" w:hAnsi="Times New Roman" w:cs="Times New Roman"/>
                <w:color w:val="auto"/>
                <w:sz w:val="24"/>
                <w:lang w:val="en-US" w:eastAsia="zh-CN"/>
              </w:rPr>
              <w:t>1650</w:t>
            </w:r>
            <w:r>
              <w:rPr>
                <w:rFonts w:hint="eastAsia" w:ascii="Times New Roman" w:hAnsi="Times New Roman" w:cs="Times New Roman"/>
                <w:color w:val="auto"/>
                <w:sz w:val="24"/>
                <w:lang w:val="en-US" w:eastAsia="zh-CN"/>
              </w:rPr>
              <w:t>吨</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年陶瓷骨炭生产线项目环境影响报告表</w:t>
            </w:r>
            <w:r>
              <w:rPr>
                <w:rFonts w:hint="default" w:ascii="Times New Roman" w:hAnsi="Times New Roman" w:cs="Times New Roman"/>
                <w:color w:val="auto"/>
                <w:sz w:val="24"/>
                <w:lang w:val="en-US" w:eastAsia="zh-CN"/>
              </w:rPr>
              <w:t>，</w:t>
            </w:r>
            <w:r>
              <w:rPr>
                <w:rFonts w:hint="default" w:ascii="Times New Roman" w:hAnsi="Times New Roman" w:cs="Times New Roman"/>
                <w:color w:val="auto"/>
                <w:kern w:val="0"/>
                <w:sz w:val="24"/>
                <w:lang w:bidi="ar"/>
              </w:rPr>
              <w:t>厂界无组织排放的</w:t>
            </w:r>
            <w:r>
              <w:rPr>
                <w:rFonts w:hint="default" w:ascii="Times New Roman" w:hAnsi="Times New Roman" w:cs="Times New Roman"/>
                <w:color w:val="auto"/>
                <w:kern w:val="0"/>
                <w:sz w:val="24"/>
                <w:lang w:eastAsia="zh-CN" w:bidi="ar"/>
              </w:rPr>
              <w:t>臭气浓度</w:t>
            </w:r>
            <w:r>
              <w:rPr>
                <w:rFonts w:hint="default" w:ascii="Times New Roman" w:hAnsi="Times New Roman" w:cs="Times New Roman"/>
                <w:color w:val="auto"/>
                <w:kern w:val="0"/>
                <w:sz w:val="24"/>
                <w:lang w:bidi="ar"/>
              </w:rPr>
              <w:t>浓度</w:t>
            </w:r>
            <w:r>
              <w:rPr>
                <w:rFonts w:hint="default" w:ascii="Times New Roman" w:hAnsi="Times New Roman" w:cs="Times New Roman"/>
                <w:color w:val="auto"/>
                <w:kern w:val="0"/>
                <w:sz w:val="24"/>
                <w:lang w:eastAsia="zh-CN" w:bidi="ar"/>
              </w:rPr>
              <w:t>小于</w:t>
            </w:r>
            <w:r>
              <w:rPr>
                <w:rFonts w:hint="default" w:ascii="Times New Roman" w:hAnsi="Times New Roman" w:cs="Times New Roman"/>
                <w:color w:val="auto"/>
                <w:kern w:val="0"/>
                <w:sz w:val="24"/>
                <w:lang w:val="en-US" w:eastAsia="zh-CN" w:bidi="ar"/>
              </w:rPr>
              <w:t>10无量纲</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eastAsia="zh-CN" w:bidi="ar"/>
              </w:rPr>
              <w:t>满足《</w:t>
            </w:r>
            <w:r>
              <w:rPr>
                <w:rFonts w:hint="default" w:ascii="Times New Roman" w:hAnsi="Times New Roman" w:cs="Times New Roman"/>
                <w:color w:val="auto"/>
                <w:sz w:val="24"/>
                <w:lang w:eastAsia="zh-CN"/>
              </w:rPr>
              <w:t>恶臭污染物排放标准</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G</w:t>
            </w:r>
            <w:r>
              <w:rPr>
                <w:rFonts w:hint="default" w:ascii="Times New Roman" w:hAnsi="Times New Roman" w:eastAsia="宋体" w:cs="Times New Roman"/>
                <w:color w:val="auto"/>
                <w:sz w:val="24"/>
              </w:rPr>
              <w:t>B</w:t>
            </w:r>
            <w:r>
              <w:rPr>
                <w:rFonts w:hint="default" w:ascii="Times New Roman" w:hAnsi="Times New Roman" w:cs="Times New Roman"/>
                <w:color w:val="auto"/>
                <w:sz w:val="24"/>
                <w:lang w:val="en-US" w:eastAsia="zh-CN"/>
              </w:rPr>
              <w:t>14554</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93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无组织</w:t>
            </w:r>
            <w:r>
              <w:rPr>
                <w:rFonts w:hint="default" w:ascii="Times New Roman" w:hAnsi="Times New Roman" w:cs="Times New Roman"/>
                <w:color w:val="auto"/>
                <w:sz w:val="24"/>
                <w:lang w:eastAsia="zh-CN"/>
              </w:rPr>
              <w:t>臭气浓度</w:t>
            </w:r>
            <w:r>
              <w:rPr>
                <w:rFonts w:hint="default" w:ascii="Times New Roman" w:hAnsi="Times New Roman" w:cs="Times New Roman"/>
                <w:color w:val="auto"/>
                <w:sz w:val="24"/>
                <w:lang w:val="en-US" w:eastAsia="zh-CN"/>
              </w:rPr>
              <w:t>20</w:t>
            </w:r>
            <w:r>
              <w:rPr>
                <w:rFonts w:hint="default" w:ascii="Times New Roman" w:hAnsi="Times New Roman" w:cs="Times New Roman"/>
                <w:color w:val="auto"/>
                <w:kern w:val="0"/>
                <w:sz w:val="24"/>
                <w:lang w:val="en-US" w:eastAsia="zh-CN" w:bidi="ar"/>
              </w:rPr>
              <w:t>无量纲</w:t>
            </w:r>
            <w:r>
              <w:rPr>
                <w:rFonts w:hint="default" w:ascii="Times New Roman" w:hAnsi="Times New Roman" w:eastAsia="宋体" w:cs="Times New Roman"/>
                <w:color w:val="auto"/>
                <w:sz w:val="24"/>
                <w:lang w:val="en-US" w:eastAsia="zh-CN"/>
              </w:rPr>
              <w:t>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上料、</w:t>
            </w:r>
            <w:r>
              <w:rPr>
                <w:rFonts w:hint="eastAsia" w:cs="Times New Roman"/>
                <w:b/>
                <w:bCs/>
                <w:color w:val="auto"/>
                <w:sz w:val="24"/>
                <w:szCs w:val="24"/>
                <w:highlight w:val="none"/>
                <w:lang w:val="en-US" w:eastAsia="zh-CN"/>
              </w:rPr>
              <w:t>皮带运输、</w:t>
            </w:r>
            <w:r>
              <w:rPr>
                <w:rFonts w:hint="default" w:ascii="Times New Roman" w:hAnsi="Times New Roman" w:cs="Times New Roman"/>
                <w:b/>
                <w:bCs/>
                <w:color w:val="auto"/>
                <w:sz w:val="24"/>
                <w:szCs w:val="24"/>
                <w:highlight w:val="none"/>
                <w:lang w:val="en-US" w:eastAsia="zh-CN"/>
              </w:rPr>
              <w:t>布料、筛分、色选、包装、</w:t>
            </w:r>
            <w:r>
              <w:rPr>
                <w:rFonts w:hint="eastAsia" w:cs="Times New Roman"/>
                <w:b/>
                <w:bCs/>
                <w:color w:val="auto"/>
                <w:sz w:val="24"/>
                <w:szCs w:val="24"/>
                <w:highlight w:val="none"/>
                <w:lang w:val="en-US" w:eastAsia="zh-CN"/>
              </w:rPr>
              <w:t>碳化</w:t>
            </w:r>
            <w:r>
              <w:rPr>
                <w:rFonts w:hint="default" w:ascii="Times New Roman" w:hAnsi="Times New Roman" w:cs="Times New Roman"/>
                <w:b/>
                <w:bCs/>
                <w:color w:val="auto"/>
                <w:sz w:val="24"/>
                <w:szCs w:val="24"/>
                <w:highlight w:val="none"/>
                <w:lang w:val="en-US" w:eastAsia="zh-CN"/>
              </w:rPr>
              <w:t>工序未被收集的无组织</w:t>
            </w:r>
            <w:r>
              <w:rPr>
                <w:rFonts w:hint="default" w:ascii="Times New Roman" w:hAnsi="Times New Roman" w:eastAsia="宋体" w:cs="Times New Roman"/>
                <w:b/>
                <w:bCs/>
                <w:color w:val="auto"/>
                <w:sz w:val="24"/>
                <w:szCs w:val="24"/>
                <w:highlight w:val="none"/>
                <w:lang w:val="en-US" w:eastAsia="zh-CN"/>
              </w:rPr>
              <w:t>颗粒物</w:t>
            </w:r>
            <w:r>
              <w:rPr>
                <w:rFonts w:hint="default" w:ascii="Times New Roman" w:hAnsi="Times New Roman" w:cs="Times New Roman"/>
                <w:b/>
                <w:bCs/>
                <w:color w:val="auto"/>
                <w:sz w:val="24"/>
                <w:szCs w:val="24"/>
                <w:highlight w:val="none"/>
                <w:lang w:val="en-US" w:eastAsia="zh-CN"/>
              </w:rPr>
              <w:t>、臭气浓度</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原料装卸堆存过程产生的</w:t>
            </w:r>
            <w:r>
              <w:rPr>
                <w:rFonts w:hint="eastAsia" w:cs="Times New Roman"/>
                <w:b/>
                <w:bCs/>
                <w:color w:val="auto"/>
                <w:sz w:val="24"/>
                <w:szCs w:val="24"/>
                <w:highlight w:val="none"/>
                <w:lang w:val="en-US" w:eastAsia="zh-CN"/>
              </w:rPr>
              <w:t>无组织</w:t>
            </w:r>
            <w:r>
              <w:rPr>
                <w:rFonts w:hint="default" w:ascii="Times New Roman" w:hAnsi="Times New Roman" w:cs="Times New Roman"/>
                <w:b/>
                <w:bCs/>
                <w:color w:val="auto"/>
                <w:sz w:val="24"/>
                <w:szCs w:val="24"/>
                <w:highlight w:val="none"/>
                <w:lang w:val="en-US" w:eastAsia="zh-CN"/>
              </w:rPr>
              <w:t>颗粒物、臭气浓度</w:t>
            </w:r>
            <w:r>
              <w:rPr>
                <w:rFonts w:hint="default" w:ascii="Times New Roman" w:hAnsi="Times New Roman" w:cs="Times New Roman"/>
                <w:b/>
                <w:bCs/>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w:t>
            </w:r>
            <w:r>
              <w:rPr>
                <w:rFonts w:hint="default" w:ascii="Times New Roman" w:hAnsi="Times New Roman" w:cs="Times New Roman"/>
                <w:color w:val="auto"/>
                <w:sz w:val="24"/>
                <w:szCs w:val="24"/>
                <w:highlight w:val="none"/>
                <w:lang w:val="en-US" w:eastAsia="zh-CN"/>
              </w:rPr>
              <w:t>上料、</w:t>
            </w:r>
            <w:r>
              <w:rPr>
                <w:rFonts w:hint="eastAsia" w:cs="Times New Roman"/>
                <w:color w:val="auto"/>
                <w:sz w:val="24"/>
                <w:szCs w:val="24"/>
                <w:highlight w:val="none"/>
                <w:lang w:val="en-US" w:eastAsia="zh-CN"/>
              </w:rPr>
              <w:t>皮带运输、</w:t>
            </w:r>
            <w:r>
              <w:rPr>
                <w:rFonts w:hint="default" w:ascii="Times New Roman" w:hAnsi="Times New Roman" w:cs="Times New Roman"/>
                <w:color w:val="auto"/>
                <w:sz w:val="24"/>
                <w:szCs w:val="24"/>
                <w:highlight w:val="none"/>
                <w:lang w:val="en-US" w:eastAsia="zh-CN"/>
              </w:rPr>
              <w:t>布料、筛分、色选、包装、</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工序</w:t>
            </w:r>
            <w:r>
              <w:rPr>
                <w:rFonts w:hint="default" w:ascii="Times New Roman" w:hAnsi="Times New Roman" w:eastAsia="宋体" w:cs="Times New Roman"/>
                <w:b w:val="0"/>
                <w:bCs w:val="0"/>
                <w:color w:val="auto"/>
                <w:sz w:val="24"/>
                <w:szCs w:val="24"/>
                <w:highlight w:val="none"/>
                <w:lang w:val="en-US" w:eastAsia="zh-CN"/>
              </w:rPr>
              <w:t>未被收集的无组织颗粒物产生量为</w:t>
            </w:r>
            <w:r>
              <w:rPr>
                <w:rFonts w:hint="eastAsia" w:cs="Times New Roman"/>
                <w:b w:val="0"/>
                <w:bCs w:val="0"/>
                <w:color w:val="auto"/>
                <w:sz w:val="24"/>
                <w:szCs w:val="24"/>
                <w:highlight w:val="none"/>
                <w:lang w:val="en-US" w:eastAsia="zh-CN"/>
              </w:rPr>
              <w:t>1.365</w:t>
            </w:r>
            <w:r>
              <w:rPr>
                <w:rFonts w:hint="default" w:ascii="Times New Roman" w:hAnsi="Times New Roman" w:cs="Times New Roman"/>
                <w:snapToGrid w:val="0"/>
                <w:color w:val="auto"/>
                <w:kern w:val="0"/>
                <w:sz w:val="24"/>
              </w:rPr>
              <w:t>t/a。</w:t>
            </w:r>
            <w:r>
              <w:rPr>
                <w:rFonts w:hint="default" w:ascii="Times New Roman" w:hAnsi="Times New Roman" w:cs="Times New Roman"/>
                <w:b w:val="0"/>
                <w:bCs w:val="0"/>
                <w:color w:val="auto"/>
                <w:sz w:val="24"/>
                <w:szCs w:val="24"/>
                <w:highlight w:val="none"/>
                <w:lang w:val="en-US" w:eastAsia="zh-CN"/>
              </w:rPr>
              <w:t>《排放源统计调查产排污核算方法和系数手册》中“工业源固体物料堆场颗粒物核算系数手册”中未给出骨渣的产污系数，其他种类物料装卸堆存产污系数不具备可参考性，故本项目采取类比法。</w:t>
            </w:r>
            <w:r>
              <w:rPr>
                <w:rFonts w:hint="default" w:ascii="Times New Roman" w:hAnsi="Times New Roman" w:cs="Times New Roman"/>
                <w:color w:val="auto"/>
                <w:kern w:val="0"/>
                <w:sz w:val="24"/>
                <w:lang w:eastAsia="zh-CN" w:bidi="ar"/>
              </w:rPr>
              <w:t>类比</w:t>
            </w:r>
            <w:r>
              <w:rPr>
                <w:rFonts w:hint="default" w:ascii="Times New Roman" w:hAnsi="Times New Roman" w:cs="Times New Roman"/>
                <w:color w:val="auto"/>
                <w:sz w:val="24"/>
                <w:highlight w:val="none"/>
                <w:lang w:val="en-US" w:eastAsia="zh-CN"/>
              </w:rPr>
              <w:t>唐山市开平云鹏陶瓷材料有限公司</w:t>
            </w:r>
            <w:r>
              <w:rPr>
                <w:rFonts w:hint="default" w:ascii="Times New Roman" w:hAnsi="Times New Roman" w:cs="Times New Roman"/>
                <w:color w:val="auto"/>
                <w:kern w:val="0"/>
                <w:sz w:val="24"/>
                <w:lang w:eastAsia="zh-CN" w:bidi="ar"/>
              </w:rPr>
              <w:t>原有工程</w:t>
            </w:r>
            <w:r>
              <w:rPr>
                <w:rFonts w:hint="default" w:ascii="Times New Roman" w:hAnsi="Times New Roman" w:cs="Times New Roman"/>
                <w:b w:val="0"/>
                <w:bCs w:val="0"/>
                <w:color w:val="auto"/>
                <w:sz w:val="24"/>
                <w:szCs w:val="24"/>
                <w:highlight w:val="none"/>
                <w:lang w:val="en-US" w:eastAsia="zh-CN"/>
              </w:rPr>
              <w:t>，原料装卸堆存过程颗粒物</w:t>
            </w:r>
            <w:r>
              <w:rPr>
                <w:rFonts w:hint="default" w:ascii="Times New Roman" w:hAnsi="Times New Roman" w:cs="Times New Roman"/>
                <w:color w:val="auto"/>
                <w:sz w:val="24"/>
                <w:lang w:val="en-US" w:eastAsia="zh-CN"/>
              </w:rPr>
              <w:t>产污系数：0.1克/kg-原料，则</w:t>
            </w:r>
            <w:r>
              <w:rPr>
                <w:rFonts w:hint="default" w:ascii="Times New Roman" w:hAnsi="Times New Roman" w:cs="Times New Roman"/>
                <w:b w:val="0"/>
                <w:bCs w:val="0"/>
                <w:color w:val="auto"/>
                <w:sz w:val="24"/>
                <w:szCs w:val="24"/>
                <w:highlight w:val="none"/>
                <w:lang w:val="en-US" w:eastAsia="zh-CN"/>
              </w:rPr>
              <w:t>原料装卸堆存过程颗粒物产生量为0.</w:t>
            </w:r>
            <w:r>
              <w:rPr>
                <w:rFonts w:hint="eastAsia" w:cs="Times New Roman"/>
                <w:b w:val="0"/>
                <w:bCs w:val="0"/>
                <w:color w:val="auto"/>
                <w:sz w:val="24"/>
                <w:szCs w:val="24"/>
                <w:highlight w:val="none"/>
                <w:lang w:val="en-US" w:eastAsia="zh-CN"/>
              </w:rPr>
              <w:t>535</w:t>
            </w:r>
            <w:r>
              <w:rPr>
                <w:rFonts w:hint="default" w:ascii="Times New Roman" w:hAnsi="Times New Roman" w:cs="Times New Roman"/>
                <w:snapToGrid w:val="0"/>
                <w:color w:val="auto"/>
                <w:kern w:val="0"/>
                <w:sz w:val="24"/>
              </w:rPr>
              <w:t>t/a</w:t>
            </w:r>
            <w:r>
              <w:rPr>
                <w:rFonts w:hint="default" w:ascii="Times New Roman" w:hAnsi="Times New Roman" w:cs="Times New Roman"/>
                <w:snapToGrid w:val="0"/>
                <w:color w:val="auto"/>
                <w:kern w:val="0"/>
                <w:sz w:val="24"/>
                <w:lang w:eastAsia="zh-CN"/>
              </w:rPr>
              <w:t>。则本项目无组织颗粒物</w:t>
            </w:r>
            <w:r>
              <w:rPr>
                <w:rFonts w:hint="default" w:ascii="Times New Roman" w:hAnsi="Times New Roman" w:cs="Times New Roman"/>
                <w:snapToGrid w:val="0"/>
                <w:color w:val="auto"/>
                <w:kern w:val="0"/>
                <w:sz w:val="24"/>
                <w:lang w:val="en-US" w:eastAsia="zh-CN"/>
              </w:rPr>
              <w:t>1.</w:t>
            </w:r>
            <w:r>
              <w:rPr>
                <w:rFonts w:hint="eastAsia" w:cs="Times New Roman"/>
                <w:snapToGrid w:val="0"/>
                <w:color w:val="auto"/>
                <w:kern w:val="0"/>
                <w:sz w:val="24"/>
                <w:lang w:val="en-US" w:eastAsia="zh-CN"/>
              </w:rPr>
              <w:t>9</w:t>
            </w:r>
            <w:r>
              <w:rPr>
                <w:rFonts w:hint="default" w:ascii="Times New Roman" w:hAnsi="Times New Roman" w:cs="Times New Roman"/>
                <w:snapToGrid w:val="0"/>
                <w:color w:val="auto"/>
                <w:kern w:val="0"/>
                <w:sz w:val="24"/>
              </w:rPr>
              <w:t>t/a</w:t>
            </w:r>
            <w:r>
              <w:rPr>
                <w:rFonts w:hint="default" w:ascii="Times New Roman" w:hAnsi="Times New Roman" w:cs="Times New Roman"/>
                <w:snapToGrid w:val="0"/>
                <w:color w:val="auto"/>
                <w:kern w:val="0"/>
                <w:sz w:val="24"/>
                <w:lang w:eastAsia="zh-CN"/>
              </w:rPr>
              <w:t>。采取原料车间喷淋降尘、密闭车间沉降后，无组织颗粒物排放量为</w:t>
            </w:r>
            <w:r>
              <w:rPr>
                <w:rFonts w:hint="default" w:ascii="Times New Roman" w:hAnsi="Times New Roman" w:cs="Times New Roman"/>
                <w:snapToGrid w:val="0"/>
                <w:color w:val="auto"/>
                <w:kern w:val="0"/>
                <w:sz w:val="24"/>
                <w:lang w:val="en-US" w:eastAsia="zh-CN"/>
              </w:rPr>
              <w:t>0.1</w:t>
            </w:r>
            <w:r>
              <w:rPr>
                <w:rFonts w:hint="eastAsia" w:cs="Times New Roman"/>
                <w:snapToGrid w:val="0"/>
                <w:color w:val="auto"/>
                <w:kern w:val="0"/>
                <w:sz w:val="24"/>
                <w:lang w:val="en-US" w:eastAsia="zh-CN"/>
              </w:rPr>
              <w:t>9</w:t>
            </w:r>
            <w:r>
              <w:rPr>
                <w:rFonts w:hint="default" w:ascii="Times New Roman" w:hAnsi="Times New Roman" w:cs="Times New Roman"/>
                <w:snapToGrid w:val="0"/>
                <w:color w:val="auto"/>
                <w:kern w:val="0"/>
                <w:sz w:val="24"/>
              </w:rPr>
              <w:t>t/a。</w:t>
            </w:r>
            <w:r>
              <w:rPr>
                <w:rFonts w:hint="default" w:ascii="Times New Roman" w:hAnsi="Times New Roman" w:cs="Times New Roman"/>
                <w:color w:val="auto"/>
                <w:sz w:val="24"/>
              </w:rPr>
              <w:t>经AERSCREEN 模式预测，颗粒物最大</w:t>
            </w:r>
            <w:r>
              <w:rPr>
                <w:rFonts w:hint="default" w:ascii="Times New Roman" w:hAnsi="Times New Roman" w:cs="Times New Roman"/>
                <w:color w:val="auto"/>
                <w:sz w:val="24"/>
                <w:lang w:eastAsia="zh-CN"/>
              </w:rPr>
              <w:t>落地</w:t>
            </w:r>
            <w:r>
              <w:rPr>
                <w:rFonts w:hint="default" w:ascii="Times New Roman" w:hAnsi="Times New Roman" w:cs="Times New Roman"/>
                <w:color w:val="auto"/>
                <w:sz w:val="24"/>
              </w:rPr>
              <w:t>浓度</w:t>
            </w:r>
            <w:r>
              <w:rPr>
                <w:rFonts w:hint="default" w:ascii="Times New Roman" w:hAnsi="Times New Roman" w:cs="Times New Roman"/>
                <w:color w:val="auto"/>
                <w:sz w:val="24"/>
                <w:lang w:eastAsia="zh-CN"/>
              </w:rPr>
              <w:t>分别</w:t>
            </w:r>
            <w:r>
              <w:rPr>
                <w:rFonts w:hint="default" w:ascii="Times New Roman" w:hAnsi="Times New Roman" w:cs="Times New Roman"/>
                <w:color w:val="auto"/>
                <w:sz w:val="24"/>
              </w:rPr>
              <w:t>为</w:t>
            </w:r>
            <w:r>
              <w:rPr>
                <w:rFonts w:hint="default" w:ascii="Times New Roman" w:hAnsi="Times New Roman" w:cs="Times New Roman"/>
                <w:color w:val="auto"/>
                <w:sz w:val="24"/>
                <w:lang w:val="en-US" w:eastAsia="zh-CN"/>
              </w:rPr>
              <w:t>45</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89</w:t>
            </w:r>
            <w:r>
              <w:rPr>
                <w:rFonts w:hint="default" w:ascii="Times New Roman" w:hAnsi="Times New Roman" w:cs="Times New Roman"/>
                <w:color w:val="auto"/>
                <w:sz w:val="24"/>
              </w:rPr>
              <w:t>μg/m</w:t>
            </w:r>
            <w:r>
              <w:rPr>
                <w:rFonts w:hint="default" w:ascii="Times New Roman" w:hAnsi="Times New Roman" w:cs="Times New Roman"/>
                <w:color w:val="auto"/>
                <w:sz w:val="24"/>
                <w:vertAlign w:val="superscript"/>
              </w:rPr>
              <w:t>3</w:t>
            </w:r>
            <w:r>
              <w:rPr>
                <w:rFonts w:hint="default" w:ascii="Times New Roman" w:hAnsi="Times New Roman" w:cs="Times New Roman"/>
                <w:bCs/>
                <w:color w:val="auto"/>
                <w:kern w:val="24"/>
                <w:sz w:val="24"/>
                <w:lang w:val="en-US" w:eastAsia="zh-CN"/>
              </w:rPr>
              <w:t>，满足</w:t>
            </w:r>
            <w:r>
              <w:rPr>
                <w:rFonts w:hint="eastAsia" w:ascii="Times New Roman" w:hAnsi="Times New Roman" w:cs="Times New Roman"/>
                <w:color w:val="auto"/>
                <w:sz w:val="24"/>
                <w:szCs w:val="24"/>
                <w:highlight w:val="none"/>
                <w:lang w:val="en-US" w:eastAsia="zh-CN"/>
              </w:rPr>
              <w:t>《大气污染物综合排放标准》（GB16297-1996）表2 中</w:t>
            </w:r>
            <w:r>
              <w:rPr>
                <w:rFonts w:hint="eastAsia" w:cs="Times New Roman"/>
                <w:color w:val="auto"/>
                <w:sz w:val="24"/>
                <w:szCs w:val="24"/>
                <w:highlight w:val="none"/>
                <w:lang w:val="en-US" w:eastAsia="zh-CN"/>
              </w:rPr>
              <w:t>无</w:t>
            </w:r>
            <w:r>
              <w:rPr>
                <w:rFonts w:hint="eastAsia" w:ascii="Times New Roman" w:hAnsi="Times New Roman" w:cs="Times New Roman"/>
                <w:color w:val="auto"/>
                <w:sz w:val="24"/>
                <w:szCs w:val="24"/>
                <w:highlight w:val="none"/>
                <w:lang w:val="en-US" w:eastAsia="zh-CN"/>
              </w:rPr>
              <w:t>组织颗粒物排放标准1</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工序</w:t>
            </w:r>
            <w:r>
              <w:rPr>
                <w:rFonts w:hint="default" w:ascii="Times New Roman" w:hAnsi="Times New Roman" w:cs="Times New Roman"/>
                <w:b w:val="0"/>
                <w:bCs w:val="0"/>
                <w:color w:val="auto"/>
                <w:sz w:val="24"/>
                <w:szCs w:val="24"/>
                <w:highlight w:val="none"/>
                <w:lang w:val="en-US" w:eastAsia="zh-CN"/>
              </w:rPr>
              <w:t>未被收集的无组织臭气浓度采取定期喷洒生物除臭剂方式处理后，厂区内无组织排放。</w:t>
            </w:r>
            <w:r>
              <w:rPr>
                <w:rFonts w:hint="default" w:ascii="Times New Roman" w:hAnsi="Times New Roman" w:cs="Times New Roman"/>
                <w:color w:val="auto"/>
                <w:kern w:val="0"/>
                <w:sz w:val="24"/>
                <w:lang w:eastAsia="zh-CN" w:bidi="ar"/>
              </w:rPr>
              <w:t>类比</w:t>
            </w:r>
            <w:r>
              <w:rPr>
                <w:rFonts w:hint="default" w:ascii="Times New Roman" w:hAnsi="Times New Roman" w:cs="Times New Roman"/>
                <w:color w:val="auto"/>
                <w:sz w:val="24"/>
                <w:highlight w:val="none"/>
                <w:lang w:val="en-US" w:eastAsia="zh-CN"/>
              </w:rPr>
              <w:t>唐山市开平云鹏陶瓷材料有限公司</w:t>
            </w:r>
            <w:r>
              <w:rPr>
                <w:rFonts w:hint="default" w:ascii="Times New Roman" w:hAnsi="Times New Roman" w:cs="Times New Roman"/>
                <w:color w:val="auto"/>
                <w:kern w:val="0"/>
                <w:sz w:val="24"/>
                <w:lang w:eastAsia="zh-CN" w:bidi="ar"/>
              </w:rPr>
              <w:t>原有工程，</w:t>
            </w:r>
            <w:r>
              <w:rPr>
                <w:rFonts w:hint="default" w:ascii="Times New Roman" w:hAnsi="Times New Roman" w:cs="Times New Roman"/>
                <w:color w:val="auto"/>
                <w:kern w:val="0"/>
                <w:sz w:val="24"/>
                <w:lang w:bidi="ar"/>
              </w:rPr>
              <w:t>厂界无组织排放的</w:t>
            </w:r>
            <w:r>
              <w:rPr>
                <w:rFonts w:hint="default" w:ascii="Times New Roman" w:hAnsi="Times New Roman" w:cs="Times New Roman"/>
                <w:color w:val="auto"/>
                <w:kern w:val="0"/>
                <w:sz w:val="24"/>
                <w:lang w:eastAsia="zh-CN" w:bidi="ar"/>
              </w:rPr>
              <w:t>臭气浓度</w:t>
            </w:r>
            <w:r>
              <w:rPr>
                <w:rFonts w:hint="default" w:ascii="Times New Roman" w:hAnsi="Times New Roman" w:cs="Times New Roman"/>
                <w:color w:val="auto"/>
                <w:kern w:val="0"/>
                <w:sz w:val="24"/>
                <w:lang w:bidi="ar"/>
              </w:rPr>
              <w:t>浓度</w:t>
            </w:r>
            <w:r>
              <w:rPr>
                <w:rFonts w:hint="default" w:ascii="Times New Roman" w:hAnsi="Times New Roman" w:cs="Times New Roman"/>
                <w:color w:val="auto"/>
                <w:kern w:val="0"/>
                <w:sz w:val="24"/>
                <w:lang w:eastAsia="zh-CN" w:bidi="ar"/>
              </w:rPr>
              <w:t>小于</w:t>
            </w:r>
            <w:r>
              <w:rPr>
                <w:rFonts w:hint="default" w:ascii="Times New Roman" w:hAnsi="Times New Roman" w:cs="Times New Roman"/>
                <w:color w:val="auto"/>
                <w:kern w:val="0"/>
                <w:sz w:val="24"/>
                <w:lang w:val="en-US" w:eastAsia="zh-CN" w:bidi="ar"/>
              </w:rPr>
              <w:t>10无量纲</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eastAsia="zh-CN" w:bidi="ar"/>
              </w:rPr>
              <w:t>满足《</w:t>
            </w:r>
            <w:r>
              <w:rPr>
                <w:rFonts w:hint="default" w:ascii="Times New Roman" w:hAnsi="Times New Roman" w:cs="Times New Roman"/>
                <w:color w:val="auto"/>
                <w:sz w:val="24"/>
                <w:lang w:eastAsia="zh-CN"/>
              </w:rPr>
              <w:t>恶臭污染物排放标准</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G</w:t>
            </w:r>
            <w:r>
              <w:rPr>
                <w:rFonts w:hint="default" w:ascii="Times New Roman" w:hAnsi="Times New Roman" w:eastAsia="宋体" w:cs="Times New Roman"/>
                <w:color w:val="auto"/>
                <w:sz w:val="24"/>
              </w:rPr>
              <w:t>B</w:t>
            </w:r>
            <w:r>
              <w:rPr>
                <w:rFonts w:hint="default" w:ascii="Times New Roman" w:hAnsi="Times New Roman" w:cs="Times New Roman"/>
                <w:color w:val="auto"/>
                <w:sz w:val="24"/>
                <w:lang w:val="en-US" w:eastAsia="zh-CN"/>
              </w:rPr>
              <w:t>14554</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93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无组织</w:t>
            </w:r>
            <w:r>
              <w:rPr>
                <w:rFonts w:hint="default" w:ascii="Times New Roman" w:hAnsi="Times New Roman" w:cs="Times New Roman"/>
                <w:color w:val="auto"/>
                <w:sz w:val="24"/>
                <w:lang w:eastAsia="zh-CN"/>
              </w:rPr>
              <w:t>臭气浓度</w:t>
            </w:r>
            <w:r>
              <w:rPr>
                <w:rFonts w:hint="default" w:ascii="Times New Roman" w:hAnsi="Times New Roman" w:cs="Times New Roman"/>
                <w:color w:val="auto"/>
                <w:sz w:val="24"/>
                <w:lang w:val="en-US" w:eastAsia="zh-CN"/>
              </w:rPr>
              <w:t>20</w:t>
            </w:r>
            <w:r>
              <w:rPr>
                <w:rFonts w:hint="default" w:ascii="Times New Roman" w:hAnsi="Times New Roman" w:cs="Times New Roman"/>
                <w:color w:val="auto"/>
                <w:kern w:val="0"/>
                <w:sz w:val="24"/>
                <w:lang w:val="en-US" w:eastAsia="zh-CN" w:bidi="ar"/>
              </w:rPr>
              <w:t>无量纲</w:t>
            </w:r>
            <w:r>
              <w:rPr>
                <w:rFonts w:hint="default" w:ascii="Times New Roman" w:hAnsi="Times New Roman" w:eastAsia="宋体" w:cs="Times New Roman"/>
                <w:color w:val="auto"/>
                <w:sz w:val="24"/>
                <w:lang w:val="en-US" w:eastAsia="zh-CN"/>
              </w:rPr>
              <w:t>要求。</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26</w:t>
            </w:r>
            <w:r>
              <w:rPr>
                <w:rFonts w:hint="default" w:ascii="Times New Roman" w:hAnsi="Times New Roman" w:eastAsia="宋体" w:cs="Times New Roman"/>
                <w:b/>
                <w:bCs/>
                <w:color w:val="auto"/>
                <w:kern w:val="2"/>
                <w:sz w:val="24"/>
                <w:szCs w:val="24"/>
                <w:highlight w:val="none"/>
                <w:lang w:val="en-US" w:eastAsia="zh-CN" w:bidi="ar-SA"/>
              </w:rPr>
              <w:t xml:space="preserve">  本项目废气无组织产生、排放情况表</w:t>
            </w:r>
          </w:p>
          <w:tbl>
            <w:tblPr>
              <w:tblStyle w:val="20"/>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12"/>
              <w:gridCol w:w="579"/>
              <w:gridCol w:w="815"/>
              <w:gridCol w:w="678"/>
              <w:gridCol w:w="857"/>
              <w:gridCol w:w="1170"/>
              <w:gridCol w:w="845"/>
              <w:gridCol w:w="927"/>
              <w:gridCol w:w="824"/>
              <w:gridCol w:w="585"/>
              <w:gridCol w:w="5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192"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序号</w:t>
                  </w:r>
                </w:p>
              </w:tc>
              <w:tc>
                <w:tcPr>
                  <w:tcW w:w="355"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污染源</w:t>
                  </w:r>
                </w:p>
              </w:tc>
              <w:tc>
                <w:tcPr>
                  <w:tcW w:w="500"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污染物种类</w:t>
                  </w:r>
                </w:p>
              </w:tc>
              <w:tc>
                <w:tcPr>
                  <w:tcW w:w="416"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产生量（t/a）</w:t>
                  </w:r>
                </w:p>
              </w:tc>
              <w:tc>
                <w:tcPr>
                  <w:tcW w:w="526"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产生速率（kg/h）</w:t>
                  </w:r>
                </w:p>
              </w:tc>
              <w:tc>
                <w:tcPr>
                  <w:tcW w:w="718"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治理措施</w:t>
                  </w:r>
                </w:p>
              </w:tc>
              <w:tc>
                <w:tcPr>
                  <w:tcW w:w="519"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排放量(t/a)</w:t>
                  </w:r>
                </w:p>
              </w:tc>
              <w:tc>
                <w:tcPr>
                  <w:tcW w:w="569" w:type="pct"/>
                  <w:tcBorders>
                    <w:right w:val="single" w:color="auto" w:sz="4" w:space="0"/>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排放浓度mg/m</w:t>
                  </w:r>
                  <w:r>
                    <w:rPr>
                      <w:rFonts w:hint="default" w:ascii="Times New Roman" w:hAnsi="Times New Roman" w:eastAsia="宋体" w:cs="Times New Roman"/>
                      <w:bCs/>
                      <w:color w:val="auto"/>
                      <w:szCs w:val="21"/>
                      <w:vertAlign w:val="superscript"/>
                    </w:rPr>
                    <w:t>3</w:t>
                  </w:r>
                </w:p>
              </w:tc>
              <w:tc>
                <w:tcPr>
                  <w:tcW w:w="506" w:type="pct"/>
                  <w:tcBorders>
                    <w:left w:val="single" w:color="auto" w:sz="4" w:space="0"/>
                  </w:tcBorders>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排放速率（kg/h）</w:t>
                  </w:r>
                </w:p>
              </w:tc>
              <w:tc>
                <w:tcPr>
                  <w:tcW w:w="359"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标准限制mg/m</w:t>
                  </w:r>
                  <w:r>
                    <w:rPr>
                      <w:rFonts w:hint="default" w:ascii="Times New Roman" w:hAnsi="Times New Roman" w:eastAsia="宋体" w:cs="Times New Roman"/>
                      <w:bCs/>
                      <w:color w:val="auto"/>
                      <w:szCs w:val="21"/>
                      <w:vertAlign w:val="superscript"/>
                    </w:rPr>
                    <w:t>3</w:t>
                  </w:r>
                </w:p>
              </w:tc>
              <w:tc>
                <w:tcPr>
                  <w:tcW w:w="333"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92"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355" w:type="pct"/>
                  <w:vMerge w:val="restar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无组织排放</w:t>
                  </w:r>
                </w:p>
              </w:tc>
              <w:tc>
                <w:tcPr>
                  <w:tcW w:w="500"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颗粒物</w:t>
                  </w:r>
                </w:p>
              </w:tc>
              <w:tc>
                <w:tcPr>
                  <w:tcW w:w="416" w:type="pct"/>
                  <w:noWrap w:val="0"/>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1.9</w:t>
                  </w:r>
                </w:p>
              </w:tc>
              <w:tc>
                <w:tcPr>
                  <w:tcW w:w="526" w:type="pct"/>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w:t>
                  </w:r>
                  <w:r>
                    <w:rPr>
                      <w:rFonts w:hint="eastAsia" w:cs="Times New Roman"/>
                      <w:bCs/>
                      <w:color w:val="auto"/>
                      <w:szCs w:val="21"/>
                      <w:lang w:val="en-US" w:eastAsia="zh-CN"/>
                    </w:rPr>
                    <w:t>3958</w:t>
                  </w:r>
                </w:p>
              </w:tc>
              <w:tc>
                <w:tcPr>
                  <w:tcW w:w="718"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cs="Times New Roman"/>
                      <w:bCs/>
                      <w:color w:val="auto"/>
                      <w:szCs w:val="21"/>
                      <w:lang w:eastAsia="zh-CN"/>
                    </w:rPr>
                    <w:t>喷淋降尘、密闭车间沉降</w:t>
                  </w:r>
                </w:p>
              </w:tc>
              <w:tc>
                <w:tcPr>
                  <w:tcW w:w="519" w:type="pct"/>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w:t>
                  </w:r>
                  <w:r>
                    <w:rPr>
                      <w:rFonts w:hint="eastAsia" w:cs="Times New Roman"/>
                      <w:bCs/>
                      <w:color w:val="auto"/>
                      <w:szCs w:val="21"/>
                      <w:lang w:val="en-US" w:eastAsia="zh-CN"/>
                    </w:rPr>
                    <w:t>19</w:t>
                  </w:r>
                </w:p>
              </w:tc>
              <w:tc>
                <w:tcPr>
                  <w:tcW w:w="569" w:type="pct"/>
                  <w:tcBorders>
                    <w:right w:val="single" w:color="auto" w:sz="4" w:space="0"/>
                  </w:tcBorders>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0.0</w:t>
                  </w:r>
                  <w:r>
                    <w:rPr>
                      <w:rFonts w:hint="default" w:ascii="Times New Roman" w:hAnsi="Times New Roman" w:cs="Times New Roman"/>
                      <w:bCs/>
                      <w:color w:val="auto"/>
                      <w:szCs w:val="21"/>
                      <w:lang w:val="en-US" w:eastAsia="zh-CN"/>
                    </w:rPr>
                    <w:t>46</w:t>
                  </w:r>
                </w:p>
              </w:tc>
              <w:tc>
                <w:tcPr>
                  <w:tcW w:w="506" w:type="pct"/>
                  <w:tcBorders>
                    <w:left w:val="single" w:color="auto" w:sz="4" w:space="0"/>
                  </w:tcBorders>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0.0</w:t>
                  </w:r>
                  <w:r>
                    <w:rPr>
                      <w:rFonts w:hint="eastAsia" w:cs="Times New Roman"/>
                      <w:bCs/>
                      <w:color w:val="auto"/>
                      <w:szCs w:val="21"/>
                      <w:lang w:val="en-US" w:eastAsia="zh-CN"/>
                    </w:rPr>
                    <w:t>3958</w:t>
                  </w:r>
                </w:p>
              </w:tc>
              <w:tc>
                <w:tcPr>
                  <w:tcW w:w="359" w:type="pct"/>
                  <w:noWrap w:val="0"/>
                  <w:vAlign w:val="center"/>
                </w:tcPr>
                <w:p>
                  <w:pPr>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0.</w:t>
                  </w:r>
                  <w:r>
                    <w:rPr>
                      <w:rFonts w:hint="default" w:ascii="Times New Roman" w:hAnsi="Times New Roman" w:cs="Times New Roman"/>
                      <w:bCs/>
                      <w:color w:val="auto"/>
                      <w:szCs w:val="21"/>
                      <w:lang w:val="en-US" w:eastAsia="zh-CN"/>
                    </w:rPr>
                    <w:t>5</w:t>
                  </w:r>
                </w:p>
              </w:tc>
              <w:tc>
                <w:tcPr>
                  <w:tcW w:w="333"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92" w:type="pct"/>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w:t>
                  </w:r>
                </w:p>
              </w:tc>
              <w:tc>
                <w:tcPr>
                  <w:tcW w:w="355" w:type="pct"/>
                  <w:vMerge w:val="continue"/>
                  <w:noWrap w:val="0"/>
                  <w:vAlign w:val="center"/>
                </w:tcPr>
                <w:p>
                  <w:pPr>
                    <w:jc w:val="center"/>
                    <w:rPr>
                      <w:rFonts w:hint="default" w:ascii="Times New Roman" w:hAnsi="Times New Roman" w:eastAsia="宋体" w:cs="Times New Roman"/>
                      <w:bCs/>
                      <w:color w:val="auto"/>
                      <w:szCs w:val="21"/>
                    </w:rPr>
                  </w:pPr>
                </w:p>
              </w:tc>
              <w:tc>
                <w:tcPr>
                  <w:tcW w:w="500" w:type="pct"/>
                  <w:noWrap w:val="0"/>
                  <w:vAlign w:val="center"/>
                </w:tcPr>
                <w:p>
                  <w:pPr>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臭气浓度</w:t>
                  </w:r>
                </w:p>
              </w:tc>
              <w:tc>
                <w:tcPr>
                  <w:tcW w:w="416" w:type="pct"/>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w:t>
                  </w:r>
                </w:p>
              </w:tc>
              <w:tc>
                <w:tcPr>
                  <w:tcW w:w="526" w:type="pct"/>
                  <w:noWrap w:val="0"/>
                  <w:vAlign w:val="center"/>
                </w:tcPr>
                <w:p>
                  <w:pPr>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w:t>
                  </w:r>
                </w:p>
              </w:tc>
              <w:tc>
                <w:tcPr>
                  <w:tcW w:w="718" w:type="pct"/>
                  <w:noWrap w:val="0"/>
                  <w:vAlign w:val="center"/>
                </w:tcPr>
                <w:p>
                  <w:pPr>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定期喷洒生物除臭剂方式处理</w:t>
                  </w:r>
                </w:p>
              </w:tc>
              <w:tc>
                <w:tcPr>
                  <w:tcW w:w="519" w:type="pct"/>
                  <w:noWrap w:val="0"/>
                  <w:vAlign w:val="center"/>
                </w:tcPr>
                <w:p>
                  <w:pPr>
                    <w:jc w:val="center"/>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w:t>
                  </w:r>
                </w:p>
              </w:tc>
              <w:tc>
                <w:tcPr>
                  <w:tcW w:w="569" w:type="pct"/>
                  <w:tcBorders>
                    <w:right w:val="single" w:color="auto" w:sz="4" w:space="0"/>
                  </w:tcBorders>
                  <w:noWrap w:val="0"/>
                  <w:vAlign w:val="center"/>
                </w:tcPr>
                <w:p>
                  <w:pPr>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小于10无量纲</w:t>
                  </w:r>
                </w:p>
              </w:tc>
              <w:tc>
                <w:tcPr>
                  <w:tcW w:w="506" w:type="pct"/>
                  <w:tcBorders>
                    <w:left w:val="single" w:color="auto" w:sz="4" w:space="0"/>
                  </w:tcBorders>
                  <w:noWrap w:val="0"/>
                  <w:vAlign w:val="center"/>
                </w:tcPr>
                <w:p>
                  <w:pPr>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w:t>
                  </w:r>
                </w:p>
              </w:tc>
              <w:tc>
                <w:tcPr>
                  <w:tcW w:w="359" w:type="pct"/>
                  <w:noWrap w:val="0"/>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20无量纲</w:t>
                  </w:r>
                </w:p>
              </w:tc>
              <w:tc>
                <w:tcPr>
                  <w:tcW w:w="333" w:type="pct"/>
                  <w:noWrap w:val="0"/>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bl>
          <w:p>
            <w:pPr>
              <w:adjustRightInd w:val="0"/>
              <w:snapToGrid w:val="0"/>
              <w:spacing w:line="500" w:lineRule="exact"/>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大气污染物年排放量核算见下表。</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27</w:t>
            </w:r>
            <w:r>
              <w:rPr>
                <w:rFonts w:hint="default" w:ascii="Times New Roman" w:hAnsi="Times New Roman" w:eastAsia="宋体" w:cs="Times New Roman"/>
                <w:b/>
                <w:bCs/>
                <w:color w:val="auto"/>
                <w:kern w:val="2"/>
                <w:sz w:val="24"/>
                <w:szCs w:val="24"/>
                <w:highlight w:val="none"/>
                <w:lang w:val="en-US" w:eastAsia="zh-CN" w:bidi="ar-SA"/>
              </w:rPr>
              <w:t xml:space="preserve">  大气污染物年排放量核算表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907"/>
              <w:gridCol w:w="2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0" w:type="pct"/>
                  <w:noWrap w:val="0"/>
                  <w:vAlign w:val="center"/>
                </w:tcPr>
                <w:p>
                  <w:pPr>
                    <w:pStyle w:val="6"/>
                    <w:snapToGrid w:val="0"/>
                    <w:spacing w:line="24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400" w:type="pct"/>
                  <w:noWrap w:val="0"/>
                  <w:vAlign w:val="center"/>
                </w:tcPr>
                <w:p>
                  <w:pPr>
                    <w:pStyle w:val="6"/>
                    <w:snapToGrid w:val="0"/>
                    <w:spacing w:line="24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668" w:type="pct"/>
                  <w:noWrap w:val="0"/>
                  <w:vAlign w:val="center"/>
                </w:tcPr>
                <w:p>
                  <w:pPr>
                    <w:pStyle w:val="6"/>
                    <w:snapToGrid w:val="0"/>
                    <w:spacing w:line="24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30" w:type="pct"/>
                  <w:noWrap w:val="0"/>
                  <w:vAlign w:val="center"/>
                </w:tcPr>
                <w:p>
                  <w:pPr>
                    <w:pStyle w:val="5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400" w:type="pct"/>
                  <w:noWrap w:val="0"/>
                  <w:vAlign w:val="center"/>
                </w:tcPr>
                <w:p>
                  <w:pPr>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668" w:type="pct"/>
                  <w:noWrap w:val="0"/>
                  <w:vAlign w:val="center"/>
                </w:tcPr>
                <w:p>
                  <w:pPr>
                    <w:widowControl/>
                    <w:snapToGrid w:val="0"/>
                    <w:jc w:val="center"/>
                    <w:rPr>
                      <w:rFonts w:hint="default" w:ascii="Times New Roman" w:hAnsi="Times New Roman" w:cs="Times New Roman"/>
                      <w:color w:val="auto"/>
                      <w:lang w:val="en-US" w:eastAsia="zh-CN"/>
                    </w:rPr>
                  </w:pPr>
                  <w:r>
                    <w:rPr>
                      <w:rFonts w:hint="eastAsia" w:cs="Times New Roman"/>
                      <w:color w:val="auto"/>
                      <w:kern w:val="0"/>
                      <w:szCs w:val="21"/>
                      <w:lang w:val="en-US" w:eastAsia="zh-CN"/>
                    </w:rPr>
                    <w:t>0.931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30" w:type="pct"/>
                  <w:noWrap w:val="0"/>
                  <w:vAlign w:val="center"/>
                </w:tcPr>
                <w:p>
                  <w:pPr>
                    <w:pStyle w:val="5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p>
              </w:tc>
              <w:tc>
                <w:tcPr>
                  <w:tcW w:w="2400" w:type="pct"/>
                  <w:noWrap w:val="0"/>
                  <w:vAlign w:val="center"/>
                </w:tcPr>
                <w:p>
                  <w:pPr>
                    <w:snapToGrid w:val="0"/>
                    <w:jc w:val="center"/>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eastAsia="zh-CN"/>
                    </w:rPr>
                    <w:t>臭气浓度</w:t>
                  </w:r>
                </w:p>
              </w:tc>
              <w:tc>
                <w:tcPr>
                  <w:tcW w:w="1668" w:type="pct"/>
                  <w:noWrap w:val="0"/>
                  <w:vAlign w:val="center"/>
                </w:tcPr>
                <w:p>
                  <w:pPr>
                    <w:widowControl/>
                    <w:snapToGrid w:val="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w:t>
                  </w:r>
                </w:p>
              </w:tc>
            </w:tr>
          </w:tbl>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本项目提出改善当地环境质量措施如下：1、严格排放标准要求，强化无组织排放监管；2、健全本厂环境管理体系。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color w:val="auto"/>
                <w:sz w:val="24"/>
                <w:lang w:val="en-US" w:eastAsia="zh-CN"/>
              </w:rPr>
            </w:pPr>
            <w:r>
              <w:rPr>
                <w:rFonts w:hint="default" w:ascii="Times New Roman" w:hAnsi="Times New Roman" w:cs="Times New Roman"/>
                <w:b/>
                <w:color w:val="auto"/>
                <w:sz w:val="24"/>
                <w:lang w:val="en-US" w:eastAsia="zh-CN"/>
              </w:rPr>
              <w:t>1.3</w:t>
            </w:r>
            <w:r>
              <w:rPr>
                <w:rFonts w:hint="default" w:ascii="Times New Roman" w:hAnsi="Times New Roman" w:eastAsia="宋体" w:cs="Times New Roman"/>
                <w:b/>
                <w:color w:val="auto"/>
                <w:sz w:val="24"/>
                <w:lang w:val="en-US" w:eastAsia="zh-CN"/>
              </w:rPr>
              <w:t>非正常工况</w:t>
            </w:r>
          </w:p>
          <w:p>
            <w:pPr>
              <w:pStyle w:val="51"/>
              <w:widowControl/>
              <w:spacing w:line="480" w:lineRule="exac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color w:val="auto"/>
                <w:sz w:val="24"/>
              </w:rPr>
              <w:t>非正常工况指生产过程中开停车、设备检修、工艺设备运转异常等非正常工况下的污染物排放及污染物排放控制措施达不到应有效率等情况下的排放。本项目非正常工况主要考虑废气治理措施损坏，造成污染物直接排放的情况，非正常工况污染物排放情况如下：</w:t>
            </w: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p>
          <w:p>
            <w:pPr>
              <w:pStyle w:val="2"/>
              <w:rPr>
                <w:rFonts w:hint="default" w:ascii="Times New Roman" w:hAnsi="Times New Roman" w:eastAsia="宋体" w:cs="Times New Roman"/>
                <w:b/>
                <w:bCs/>
                <w:color w:val="auto"/>
                <w:kern w:val="2"/>
                <w:sz w:val="24"/>
                <w:szCs w:val="24"/>
                <w:highlight w:val="none"/>
                <w:lang w:val="en-US" w:eastAsia="zh-CN" w:bidi="ar-SA"/>
              </w:rPr>
            </w:pPr>
          </w:p>
          <w:p>
            <w:pPr>
              <w:rPr>
                <w:rFonts w:hint="default"/>
                <w:color w:val="auto"/>
                <w:lang w:val="en-US" w:eastAsia="zh-CN"/>
              </w:rPr>
            </w:pPr>
          </w:p>
          <w:p>
            <w:pPr>
              <w:rPr>
                <w:rFonts w:hint="default" w:ascii="Times New Roman" w:hAnsi="Times New Roman" w:eastAsia="宋体" w:cs="Times New Roman"/>
                <w:b/>
                <w:bCs/>
                <w:color w:val="auto"/>
                <w:kern w:val="2"/>
                <w:sz w:val="24"/>
                <w:szCs w:val="24"/>
                <w:highlight w:val="none"/>
                <w:lang w:val="en-US" w:eastAsia="zh-CN" w:bidi="ar-SA"/>
              </w:rPr>
            </w:pPr>
          </w:p>
          <w:p>
            <w:pPr>
              <w:pStyle w:val="2"/>
              <w:rPr>
                <w:rFonts w:hint="default" w:ascii="Times New Roman" w:hAnsi="Times New Roman" w:eastAsia="宋体" w:cs="Times New Roman"/>
                <w:b/>
                <w:bCs/>
                <w:color w:val="auto"/>
                <w:kern w:val="2"/>
                <w:sz w:val="24"/>
                <w:szCs w:val="24"/>
                <w:highlight w:val="none"/>
                <w:lang w:val="en-US" w:eastAsia="zh-CN" w:bidi="ar-SA"/>
              </w:rPr>
            </w:pPr>
          </w:p>
          <w:p>
            <w:pPr>
              <w:autoSpaceDE w:val="0"/>
              <w:adjustRightInd w:val="0"/>
              <w:snapToGrid w:val="0"/>
              <w:spacing w:line="480" w:lineRule="exact"/>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28</w:t>
            </w:r>
            <w:r>
              <w:rPr>
                <w:rFonts w:hint="default" w:ascii="Times New Roman" w:hAnsi="Times New Roman" w:eastAsia="宋体" w:cs="Times New Roman"/>
                <w:b/>
                <w:bCs/>
                <w:color w:val="auto"/>
                <w:kern w:val="2"/>
                <w:sz w:val="24"/>
                <w:szCs w:val="24"/>
                <w:highlight w:val="none"/>
                <w:lang w:val="en-US" w:eastAsia="zh-CN" w:bidi="ar-SA"/>
              </w:rPr>
              <w:t xml:space="preserve">    非正常工况污染物排放</w:t>
            </w:r>
          </w:p>
          <w:tbl>
            <w:tblPr>
              <w:tblStyle w:val="20"/>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50"/>
              <w:gridCol w:w="882"/>
              <w:gridCol w:w="553"/>
              <w:gridCol w:w="723"/>
              <w:gridCol w:w="1013"/>
              <w:gridCol w:w="949"/>
              <w:gridCol w:w="698"/>
              <w:gridCol w:w="777"/>
              <w:gridCol w:w="2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5"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序号</w:t>
                  </w:r>
                </w:p>
              </w:tc>
              <w:tc>
                <w:tcPr>
                  <w:tcW w:w="542"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污染源</w:t>
                  </w:r>
                </w:p>
              </w:tc>
              <w:tc>
                <w:tcPr>
                  <w:tcW w:w="340"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非正常排放原因</w:t>
                  </w:r>
                </w:p>
              </w:tc>
              <w:tc>
                <w:tcPr>
                  <w:tcW w:w="444"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污染物</w:t>
                  </w:r>
                </w:p>
              </w:tc>
              <w:tc>
                <w:tcPr>
                  <w:tcW w:w="622"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非正常排放速率/(kg/h)</w:t>
                  </w:r>
                </w:p>
              </w:tc>
              <w:tc>
                <w:tcPr>
                  <w:tcW w:w="583"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非正常排放浓度（mg/m</w:t>
                  </w:r>
                  <w:r>
                    <w:rPr>
                      <w:rFonts w:hint="default" w:ascii="Times New Roman" w:hAnsi="Times New Roman" w:eastAsia="宋体" w:cs="Times New Roman"/>
                      <w:bCs/>
                      <w:color w:val="auto"/>
                      <w:szCs w:val="21"/>
                      <w:vertAlign w:val="superscript"/>
                      <w:lang w:val="en-US"/>
                    </w:rPr>
                    <w:t>3</w:t>
                  </w:r>
                  <w:r>
                    <w:rPr>
                      <w:rFonts w:hint="default" w:ascii="Times New Roman" w:hAnsi="Times New Roman" w:eastAsia="宋体" w:cs="Times New Roman"/>
                      <w:bCs/>
                      <w:color w:val="auto"/>
                      <w:szCs w:val="21"/>
                    </w:rPr>
                    <w:t>）</w:t>
                  </w:r>
                </w:p>
              </w:tc>
              <w:tc>
                <w:tcPr>
                  <w:tcW w:w="429"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单次持续时间</w:t>
                  </w:r>
                </w:p>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rPr>
                    <w:t>/</w:t>
                  </w:r>
                  <w:r>
                    <w:rPr>
                      <w:rFonts w:hint="default" w:ascii="Times New Roman" w:hAnsi="Times New Roman" w:eastAsia="宋体" w:cs="Times New Roman"/>
                      <w:bCs/>
                      <w:color w:val="auto"/>
                      <w:szCs w:val="21"/>
                    </w:rPr>
                    <w:t>h</w:t>
                  </w:r>
                </w:p>
              </w:tc>
              <w:tc>
                <w:tcPr>
                  <w:tcW w:w="477"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rPr>
                    <w:t>年</w:t>
                  </w:r>
                  <w:r>
                    <w:rPr>
                      <w:rFonts w:hint="default" w:ascii="Times New Roman" w:hAnsi="Times New Roman" w:eastAsia="宋体" w:cs="Times New Roman"/>
                      <w:bCs/>
                      <w:color w:val="auto"/>
                      <w:szCs w:val="21"/>
                    </w:rPr>
                    <w:t>发生频次</w:t>
                  </w:r>
                </w:p>
              </w:tc>
              <w:tc>
                <w:tcPr>
                  <w:tcW w:w="1344"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15" w:type="pc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542" w:type="pct"/>
                  <w:noWrap/>
                  <w:vAlign w:val="center"/>
                </w:tcPr>
                <w:p>
                  <w:pPr>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lang w:val="en-US"/>
                    </w:rPr>
                    <w:t>DA00</w:t>
                  </w:r>
                  <w:r>
                    <w:rPr>
                      <w:rFonts w:hint="eastAsia" w:cs="Times New Roman"/>
                      <w:bCs/>
                      <w:color w:val="auto"/>
                      <w:szCs w:val="21"/>
                      <w:lang w:val="en-US" w:eastAsia="zh-CN"/>
                    </w:rPr>
                    <w:t>1</w:t>
                  </w:r>
                </w:p>
              </w:tc>
              <w:tc>
                <w:tcPr>
                  <w:tcW w:w="340" w:type="pct"/>
                  <w:vMerge w:val="restart"/>
                  <w:noWrap/>
                  <w:vAlign w:val="center"/>
                </w:tcPr>
                <w:p>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rPr>
                    <w:t>环保设备</w:t>
                  </w:r>
                  <w:r>
                    <w:rPr>
                      <w:rFonts w:hint="default" w:ascii="Times New Roman" w:hAnsi="Times New Roman" w:eastAsia="宋体" w:cs="Times New Roman"/>
                      <w:bCs/>
                      <w:color w:val="auto"/>
                      <w:szCs w:val="21"/>
                    </w:rPr>
                    <w:t>设施故障</w:t>
                  </w:r>
                </w:p>
              </w:tc>
              <w:tc>
                <w:tcPr>
                  <w:tcW w:w="444"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颗粒物</w:t>
                  </w:r>
                </w:p>
              </w:tc>
              <w:tc>
                <w:tcPr>
                  <w:tcW w:w="1013" w:type="dxa"/>
                  <w:noWrap/>
                  <w:vAlign w:val="center"/>
                </w:tcPr>
                <w:p>
                  <w:pPr>
                    <w:jc w:val="center"/>
                    <w:rPr>
                      <w:rFonts w:hint="default" w:ascii="Times New Roman" w:hAnsi="Times New Roman" w:eastAsia="宋体" w:cs="Times New Roman"/>
                      <w:bCs/>
                      <w:color w:val="auto"/>
                      <w:szCs w:val="21"/>
                      <w:lang w:val="en-US"/>
                    </w:rPr>
                  </w:pPr>
                  <w:r>
                    <w:rPr>
                      <w:rFonts w:hint="eastAsia" w:cs="Times New Roman"/>
                      <w:bCs/>
                      <w:color w:val="auto"/>
                      <w:szCs w:val="21"/>
                      <w:lang w:val="en-US" w:eastAsia="zh-CN"/>
                    </w:rPr>
                    <w:t>12.968</w:t>
                  </w:r>
                </w:p>
              </w:tc>
              <w:tc>
                <w:tcPr>
                  <w:tcW w:w="949" w:type="dxa"/>
                  <w:noWrap/>
                  <w:vAlign w:val="center"/>
                </w:tcPr>
                <w:p>
                  <w:pPr>
                    <w:jc w:val="center"/>
                    <w:rPr>
                      <w:rFonts w:hint="default" w:ascii="Times New Roman" w:hAnsi="Times New Roman" w:eastAsia="宋体" w:cs="Times New Roman"/>
                      <w:bCs/>
                      <w:color w:val="auto"/>
                      <w:szCs w:val="21"/>
                      <w:lang w:val="en-US"/>
                    </w:rPr>
                  </w:pPr>
                  <w:r>
                    <w:rPr>
                      <w:rFonts w:hint="eastAsia" w:cs="Times New Roman"/>
                      <w:bCs/>
                      <w:color w:val="auto"/>
                      <w:szCs w:val="21"/>
                      <w:lang w:val="en-US" w:eastAsia="zh-CN"/>
                    </w:rPr>
                    <w:t>432.25</w:t>
                  </w:r>
                </w:p>
              </w:tc>
              <w:tc>
                <w:tcPr>
                  <w:tcW w:w="429"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0.5</w:t>
                  </w:r>
                </w:p>
              </w:tc>
              <w:tc>
                <w:tcPr>
                  <w:tcW w:w="477"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1</w:t>
                  </w:r>
                </w:p>
              </w:tc>
              <w:tc>
                <w:tcPr>
                  <w:tcW w:w="1344" w:type="pct"/>
                  <w:vMerge w:val="restar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停止生产，及时更换配件，定期检查维护，加强管理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215" w:type="pct"/>
                  <w:vMerge w:val="restart"/>
                  <w:noWrap/>
                  <w:vAlign w:val="center"/>
                </w:tcPr>
                <w:p>
                  <w:pPr>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2</w:t>
                  </w:r>
                </w:p>
              </w:tc>
              <w:tc>
                <w:tcPr>
                  <w:tcW w:w="542" w:type="pct"/>
                  <w:vMerge w:val="restart"/>
                  <w:noWrap/>
                  <w:vAlign w:val="center"/>
                </w:tcPr>
                <w:p>
                  <w:pPr>
                    <w:jc w:val="center"/>
                    <w:rPr>
                      <w:rFonts w:hint="eastAsia"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DA00</w:t>
                  </w:r>
                  <w:r>
                    <w:rPr>
                      <w:rFonts w:hint="eastAsia" w:cs="Times New Roman"/>
                      <w:bCs/>
                      <w:color w:val="auto"/>
                      <w:szCs w:val="21"/>
                      <w:lang w:val="en-US" w:eastAsia="zh-CN"/>
                    </w:rPr>
                    <w:t>2</w:t>
                  </w:r>
                </w:p>
              </w:tc>
              <w:tc>
                <w:tcPr>
                  <w:tcW w:w="340" w:type="pct"/>
                  <w:vMerge w:val="continue"/>
                  <w:noWrap/>
                  <w:vAlign w:val="center"/>
                </w:tcPr>
                <w:p>
                  <w:pPr>
                    <w:jc w:val="center"/>
                    <w:rPr>
                      <w:rFonts w:hint="default" w:ascii="Times New Roman" w:hAnsi="Times New Roman" w:eastAsia="宋体" w:cs="Times New Roman"/>
                      <w:bCs/>
                      <w:color w:val="auto"/>
                      <w:szCs w:val="21"/>
                      <w:lang w:val="en-US"/>
                    </w:rPr>
                  </w:pPr>
                </w:p>
              </w:tc>
              <w:tc>
                <w:tcPr>
                  <w:tcW w:w="444"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颗粒物</w:t>
                  </w:r>
                </w:p>
              </w:tc>
              <w:tc>
                <w:tcPr>
                  <w:tcW w:w="622" w:type="pct"/>
                  <w:noWrap/>
                  <w:vAlign w:val="center"/>
                </w:tcPr>
                <w:p>
                  <w:pPr>
                    <w:jc w:val="center"/>
                    <w:rPr>
                      <w:rFonts w:hint="default" w:ascii="Times New Roman" w:hAnsi="Times New Roman" w:eastAsia="宋体" w:cs="Times New Roman"/>
                      <w:bCs/>
                      <w:color w:val="auto"/>
                      <w:szCs w:val="21"/>
                      <w:lang w:val="en-US"/>
                    </w:rPr>
                  </w:pPr>
                  <w:r>
                    <w:rPr>
                      <w:rFonts w:hint="eastAsia" w:cs="Times New Roman"/>
                      <w:bCs/>
                      <w:color w:val="auto"/>
                      <w:szCs w:val="21"/>
                      <w:lang w:val="en-US" w:eastAsia="zh-CN"/>
                    </w:rPr>
                    <w:t>3.5</w:t>
                  </w:r>
                </w:p>
              </w:tc>
              <w:tc>
                <w:tcPr>
                  <w:tcW w:w="583" w:type="pct"/>
                  <w:noWrap/>
                  <w:vAlign w:val="center"/>
                </w:tcPr>
                <w:p>
                  <w:pPr>
                    <w:jc w:val="center"/>
                    <w:rPr>
                      <w:rFonts w:hint="default" w:ascii="Times New Roman" w:hAnsi="Times New Roman" w:eastAsia="宋体" w:cs="Times New Roman"/>
                      <w:bCs/>
                      <w:color w:val="auto"/>
                      <w:szCs w:val="21"/>
                      <w:lang w:val="en-US"/>
                    </w:rPr>
                  </w:pPr>
                  <w:r>
                    <w:rPr>
                      <w:rFonts w:hint="eastAsia" w:cs="Times New Roman"/>
                      <w:bCs/>
                      <w:color w:val="auto"/>
                      <w:szCs w:val="21"/>
                      <w:lang w:val="en-US" w:eastAsia="zh-CN"/>
                    </w:rPr>
                    <w:t>350</w:t>
                  </w:r>
                </w:p>
              </w:tc>
              <w:tc>
                <w:tcPr>
                  <w:tcW w:w="429"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0.5</w:t>
                  </w:r>
                </w:p>
              </w:tc>
              <w:tc>
                <w:tcPr>
                  <w:tcW w:w="477" w:type="pct"/>
                  <w:noWrap/>
                  <w:vAlign w:val="center"/>
                </w:tcPr>
                <w:p>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rPr>
                    <w:t>1</w:t>
                  </w:r>
                </w:p>
              </w:tc>
              <w:tc>
                <w:tcPr>
                  <w:tcW w:w="1344" w:type="pct"/>
                  <w:vMerge w:val="continue"/>
                  <w:noWrap/>
                  <w:vAlign w:val="center"/>
                </w:tcPr>
                <w:p>
                  <w:pPr>
                    <w:jc w:val="center"/>
                    <w:rPr>
                      <w:rFonts w:hint="default" w:ascii="Times New Roman" w:hAnsi="Times New Roman" w:eastAsia="宋体" w:cs="Times New Roman"/>
                      <w:bCs/>
                      <w:color w:val="auto"/>
                      <w:szCs w:val="21"/>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15" w:type="pct"/>
                  <w:vMerge w:val="continue"/>
                  <w:noWrap/>
                  <w:vAlign w:val="center"/>
                </w:tcPr>
                <w:p>
                  <w:pPr>
                    <w:jc w:val="center"/>
                    <w:rPr>
                      <w:rFonts w:hint="default" w:ascii="Times New Roman" w:hAnsi="Times New Roman" w:eastAsia="宋体" w:cs="Times New Roman"/>
                      <w:bCs/>
                      <w:color w:val="auto"/>
                      <w:szCs w:val="21"/>
                      <w:lang w:val="en-US" w:eastAsia="zh-CN"/>
                    </w:rPr>
                  </w:pPr>
                </w:p>
              </w:tc>
              <w:tc>
                <w:tcPr>
                  <w:tcW w:w="542" w:type="pct"/>
                  <w:vMerge w:val="continue"/>
                  <w:noWrap/>
                  <w:vAlign w:val="center"/>
                </w:tcPr>
                <w:p>
                  <w:pPr>
                    <w:jc w:val="center"/>
                    <w:rPr>
                      <w:rFonts w:hint="default" w:ascii="Times New Roman" w:hAnsi="Times New Roman" w:eastAsia="宋体" w:cs="Times New Roman"/>
                      <w:bCs/>
                      <w:color w:val="auto"/>
                      <w:szCs w:val="21"/>
                    </w:rPr>
                  </w:pPr>
                </w:p>
              </w:tc>
              <w:tc>
                <w:tcPr>
                  <w:tcW w:w="340" w:type="pct"/>
                  <w:vMerge w:val="continue"/>
                  <w:noWrap/>
                  <w:vAlign w:val="center"/>
                </w:tcPr>
                <w:p>
                  <w:pPr>
                    <w:jc w:val="center"/>
                    <w:rPr>
                      <w:rFonts w:hint="default" w:ascii="Times New Roman" w:hAnsi="Times New Roman" w:eastAsia="宋体" w:cs="Times New Roman"/>
                      <w:bCs/>
                      <w:color w:val="auto"/>
                      <w:szCs w:val="21"/>
                      <w:lang w:val="en-US"/>
                    </w:rPr>
                  </w:pPr>
                </w:p>
              </w:tc>
              <w:tc>
                <w:tcPr>
                  <w:tcW w:w="444" w:type="pct"/>
                  <w:noWrap/>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臭气浓度</w:t>
                  </w:r>
                </w:p>
              </w:tc>
              <w:tc>
                <w:tcPr>
                  <w:tcW w:w="622" w:type="pct"/>
                  <w:noWrap/>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w:t>
                  </w:r>
                </w:p>
              </w:tc>
              <w:tc>
                <w:tcPr>
                  <w:tcW w:w="583" w:type="pct"/>
                  <w:noWrap/>
                  <w:vAlign w:val="center"/>
                </w:tcPr>
                <w:p>
                  <w:pPr>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w:t>
                  </w:r>
                </w:p>
              </w:tc>
              <w:tc>
                <w:tcPr>
                  <w:tcW w:w="429" w:type="pct"/>
                  <w:noWrap/>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w:t>
                  </w:r>
                </w:p>
              </w:tc>
              <w:tc>
                <w:tcPr>
                  <w:tcW w:w="477" w:type="pct"/>
                  <w:noWrap/>
                  <w:vAlign w:val="center"/>
                </w:tcPr>
                <w:p>
                  <w:pPr>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w:t>
                  </w:r>
                </w:p>
              </w:tc>
              <w:tc>
                <w:tcPr>
                  <w:tcW w:w="1344" w:type="pct"/>
                  <w:vMerge w:val="continue"/>
                  <w:noWrap/>
                  <w:vAlign w:val="center"/>
                </w:tcPr>
                <w:p>
                  <w:pPr>
                    <w:jc w:val="center"/>
                    <w:rPr>
                      <w:rFonts w:hint="default" w:ascii="Times New Roman" w:hAnsi="Times New Roman" w:eastAsia="宋体" w:cs="Times New Roman"/>
                      <w:bCs/>
                      <w:color w:val="auto"/>
                      <w:szCs w:val="21"/>
                      <w:lang w:val="en-US"/>
                    </w:rPr>
                  </w:pPr>
                </w:p>
              </w:tc>
            </w:tr>
          </w:tbl>
          <w:p>
            <w:pPr>
              <w:snapToGrid w:val="0"/>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1.4废气治理措施可行性</w:t>
            </w:r>
          </w:p>
          <w:p>
            <w:pPr>
              <w:snapToGrid w:val="0"/>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lang w:val="en-US" w:eastAsia="zh-CN"/>
              </w:rPr>
              <w:t>类比</w:t>
            </w:r>
            <w:r>
              <w:rPr>
                <w:rFonts w:hint="eastAsia" w:ascii="Times New Roman" w:hAnsi="Times New Roman" w:cs="Times New Roman"/>
                <w:color w:val="auto"/>
                <w:sz w:val="24"/>
                <w:lang w:val="en-US" w:eastAsia="zh-CN"/>
              </w:rPr>
              <w:t>唐山市开平云鹏陶瓷材料有限</w:t>
            </w:r>
            <w:r>
              <w:rPr>
                <w:rFonts w:hint="eastAsia" w:ascii="Times New Roman" w:hAnsi="Times New Roman" w:eastAsia="宋体" w:cs="Times New Roman"/>
                <w:color w:val="auto"/>
                <w:sz w:val="24"/>
                <w:lang w:val="en-US" w:eastAsia="zh-CN"/>
              </w:rPr>
              <w:t>公司骨碳生产线扩建项目验收监测报告（见附件）</w:t>
            </w:r>
            <w:r>
              <w:rPr>
                <w:rFonts w:hint="default" w:ascii="Times New Roman" w:hAnsi="Times New Roman" w:eastAsia="宋体" w:cs="Times New Roman"/>
                <w:color w:val="auto"/>
                <w:sz w:val="24"/>
                <w:lang w:val="en-US" w:eastAsia="zh-CN"/>
              </w:rPr>
              <w:t>，上料、</w:t>
            </w:r>
            <w:r>
              <w:rPr>
                <w:rFonts w:hint="eastAsia" w:ascii="Times New Roman" w:hAnsi="Times New Roman" w:eastAsia="宋体" w:cs="Times New Roman"/>
                <w:color w:val="auto"/>
                <w:sz w:val="24"/>
                <w:lang w:val="en-US" w:eastAsia="zh-CN"/>
              </w:rPr>
              <w:t>皮带运输、</w:t>
            </w:r>
            <w:r>
              <w:rPr>
                <w:rFonts w:hint="default" w:ascii="Times New Roman" w:hAnsi="Times New Roman" w:eastAsia="宋体" w:cs="Times New Roman"/>
                <w:color w:val="auto"/>
                <w:sz w:val="24"/>
                <w:lang w:val="en-US" w:eastAsia="zh-CN"/>
              </w:rPr>
              <w:t>布料</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筛分、色选、包装工序产生的颗粒物</w:t>
            </w:r>
            <w:r>
              <w:rPr>
                <w:rFonts w:hint="eastAsia" w:ascii="Times New Roman" w:hAnsi="Times New Roman" w:eastAsia="宋体" w:cs="Times New Roman"/>
                <w:color w:val="auto"/>
                <w:sz w:val="24"/>
                <w:lang w:val="en-US" w:eastAsia="zh-CN"/>
              </w:rPr>
              <w:t>经脉冲布袋除尘器处理后可达标排放；碳化机</w:t>
            </w:r>
            <w:r>
              <w:rPr>
                <w:rFonts w:hint="default" w:ascii="Times New Roman" w:hAnsi="Times New Roman" w:eastAsia="宋体" w:cs="Times New Roman"/>
                <w:color w:val="auto"/>
                <w:sz w:val="24"/>
                <w:lang w:val="en-US" w:eastAsia="zh-CN"/>
              </w:rPr>
              <w:t>产生的颗粒物、臭气浓度</w:t>
            </w:r>
            <w:r>
              <w:rPr>
                <w:rFonts w:hint="eastAsia" w:ascii="Times New Roman" w:hAnsi="Times New Roman" w:eastAsia="宋体" w:cs="Times New Roman"/>
                <w:color w:val="auto"/>
                <w:sz w:val="24"/>
                <w:lang w:val="en-US" w:eastAsia="zh-CN"/>
              </w:rPr>
              <w:t>经</w:t>
            </w:r>
            <w:r>
              <w:rPr>
                <w:rFonts w:hint="default" w:ascii="Times New Roman" w:hAnsi="Times New Roman" w:eastAsia="宋体" w:cs="Times New Roman"/>
                <w:color w:val="auto"/>
                <w:sz w:val="24"/>
                <w:lang w:val="en-US" w:eastAsia="zh-CN"/>
              </w:rPr>
              <w:t>旋风除尘+水浴除尘+</w:t>
            </w:r>
            <w:r>
              <w:rPr>
                <w:rFonts w:hint="eastAsia" w:ascii="Times New Roman" w:hAnsi="Times New Roman" w:eastAsia="宋体" w:cs="Times New Roman"/>
                <w:color w:val="auto"/>
                <w:sz w:val="24"/>
                <w:lang w:val="en-US" w:eastAsia="zh-CN"/>
              </w:rPr>
              <w:t>湿式静电除尘</w:t>
            </w:r>
            <w:r>
              <w:rPr>
                <w:rFonts w:hint="default" w:ascii="Times New Roman" w:hAnsi="Times New Roman" w:eastAsia="宋体" w:cs="Times New Roman"/>
                <w:color w:val="auto"/>
                <w:sz w:val="24"/>
                <w:lang w:val="en-US" w:eastAsia="zh-CN"/>
              </w:rPr>
              <w:t>装置处理</w:t>
            </w:r>
            <w:r>
              <w:rPr>
                <w:rFonts w:hint="eastAsia" w:ascii="Times New Roman" w:hAnsi="Times New Roman" w:eastAsia="宋体" w:cs="Times New Roman"/>
                <w:color w:val="auto"/>
                <w:sz w:val="24"/>
                <w:lang w:val="en-US" w:eastAsia="zh-CN"/>
              </w:rPr>
              <w:t>后可达标排放；厂界</w:t>
            </w:r>
            <w:r>
              <w:rPr>
                <w:rFonts w:hint="default" w:ascii="Times New Roman" w:hAnsi="Times New Roman" w:eastAsia="宋体" w:cs="Times New Roman"/>
                <w:color w:val="auto"/>
                <w:sz w:val="24"/>
                <w:lang w:val="en-US" w:eastAsia="zh-CN"/>
              </w:rPr>
              <w:t>无组织臭气浓度采取定期喷洒生物除臭剂方式处理后，厂区内无组织排放</w:t>
            </w:r>
            <w:r>
              <w:rPr>
                <w:rFonts w:hint="eastAsia" w:ascii="Times New Roman" w:hAnsi="Times New Roman" w:eastAsia="宋体" w:cs="Times New Roman"/>
                <w:color w:val="auto"/>
                <w:sz w:val="24"/>
                <w:lang w:val="en-US" w:eastAsia="zh-CN"/>
              </w:rPr>
              <w:t>。综上所述，本项目废气治理措施可行。</w:t>
            </w:r>
          </w:p>
          <w:p>
            <w:pPr>
              <w:snapToGrid w:val="0"/>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eastAsia" w:cs="Times New Roman"/>
                <w:b/>
                <w:bCs/>
                <w:color w:val="auto"/>
                <w:sz w:val="24"/>
                <w:lang w:val="en-US" w:eastAsia="zh-CN"/>
              </w:rPr>
              <w:t>5</w:t>
            </w:r>
            <w:r>
              <w:rPr>
                <w:rFonts w:hint="default" w:ascii="Times New Roman" w:hAnsi="Times New Roman" w:cs="Times New Roman"/>
                <w:b/>
                <w:bCs/>
                <w:color w:val="auto"/>
                <w:sz w:val="24"/>
              </w:rPr>
              <w:t>结论</w:t>
            </w:r>
          </w:p>
          <w:p>
            <w:pPr>
              <w:autoSpaceDE w:val="0"/>
              <w:autoSpaceDN w:val="0"/>
              <w:adjustRightIn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所在区域属环境空气质量不达标区，项目采取各项污染防治措施后，污染物排放均能满足相应标准要求，本项目主要污染源均可实现稳定达标排放，满足大气环境影响评价导则确定的可行条件，本项目提出改善当地环境质量措施严格排放标准要求，强化无组织排放监管，健全本厂环境管理体系。因此本项目大气环境影响可接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2、废水治理措施及影响分析</w:t>
            </w:r>
          </w:p>
          <w:p>
            <w:pPr>
              <w:adjustRightInd w:val="0"/>
              <w:snapToGrid w:val="0"/>
              <w:spacing w:line="360" w:lineRule="auto"/>
              <w:ind w:firstLine="480"/>
              <w:jc w:val="left"/>
              <w:rPr>
                <w:rFonts w:hint="default" w:ascii="Times New Roman" w:hAnsi="Times New Roman" w:cs="Times New Roman"/>
                <w:color w:val="auto"/>
                <w:sz w:val="24"/>
              </w:rPr>
            </w:pPr>
            <w:r>
              <w:rPr>
                <w:rFonts w:hint="default" w:ascii="Times New Roman" w:hAnsi="Times New Roman" w:cs="Times New Roman"/>
                <w:color w:val="auto"/>
                <w:sz w:val="24"/>
              </w:rPr>
              <w:t>本项目新水用量</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720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eastAsia" w:cs="Times New Roman"/>
                <w:color w:val="auto"/>
                <w:sz w:val="24"/>
                <w:lang w:val="en-US" w:eastAsia="zh-CN"/>
              </w:rPr>
              <w:t>荆各庄村提供</w:t>
            </w:r>
            <w:r>
              <w:rPr>
                <w:rFonts w:hint="default" w:ascii="Times New Roman" w:hAnsi="Times New Roman" w:cs="Times New Roman"/>
                <w:color w:val="auto"/>
                <w:sz w:val="24"/>
              </w:rPr>
              <w:t>，能够满足项目需求。</w:t>
            </w:r>
          </w:p>
          <w:p>
            <w:pPr>
              <w:adjustRightInd w:val="0"/>
              <w:snapToGrid w:val="0"/>
              <w:spacing w:line="360" w:lineRule="auto"/>
              <w:ind w:firstLine="480"/>
              <w:jc w:val="left"/>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生活用水：</w:t>
            </w:r>
          </w:p>
          <w:p>
            <w:pPr>
              <w:adjustRightInd w:val="0"/>
              <w:snapToGrid w:val="0"/>
              <w:spacing w:line="360" w:lineRule="auto"/>
              <w:ind w:firstLine="480"/>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本项目厂区内不设宿舍、食堂、浴室，厕所为</w:t>
            </w:r>
            <w:r>
              <w:rPr>
                <w:rFonts w:hint="eastAsia" w:ascii="Times New Roman" w:hAnsi="Times New Roman" w:eastAsia="宋体" w:cs="Times New Roman"/>
                <w:color w:val="auto"/>
                <w:sz w:val="24"/>
                <w:lang w:eastAsia="zh-CN"/>
              </w:rPr>
              <w:t>防渗旱</w:t>
            </w:r>
            <w:r>
              <w:rPr>
                <w:rFonts w:hint="eastAsia" w:ascii="Times New Roman" w:hAnsi="Times New Roman" w:eastAsia="宋体" w:cs="Times New Roman"/>
                <w:color w:val="auto"/>
                <w:sz w:val="24"/>
              </w:rPr>
              <w:t>厕。用水按每人每天</w:t>
            </w:r>
            <w:r>
              <w:rPr>
                <w:rFonts w:hint="eastAsia"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L</w:t>
            </w:r>
            <w:r>
              <w:rPr>
                <w:rFonts w:hint="eastAsia" w:ascii="Times New Roman" w:hAnsi="Times New Roman" w:eastAsia="宋体" w:cs="Times New Roman"/>
                <w:color w:val="auto"/>
                <w:sz w:val="24"/>
              </w:rPr>
              <w:t>计，劳动定员</w:t>
            </w:r>
            <w:r>
              <w:rPr>
                <w:rFonts w:hint="default" w:ascii="Times New Roman" w:hAnsi="Times New Roman" w:eastAsia="宋体" w:cs="Times New Roman"/>
                <w:color w:val="auto"/>
                <w:sz w:val="24"/>
              </w:rPr>
              <w:t>2</w:t>
            </w:r>
            <w:r>
              <w:rPr>
                <w:rFonts w:hint="eastAsia" w:ascii="Times New Roman" w:hAnsi="Times New Roman" w:eastAsia="宋体" w:cs="Times New Roman"/>
                <w:color w:val="auto"/>
                <w:sz w:val="24"/>
              </w:rPr>
              <w:t xml:space="preserve">0人，生活用水量为 </w:t>
            </w:r>
            <w:r>
              <w:rPr>
                <w:rFonts w:hint="default" w:ascii="Times New Roman" w:hAnsi="Times New Roman" w:eastAsia="宋体" w:cs="Times New Roman"/>
                <w:color w:val="auto"/>
                <w:sz w:val="24"/>
              </w:rPr>
              <w:t>0.</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120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eastAsia" w:ascii="Times New Roman" w:hAnsi="Times New Roman" w:eastAsia="宋体" w:cs="Times New Roman"/>
                <w:color w:val="auto"/>
                <w:sz w:val="24"/>
              </w:rPr>
              <w:t>）。生活污水</w:t>
            </w:r>
            <w:r>
              <w:rPr>
                <w:rFonts w:hint="eastAsia" w:ascii="Times New Roman" w:hAnsi="Times New Roman" w:eastAsia="宋体" w:cs="Times New Roman"/>
                <w:color w:val="auto"/>
                <w:sz w:val="24"/>
                <w:lang w:eastAsia="zh-CN"/>
              </w:rPr>
              <w:t>直接泼洒抑尘</w:t>
            </w:r>
            <w:r>
              <w:rPr>
                <w:rFonts w:hint="eastAsia" w:ascii="Times New Roman" w:hAnsi="Times New Roman" w:eastAsia="宋体" w:cs="Times New Roman"/>
                <w:color w:val="auto"/>
                <w:sz w:val="24"/>
              </w:rPr>
              <w:t>。</w:t>
            </w:r>
          </w:p>
          <w:p>
            <w:pPr>
              <w:adjustRightInd w:val="0"/>
              <w:snapToGrid w:val="0"/>
              <w:spacing w:line="360" w:lineRule="auto"/>
              <w:ind w:firstLine="48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生产用水：</w:t>
            </w:r>
          </w:p>
          <w:p>
            <w:pPr>
              <w:adjustRightInd w:val="0"/>
              <w:snapToGrid w:val="0"/>
              <w:spacing w:line="360" w:lineRule="auto"/>
              <w:ind w:firstLine="480"/>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1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①</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喷淋用水：根据企业提供资料，喷淋用水量为</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300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/a）；喷淋用水</w:t>
            </w:r>
            <w:r>
              <w:rPr>
                <w:rFonts w:hint="default" w:ascii="Times New Roman" w:hAnsi="Times New Roman" w:cs="Times New Roman"/>
                <w:bCs/>
                <w:color w:val="auto"/>
                <w:sz w:val="24"/>
              </w:rPr>
              <w:t>部分进入产品，部分蒸发。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②</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eastAsia="zh-CN"/>
              </w:rPr>
              <w:t>洗车</w:t>
            </w:r>
            <w:r>
              <w:rPr>
                <w:rFonts w:hint="default" w:ascii="Times New Roman" w:hAnsi="Times New Roman" w:cs="Times New Roman"/>
                <w:color w:val="auto"/>
                <w:sz w:val="24"/>
              </w:rPr>
              <w:t>用水：厂区出入口设置1座洗车平台清洗运输车辆。</w:t>
            </w:r>
            <w:r>
              <w:rPr>
                <w:rFonts w:hint="default" w:ascii="Times New Roman" w:hAnsi="Times New Roman" w:cs="Times New Roman"/>
                <w:color w:val="auto"/>
                <w:kern w:val="0"/>
                <w:sz w:val="24"/>
              </w:rPr>
              <w:t>对进出厂区车辆进行喷洗，</w:t>
            </w:r>
            <w:r>
              <w:rPr>
                <w:rFonts w:hint="default" w:ascii="Times New Roman" w:hAnsi="Times New Roman" w:cs="Times New Roman"/>
                <w:color w:val="auto"/>
                <w:sz w:val="24"/>
              </w:rPr>
              <w:t>冲洗</w:t>
            </w:r>
            <w:r>
              <w:rPr>
                <w:rFonts w:hint="default" w:ascii="Times New Roman" w:hAnsi="Times New Roman" w:cs="Times New Roman"/>
                <w:snapToGrid w:val="0"/>
                <w:color w:val="auto"/>
                <w:kern w:val="0"/>
                <w:sz w:val="24"/>
              </w:rPr>
              <w:t>用水总用水量为1m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（300m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新水用量为0.2m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60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循环水量为0.8m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/d（240m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洗车</w:t>
            </w:r>
            <w:r>
              <w:rPr>
                <w:rFonts w:hint="default" w:ascii="Times New Roman" w:hAnsi="Times New Roman" w:cs="Times New Roman"/>
                <w:color w:val="auto"/>
                <w:sz w:val="24"/>
              </w:rPr>
              <w:t>废水</w:t>
            </w:r>
            <w:r>
              <w:rPr>
                <w:rFonts w:hint="default" w:ascii="Times New Roman" w:hAnsi="Times New Roman" w:cs="Times New Roman"/>
                <w:snapToGrid w:val="0"/>
                <w:color w:val="auto"/>
                <w:kern w:val="0"/>
                <w:sz w:val="24"/>
              </w:rPr>
              <w:t>进入沉淀池，经沉淀后上清液回用，不外排</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③</w:t>
            </w:r>
            <w:r>
              <w:rPr>
                <w:rFonts w:hint="default" w:ascii="Times New Roman" w:hAnsi="Times New Roman" w:cs="Times New Roman"/>
                <w:bCs/>
                <w:color w:val="auto"/>
                <w:sz w:val="24"/>
                <w:lang w:eastAsia="zh-CN"/>
              </w:rPr>
              <w:t>冷却</w:t>
            </w:r>
            <w:r>
              <w:rPr>
                <w:rFonts w:hint="default" w:ascii="Times New Roman" w:hAnsi="Times New Roman" w:cs="Times New Roman"/>
                <w:color w:val="auto"/>
                <w:sz w:val="24"/>
              </w:rPr>
              <w:t>用水：</w:t>
            </w:r>
            <w:r>
              <w:rPr>
                <w:rFonts w:hint="default" w:ascii="Times New Roman" w:hAnsi="Times New Roman" w:cs="Times New Roman"/>
                <w:color w:val="auto"/>
                <w:sz w:val="24"/>
                <w:lang w:eastAsia="zh-CN"/>
              </w:rPr>
              <w:t>冷却</w:t>
            </w:r>
            <w:r>
              <w:rPr>
                <w:rFonts w:hint="default" w:ascii="Times New Roman" w:hAnsi="Times New Roman" w:cs="Times New Roman"/>
                <w:snapToGrid w:val="0"/>
                <w:color w:val="auto"/>
                <w:kern w:val="0"/>
                <w:sz w:val="24"/>
              </w:rPr>
              <w:t>用水总用水量为</w:t>
            </w:r>
            <w:r>
              <w:rPr>
                <w:rFonts w:hint="default" w:ascii="Times New Roman" w:hAnsi="Times New Roman" w:cs="Times New Roman"/>
                <w:snapToGrid w:val="0"/>
                <w:color w:val="auto"/>
                <w:kern w:val="0"/>
                <w:sz w:val="24"/>
                <w:lang w:val="en-US" w:eastAsia="zh-CN"/>
              </w:rPr>
              <w:t>3</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rPr>
              <w:t>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w:t>
            </w:r>
            <w:r>
              <w:rPr>
                <w:rFonts w:hint="default" w:ascii="Times New Roman" w:hAnsi="Times New Roman" w:cs="Times New Roman"/>
                <w:snapToGrid w:val="0"/>
                <w:color w:val="auto"/>
                <w:kern w:val="0"/>
                <w:sz w:val="24"/>
                <w:lang w:val="en-US" w:eastAsia="zh-CN"/>
              </w:rPr>
              <w:t>4</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120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w:t>
            </w:r>
            <w:r>
              <w:rPr>
                <w:rFonts w:hint="default" w:ascii="Times New Roman" w:hAnsi="Times New Roman" w:cs="Times New Roman"/>
                <w:color w:val="auto"/>
                <w:sz w:val="24"/>
                <w:lang w:val="en-US" w:eastAsia="zh-CN"/>
              </w:rPr>
              <w:t>2.6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780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冷却废水经冷却塔冷却后循环使用</w:t>
            </w:r>
            <w:r>
              <w:rPr>
                <w:rFonts w:hint="default" w:ascii="Times New Roman" w:hAnsi="Times New Roman" w:cs="Times New Roman"/>
                <w:snapToGrid w:val="0"/>
                <w:color w:val="auto"/>
                <w:kern w:val="0"/>
                <w:sz w:val="24"/>
              </w:rPr>
              <w:t>，不外排</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lang w:eastAsia="zh-CN"/>
              </w:rPr>
              <w:t>④水浴除尘</w:t>
            </w:r>
            <w:r>
              <w:rPr>
                <w:rFonts w:hint="eastAsia" w:cs="Times New Roman"/>
                <w:bCs/>
                <w:color w:val="auto"/>
                <w:sz w:val="24"/>
                <w:lang w:eastAsia="zh-CN"/>
              </w:rPr>
              <w:t>、湿式静电除尘</w:t>
            </w:r>
            <w:r>
              <w:rPr>
                <w:rFonts w:hint="default" w:ascii="Times New Roman" w:hAnsi="Times New Roman" w:cs="Times New Roman"/>
                <w:color w:val="auto"/>
                <w:sz w:val="24"/>
              </w:rPr>
              <w:t>用水：</w:t>
            </w:r>
            <w:r>
              <w:rPr>
                <w:rFonts w:hint="default" w:ascii="Times New Roman" w:hAnsi="Times New Roman" w:cs="Times New Roman"/>
                <w:bCs/>
                <w:color w:val="auto"/>
                <w:sz w:val="24"/>
                <w:lang w:eastAsia="zh-CN"/>
              </w:rPr>
              <w:t>水浴除尘</w:t>
            </w:r>
            <w:r>
              <w:rPr>
                <w:rFonts w:hint="eastAsia" w:cs="Times New Roman"/>
                <w:bCs/>
                <w:color w:val="auto"/>
                <w:sz w:val="24"/>
                <w:lang w:eastAsia="zh-CN"/>
              </w:rPr>
              <w:t>、湿式静电除尘</w:t>
            </w:r>
            <w:r>
              <w:rPr>
                <w:rFonts w:hint="default" w:ascii="Times New Roman" w:hAnsi="Times New Roman" w:cs="Times New Roman"/>
                <w:snapToGrid w:val="0"/>
                <w:color w:val="auto"/>
                <w:kern w:val="0"/>
                <w:sz w:val="24"/>
              </w:rPr>
              <w:t>用水总用水量为</w:t>
            </w:r>
            <w:r>
              <w:rPr>
                <w:rFonts w:hint="default" w:ascii="Times New Roman" w:hAnsi="Times New Roman" w:cs="Times New Roman"/>
                <w:snapToGrid w:val="0"/>
                <w:color w:val="auto"/>
                <w:kern w:val="0"/>
                <w:sz w:val="24"/>
                <w:lang w:val="en-US" w:eastAsia="zh-CN"/>
              </w:rPr>
              <w:t>2</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600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snapToGrid w:val="0"/>
                <w:color w:val="auto"/>
                <w:kern w:val="0"/>
                <w:sz w:val="24"/>
              </w:rPr>
              <w:t>新水用量为0.</w:t>
            </w:r>
            <w:r>
              <w:rPr>
                <w:rFonts w:hint="default" w:ascii="Times New Roman" w:hAnsi="Times New Roman" w:cs="Times New Roman"/>
                <w:snapToGrid w:val="0"/>
                <w:color w:val="auto"/>
                <w:kern w:val="0"/>
                <w:sz w:val="24"/>
                <w:lang w:val="en-US" w:eastAsia="zh-CN"/>
              </w:rPr>
              <w:t>4</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120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r>
              <w:rPr>
                <w:rFonts w:hint="default" w:ascii="Times New Roman" w:hAnsi="Times New Roman" w:cs="Times New Roman"/>
                <w:snapToGrid w:val="0"/>
                <w:color w:val="auto"/>
                <w:kern w:val="0"/>
                <w:sz w:val="24"/>
              </w:rPr>
              <w:t>，</w:t>
            </w:r>
            <w:r>
              <w:rPr>
                <w:rFonts w:hint="default" w:ascii="Times New Roman" w:hAnsi="Times New Roman" w:cs="Times New Roman"/>
                <w:color w:val="auto"/>
                <w:sz w:val="24"/>
              </w:rPr>
              <w:t>循环水量为</w:t>
            </w:r>
            <w:r>
              <w:rPr>
                <w:rFonts w:hint="default" w:ascii="Times New Roman" w:hAnsi="Times New Roman" w:cs="Times New Roman"/>
                <w:color w:val="auto"/>
                <w:sz w:val="24"/>
                <w:lang w:val="en-US" w:eastAsia="zh-CN"/>
              </w:rPr>
              <w:t>1.6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480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bCs/>
                <w:color w:val="auto"/>
                <w:sz w:val="24"/>
                <w:lang w:eastAsia="zh-CN"/>
              </w:rPr>
              <w:t>水浴除尘</w:t>
            </w:r>
            <w:r>
              <w:rPr>
                <w:rFonts w:hint="eastAsia" w:cs="Times New Roman"/>
                <w:bCs/>
                <w:color w:val="auto"/>
                <w:sz w:val="24"/>
                <w:lang w:eastAsia="zh-CN"/>
              </w:rPr>
              <w:t>、湿式静电除尘</w:t>
            </w:r>
            <w:r>
              <w:rPr>
                <w:rFonts w:hint="default" w:ascii="Times New Roman" w:hAnsi="Times New Roman" w:cs="Times New Roman"/>
                <w:color w:val="auto"/>
                <w:sz w:val="24"/>
                <w:lang w:eastAsia="zh-CN"/>
              </w:rPr>
              <w:t>废水循环使用</w:t>
            </w:r>
            <w:r>
              <w:rPr>
                <w:rFonts w:hint="default" w:ascii="Times New Roman" w:hAnsi="Times New Roman" w:cs="Times New Roman"/>
                <w:snapToGrid w:val="0"/>
                <w:color w:val="auto"/>
                <w:kern w:val="0"/>
                <w:sz w:val="24"/>
              </w:rPr>
              <w:t>，不外排</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eastAsia="宋体" w:cs="Times New Roman"/>
                <w:color w:val="auto"/>
                <w:spacing w:val="0"/>
                <w:kern w:val="0"/>
                <w:sz w:val="24"/>
                <w:szCs w:val="24"/>
                <w:highlight w:val="none"/>
                <w:lang w:val="en-US" w:eastAsia="zh-CN" w:bidi="ar"/>
              </w:rPr>
            </w:pPr>
            <w:r>
              <w:rPr>
                <w:rFonts w:hint="default" w:ascii="Times New Roman" w:hAnsi="Times New Roman" w:eastAsia="宋体" w:cs="Times New Roman"/>
                <w:color w:val="auto"/>
                <w:spacing w:val="0"/>
                <w:kern w:val="0"/>
                <w:sz w:val="24"/>
                <w:szCs w:val="24"/>
                <w:highlight w:val="none"/>
                <w:lang w:val="en-US" w:eastAsia="zh-CN" w:bidi="ar"/>
              </w:rPr>
              <w:t>综上所述，对环境影响较小。</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3、噪声治理措施及影响分析</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pacing w:val="0"/>
                <w:kern w:val="0"/>
                <w:sz w:val="24"/>
                <w:szCs w:val="24"/>
                <w:highlight w:val="none"/>
                <w:lang w:val="en-US" w:eastAsia="zh-CN" w:bidi="ar"/>
              </w:rPr>
            </w:pPr>
            <w:r>
              <w:rPr>
                <w:rFonts w:hint="default" w:ascii="Times New Roman" w:hAnsi="Times New Roman" w:eastAsia="宋体" w:cs="Times New Roman"/>
                <w:color w:val="auto"/>
                <w:spacing w:val="0"/>
                <w:kern w:val="0"/>
                <w:sz w:val="24"/>
                <w:szCs w:val="24"/>
                <w:highlight w:val="none"/>
                <w:lang w:val="en-US" w:eastAsia="zh-CN" w:bidi="ar"/>
              </w:rPr>
              <w:t>（1）噪声源强及降噪措施</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pacing w:val="0"/>
                <w:kern w:val="0"/>
                <w:sz w:val="24"/>
                <w:szCs w:val="24"/>
                <w:highlight w:val="none"/>
                <w:lang w:val="zh-CN" w:eastAsia="zh-CN" w:bidi="ar"/>
              </w:rPr>
            </w:pPr>
            <w:r>
              <w:rPr>
                <w:rFonts w:hint="default" w:ascii="Times New Roman" w:hAnsi="Times New Roman" w:eastAsia="宋体" w:cs="Times New Roman"/>
                <w:color w:val="auto"/>
                <w:spacing w:val="0"/>
                <w:kern w:val="0"/>
                <w:sz w:val="24"/>
                <w:szCs w:val="24"/>
                <w:highlight w:val="none"/>
                <w:lang w:val="en-US" w:eastAsia="zh-CN" w:bidi="ar"/>
              </w:rPr>
              <w:t>本项目噪声源主要为设备噪声，噪声源强约为</w:t>
            </w:r>
            <w:r>
              <w:rPr>
                <w:rFonts w:hint="default" w:ascii="Times New Roman" w:hAnsi="Times New Roman" w:cs="Times New Roman"/>
                <w:color w:val="auto"/>
                <w:spacing w:val="0"/>
                <w:kern w:val="0"/>
                <w:sz w:val="24"/>
                <w:szCs w:val="24"/>
                <w:highlight w:val="none"/>
                <w:lang w:val="en-US" w:eastAsia="zh-CN" w:bidi="ar"/>
              </w:rPr>
              <w:t>70</w:t>
            </w:r>
            <w:r>
              <w:rPr>
                <w:rFonts w:hint="default" w:ascii="Times New Roman" w:hAnsi="Times New Roman" w:eastAsia="宋体" w:cs="Times New Roman"/>
                <w:color w:val="auto"/>
                <w:spacing w:val="0"/>
                <w:kern w:val="0"/>
                <w:sz w:val="24"/>
                <w:szCs w:val="24"/>
                <w:highlight w:val="none"/>
                <w:lang w:val="en-US" w:eastAsia="zh-CN" w:bidi="ar"/>
              </w:rPr>
              <w:t>～</w:t>
            </w:r>
            <w:r>
              <w:rPr>
                <w:rFonts w:hint="eastAsia" w:cs="Times New Roman"/>
                <w:color w:val="auto"/>
                <w:spacing w:val="0"/>
                <w:kern w:val="0"/>
                <w:sz w:val="24"/>
                <w:szCs w:val="24"/>
                <w:highlight w:val="none"/>
                <w:lang w:val="en-US" w:eastAsia="zh-CN" w:bidi="ar"/>
              </w:rPr>
              <w:t>100</w:t>
            </w:r>
            <w:r>
              <w:rPr>
                <w:rFonts w:hint="default" w:ascii="Times New Roman" w:hAnsi="Times New Roman" w:eastAsia="宋体" w:cs="Times New Roman"/>
                <w:color w:val="auto"/>
                <w:spacing w:val="0"/>
                <w:kern w:val="0"/>
                <w:sz w:val="24"/>
                <w:szCs w:val="24"/>
                <w:highlight w:val="none"/>
                <w:lang w:val="en-US" w:eastAsia="zh-CN" w:bidi="ar"/>
              </w:rPr>
              <w:t>dB</w:t>
            </w:r>
            <w:r>
              <w:rPr>
                <w:rFonts w:hint="default" w:ascii="Times New Roman" w:hAnsi="Times New Roman" w:cs="Times New Roman"/>
                <w:color w:val="auto"/>
                <w:spacing w:val="0"/>
                <w:kern w:val="0"/>
                <w:sz w:val="24"/>
                <w:szCs w:val="24"/>
                <w:highlight w:val="none"/>
                <w:lang w:val="en-US" w:eastAsia="zh-CN" w:bidi="ar"/>
              </w:rPr>
              <w:t>（</w:t>
            </w:r>
            <w:r>
              <w:rPr>
                <w:rFonts w:hint="default" w:ascii="Times New Roman" w:hAnsi="Times New Roman" w:eastAsia="宋体" w:cs="Times New Roman"/>
                <w:color w:val="auto"/>
                <w:spacing w:val="0"/>
                <w:kern w:val="0"/>
                <w:sz w:val="24"/>
                <w:szCs w:val="24"/>
                <w:highlight w:val="none"/>
                <w:lang w:val="en-US" w:eastAsia="zh-CN" w:bidi="ar"/>
              </w:rPr>
              <w:t>A</w:t>
            </w:r>
            <w:r>
              <w:rPr>
                <w:rFonts w:hint="default" w:ascii="Times New Roman" w:hAnsi="Times New Roman" w:cs="Times New Roman"/>
                <w:color w:val="auto"/>
                <w:spacing w:val="0"/>
                <w:kern w:val="0"/>
                <w:sz w:val="24"/>
                <w:szCs w:val="24"/>
                <w:highlight w:val="none"/>
                <w:lang w:val="en-US" w:eastAsia="zh-CN" w:bidi="ar"/>
              </w:rPr>
              <w:t>）</w:t>
            </w:r>
            <w:r>
              <w:rPr>
                <w:rFonts w:hint="default" w:ascii="Times New Roman" w:hAnsi="Times New Roman" w:eastAsia="宋体" w:cs="Times New Roman"/>
                <w:color w:val="auto"/>
                <w:spacing w:val="0"/>
                <w:kern w:val="0"/>
                <w:sz w:val="24"/>
                <w:szCs w:val="24"/>
                <w:highlight w:val="none"/>
                <w:lang w:val="en-US" w:eastAsia="zh-CN" w:bidi="ar"/>
              </w:rPr>
              <w:t>，设备选型时选用性能优良、低噪声设备，向制造或供应厂家提出噪声限值要求，从源头降低噪声源强。各生产设备均置于车间内，各设备基础加装减振，厂房隔声。采取上述措施后，可综合降噪</w:t>
            </w:r>
            <w:r>
              <w:rPr>
                <w:rFonts w:hint="eastAsia" w:cs="Times New Roman"/>
                <w:color w:val="auto"/>
                <w:spacing w:val="0"/>
                <w:kern w:val="0"/>
                <w:sz w:val="24"/>
                <w:szCs w:val="24"/>
                <w:highlight w:val="none"/>
                <w:lang w:val="en-US" w:eastAsia="zh-CN" w:bidi="ar"/>
              </w:rPr>
              <w:t>15</w:t>
            </w:r>
            <w:r>
              <w:rPr>
                <w:rFonts w:hint="default" w:ascii="Times New Roman" w:hAnsi="Times New Roman" w:eastAsia="宋体" w:cs="Times New Roman"/>
                <w:color w:val="auto"/>
                <w:spacing w:val="0"/>
                <w:kern w:val="0"/>
                <w:sz w:val="24"/>
                <w:szCs w:val="24"/>
                <w:highlight w:val="none"/>
                <w:lang w:val="en-US" w:eastAsia="zh-CN" w:bidi="ar"/>
              </w:rPr>
              <w:t>dB</w:t>
            </w:r>
            <w:r>
              <w:rPr>
                <w:rFonts w:hint="default" w:ascii="Times New Roman" w:hAnsi="Times New Roman" w:cs="Times New Roman"/>
                <w:color w:val="auto"/>
                <w:spacing w:val="0"/>
                <w:kern w:val="0"/>
                <w:sz w:val="24"/>
                <w:szCs w:val="24"/>
                <w:highlight w:val="none"/>
                <w:lang w:val="en-US" w:eastAsia="zh-CN" w:bidi="ar"/>
              </w:rPr>
              <w:t>（</w:t>
            </w:r>
            <w:r>
              <w:rPr>
                <w:rFonts w:hint="default" w:ascii="Times New Roman" w:hAnsi="Times New Roman" w:eastAsia="宋体" w:cs="Times New Roman"/>
                <w:color w:val="auto"/>
                <w:spacing w:val="0"/>
                <w:kern w:val="0"/>
                <w:sz w:val="24"/>
                <w:szCs w:val="24"/>
                <w:highlight w:val="none"/>
                <w:lang w:val="en-US" w:eastAsia="zh-CN" w:bidi="ar"/>
              </w:rPr>
              <w:t>A</w:t>
            </w:r>
            <w:r>
              <w:rPr>
                <w:rFonts w:hint="default" w:ascii="Times New Roman" w:hAnsi="Times New Roman" w:cs="Times New Roman"/>
                <w:color w:val="auto"/>
                <w:spacing w:val="0"/>
                <w:kern w:val="0"/>
                <w:sz w:val="24"/>
                <w:szCs w:val="24"/>
                <w:highlight w:val="none"/>
                <w:lang w:val="en-US" w:eastAsia="zh-CN" w:bidi="ar"/>
              </w:rPr>
              <w:t>）</w:t>
            </w:r>
            <w:r>
              <w:rPr>
                <w:rFonts w:hint="default" w:ascii="Times New Roman" w:hAnsi="Times New Roman" w:eastAsia="宋体" w:cs="Times New Roman"/>
                <w:color w:val="auto"/>
                <w:spacing w:val="0"/>
                <w:kern w:val="0"/>
                <w:sz w:val="24"/>
                <w:szCs w:val="24"/>
                <w:highlight w:val="none"/>
                <w:lang w:val="en-US" w:eastAsia="zh-CN" w:bidi="ar"/>
              </w:rPr>
              <w:t>。项目主要噪声源强</w:t>
            </w:r>
            <w:r>
              <w:rPr>
                <w:rFonts w:hint="default" w:ascii="Times New Roman" w:hAnsi="Times New Roman" w:eastAsia="宋体" w:cs="Times New Roman"/>
                <w:color w:val="auto"/>
                <w:spacing w:val="0"/>
                <w:kern w:val="0"/>
                <w:sz w:val="24"/>
                <w:szCs w:val="24"/>
                <w:highlight w:val="none"/>
                <w:lang w:val="zh-CN" w:eastAsia="zh-CN" w:bidi="ar"/>
              </w:rPr>
              <w:t>见下表。</w:t>
            </w:r>
          </w:p>
          <w:p>
            <w:pPr>
              <w:spacing w:line="240" w:lineRule="auto"/>
              <w:jc w:val="center"/>
              <w:rPr>
                <w:rFonts w:hint="default" w:ascii="Times New Roman" w:hAnsi="Times New Roman" w:eastAsia="宋体" w:cs="Times New Roman"/>
                <w:b/>
                <w:bCs/>
                <w:color w:val="auto"/>
                <w:kern w:val="2"/>
                <w:sz w:val="24"/>
                <w:szCs w:val="24"/>
                <w:highlight w:val="none"/>
                <w:lang w:val="en-US" w:eastAsia="zh-CN" w:bidi="ar-SA"/>
              </w:rPr>
            </w:pPr>
          </w:p>
          <w:p>
            <w:pPr>
              <w:spacing w:line="240" w:lineRule="auto"/>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29</w:t>
            </w:r>
            <w:r>
              <w:rPr>
                <w:rFonts w:hint="default" w:ascii="Times New Roman" w:hAnsi="Times New Roman" w:cs="Times New Roman"/>
                <w:b/>
                <w:bCs/>
                <w:color w:val="auto"/>
                <w:kern w:val="2"/>
                <w:sz w:val="24"/>
                <w:szCs w:val="24"/>
                <w:highlight w:val="none"/>
                <w:lang w:val="en-US" w:eastAsia="zh-CN" w:bidi="ar-SA"/>
              </w:rPr>
              <w:t xml:space="preserve">  </w:t>
            </w:r>
            <w:r>
              <w:rPr>
                <w:rFonts w:hint="default" w:ascii="Times New Roman" w:hAnsi="Times New Roman" w:eastAsia="宋体" w:cs="Times New Roman"/>
                <w:b/>
                <w:bCs/>
                <w:color w:val="auto"/>
                <w:kern w:val="2"/>
                <w:sz w:val="24"/>
                <w:szCs w:val="24"/>
                <w:highlight w:val="none"/>
                <w:lang w:val="en-US" w:eastAsia="zh-CN" w:bidi="ar-SA"/>
              </w:rPr>
              <w:t xml:space="preserve"> 项目主要生产设备噪声源强一览表</w:t>
            </w:r>
            <w:r>
              <w:rPr>
                <w:rFonts w:hint="default" w:ascii="Times New Roman" w:hAnsi="Times New Roman" w:cs="Times New Roman"/>
                <w:b/>
                <w:bCs/>
                <w:color w:val="auto"/>
                <w:kern w:val="2"/>
                <w:sz w:val="24"/>
                <w:szCs w:val="24"/>
                <w:highlight w:val="none"/>
                <w:lang w:val="en-US" w:eastAsia="zh-CN" w:bidi="ar-SA"/>
              </w:rPr>
              <w:t xml:space="preserve"> </w:t>
            </w:r>
            <w:r>
              <w:rPr>
                <w:rFonts w:hint="default" w:ascii="Times New Roman" w:hAnsi="Times New Roman" w:eastAsia="宋体" w:cs="Times New Roman"/>
                <w:b/>
                <w:bCs/>
                <w:color w:val="auto"/>
                <w:kern w:val="2"/>
                <w:sz w:val="24"/>
                <w:szCs w:val="24"/>
                <w:highlight w:val="none"/>
                <w:lang w:val="en-US" w:eastAsia="zh-CN" w:bidi="ar-SA"/>
              </w:rPr>
              <w:t xml:space="preserve"> </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8"/>
              <w:gridCol w:w="1128"/>
              <w:gridCol w:w="892"/>
              <w:gridCol w:w="574"/>
              <w:gridCol w:w="494"/>
              <w:gridCol w:w="459"/>
              <w:gridCol w:w="482"/>
              <w:gridCol w:w="481"/>
              <w:gridCol w:w="562"/>
              <w:gridCol w:w="404"/>
              <w:gridCol w:w="537"/>
              <w:gridCol w:w="537"/>
              <w:gridCol w:w="733"/>
              <w:gridCol w:w="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33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序号</w:t>
                  </w:r>
                </w:p>
              </w:tc>
              <w:tc>
                <w:tcPr>
                  <w:tcW w:w="69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声源名称</w:t>
                  </w:r>
                </w:p>
              </w:tc>
              <w:tc>
                <w:tcPr>
                  <w:tcW w:w="90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声源源强（任选一种）</w:t>
                  </w:r>
                </w:p>
              </w:tc>
              <w:tc>
                <w:tcPr>
                  <w:tcW w:w="88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空间相对位置/m</w:t>
                  </w:r>
                </w:p>
              </w:tc>
              <w:tc>
                <w:tcPr>
                  <w:tcW w:w="29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距室内边界距离/m</w:t>
                  </w:r>
                </w:p>
              </w:tc>
              <w:tc>
                <w:tcPr>
                  <w:tcW w:w="34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室内边界声级</w:t>
                  </w:r>
                  <w:r>
                    <w:rPr>
                      <w:rFonts w:hint="default" w:ascii="Times New Roman" w:hAnsi="Times New Roman" w:cs="Times New Roman"/>
                      <w:color w:val="auto"/>
                      <w:kern w:val="2"/>
                      <w:sz w:val="21"/>
                      <w:szCs w:val="21"/>
                      <w:highlight w:val="none"/>
                      <w:lang w:val="en-US" w:eastAsia="zh-CN" w:bidi="ar-SA"/>
                    </w:rPr>
                    <w:t>dB(A)</w:t>
                  </w:r>
                </w:p>
              </w:tc>
              <w:tc>
                <w:tcPr>
                  <w:tcW w:w="2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运行时段/h</w:t>
                  </w:r>
                </w:p>
              </w:tc>
              <w:tc>
                <w:tcPr>
                  <w:tcW w:w="33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color w:val="auto"/>
                      <w:szCs w:val="21"/>
                    </w:rPr>
                    <w:t>声源控制措施</w:t>
                  </w:r>
                </w:p>
              </w:tc>
              <w:tc>
                <w:tcPr>
                  <w:tcW w:w="33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建筑物插入损失/</w:t>
                  </w:r>
                  <w:r>
                    <w:rPr>
                      <w:rFonts w:hint="default" w:ascii="Times New Roman" w:hAnsi="Times New Roman" w:cs="Times New Roman"/>
                      <w:color w:val="auto"/>
                      <w:kern w:val="2"/>
                      <w:sz w:val="21"/>
                      <w:szCs w:val="21"/>
                      <w:highlight w:val="none"/>
                      <w:lang w:val="en-US" w:eastAsia="zh-CN" w:bidi="ar-SA"/>
                    </w:rPr>
                    <w:t>dB(A)</w:t>
                  </w:r>
                </w:p>
              </w:tc>
              <w:tc>
                <w:tcPr>
                  <w:tcW w:w="64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建筑物外噪声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jc w:val="center"/>
              </w:trPr>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6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（声压级/距声源距离）/（</w:t>
                  </w:r>
                  <w:r>
                    <w:rPr>
                      <w:rFonts w:hint="default" w:ascii="Times New Roman" w:hAnsi="Times New Roman" w:cs="Times New Roman"/>
                      <w:color w:val="auto"/>
                      <w:kern w:val="2"/>
                      <w:sz w:val="21"/>
                      <w:szCs w:val="21"/>
                      <w:highlight w:val="none"/>
                      <w:lang w:val="en-US" w:eastAsia="zh-CN" w:bidi="ar-SA"/>
                    </w:rPr>
                    <w:t>dB(A)/m</w:t>
                  </w: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声功率级/</w:t>
                  </w:r>
                  <w:r>
                    <w:rPr>
                      <w:rFonts w:hint="default" w:ascii="Times New Roman" w:hAnsi="Times New Roman" w:cs="Times New Roman"/>
                      <w:color w:val="auto"/>
                      <w:kern w:val="2"/>
                      <w:sz w:val="21"/>
                      <w:szCs w:val="21"/>
                      <w:highlight w:val="none"/>
                      <w:lang w:val="en-US" w:eastAsia="zh-CN" w:bidi="ar-SA"/>
                    </w:rPr>
                    <w:t>dB(A)</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X</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Y</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Z</w:t>
                  </w:r>
                </w:p>
              </w:tc>
              <w:tc>
                <w:tcPr>
                  <w:tcW w:w="29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p>
              </w:tc>
              <w:tc>
                <w:tcPr>
                  <w:tcW w:w="4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声压级</w:t>
                  </w:r>
                  <w:r>
                    <w:rPr>
                      <w:rFonts w:hint="default" w:ascii="Times New Roman" w:hAnsi="Times New Roman" w:cs="Times New Roman"/>
                      <w:color w:val="auto"/>
                      <w:kern w:val="2"/>
                      <w:sz w:val="21"/>
                      <w:szCs w:val="21"/>
                      <w:highlight w:val="none"/>
                      <w:lang w:val="en-US" w:eastAsia="zh-CN" w:bidi="ar-SA"/>
                    </w:rPr>
                    <w:t>dB(A)</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建筑物外距离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骨炭</w:t>
                  </w:r>
                  <w:r>
                    <w:rPr>
                      <w:rFonts w:hint="eastAsia" w:cs="Times New Roman"/>
                      <w:color w:val="auto"/>
                      <w:kern w:val="0"/>
                      <w:szCs w:val="21"/>
                      <w:lang w:val="en-US" w:eastAsia="zh-CN"/>
                    </w:rPr>
                    <w:t>碳化机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85</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27</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20</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64.4</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color w:val="auto"/>
                      <w:szCs w:val="21"/>
                    </w:rPr>
                    <w:t>基础减振，封闭厂房隔声</w:t>
                  </w:r>
                </w:p>
              </w:tc>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.4</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2</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振动筛</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85</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30</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18</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5</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61.0</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45</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3</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输送带</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75</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3</w:t>
                  </w:r>
                  <w:r>
                    <w:rPr>
                      <w:rFonts w:hint="eastAsia" w:cs="Times New Roman"/>
                      <w:bCs/>
                      <w:snapToGrid w:val="0"/>
                      <w:color w:val="auto"/>
                      <w:sz w:val="21"/>
                      <w:szCs w:val="21"/>
                      <w:highlight w:val="none"/>
                      <w:vertAlign w:val="baseline"/>
                      <w:lang w:val="en-US" w:eastAsia="zh-CN"/>
                    </w:rPr>
                    <w:t>3</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16</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5</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56.0</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41</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4</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鼓风机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80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3</w:t>
                  </w:r>
                  <w:r>
                    <w:rPr>
                      <w:rFonts w:hint="eastAsia" w:cs="Times New Roman"/>
                      <w:bCs/>
                      <w:snapToGrid w:val="0"/>
                      <w:color w:val="auto"/>
                      <w:sz w:val="21"/>
                      <w:szCs w:val="21"/>
                      <w:highlight w:val="none"/>
                      <w:vertAlign w:val="baseline"/>
                      <w:lang w:val="en-US" w:eastAsia="zh-CN"/>
                    </w:rPr>
                    <w:t>2</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8</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61.9</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.9</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58"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5</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色选机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70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34</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14</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8</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51.9</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24</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.9</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7"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6</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引风机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80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36</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16</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10</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60.0</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45</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7</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提升机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70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36</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10</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12</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48.4</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33</w:t>
                  </w:r>
                  <w:r>
                    <w:rPr>
                      <w:rFonts w:hint="default" w:ascii="Times New Roman" w:hAnsi="Times New Roman" w:eastAsia="宋体" w:cs="Times New Roman"/>
                      <w:i w:val="0"/>
                      <w:iCs w:val="0"/>
                      <w:color w:val="auto"/>
                      <w:kern w:val="0"/>
                      <w:sz w:val="21"/>
                      <w:szCs w:val="21"/>
                      <w:u w:val="none"/>
                      <w:lang w:val="en-US" w:eastAsia="zh-CN" w:bidi="ar"/>
                    </w:rPr>
                    <w:t>.4</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7"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8</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灌装机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70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38</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20</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15</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46.5</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kern w:val="2"/>
                      <w:sz w:val="21"/>
                      <w:szCs w:val="21"/>
                      <w:highlight w:val="none"/>
                      <w:vertAlign w:val="baseline"/>
                      <w:lang w:val="en-US" w:eastAsia="zh-CN" w:bidi="ar-SA"/>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31</w:t>
                  </w:r>
                  <w:r>
                    <w:rPr>
                      <w:rFonts w:hint="default" w:ascii="Times New Roman" w:hAnsi="Times New Roman" w:eastAsia="宋体" w:cs="Times New Roman"/>
                      <w:i w:val="0"/>
                      <w:iCs w:val="0"/>
                      <w:color w:val="auto"/>
                      <w:kern w:val="0"/>
                      <w:sz w:val="21"/>
                      <w:szCs w:val="21"/>
                      <w:u w:val="none"/>
                      <w:lang w:val="en-US" w:eastAsia="zh-CN" w:bidi="ar"/>
                    </w:rPr>
                    <w:t>.5</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9</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空压机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85</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40</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22</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8</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66.9</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51</w:t>
                  </w:r>
                  <w:r>
                    <w:rPr>
                      <w:rFonts w:hint="default" w:ascii="Times New Roman" w:hAnsi="Times New Roman" w:eastAsia="宋体" w:cs="Times New Roman"/>
                      <w:i w:val="0"/>
                      <w:iCs w:val="0"/>
                      <w:color w:val="auto"/>
                      <w:kern w:val="0"/>
                      <w:sz w:val="21"/>
                      <w:szCs w:val="21"/>
                      <w:u w:val="none"/>
                      <w:lang w:val="en-US" w:eastAsia="zh-CN" w:bidi="ar"/>
                    </w:rPr>
                    <w:t>.9</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3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10</w:t>
                  </w:r>
                </w:p>
              </w:tc>
              <w:tc>
                <w:tcPr>
                  <w:tcW w:w="693" w:type="pct"/>
                  <w:tcBorders>
                    <w:tl2br w:val="nil"/>
                    <w:tr2bl w:val="nil"/>
                  </w:tcBorders>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lang w:val="en-US" w:eastAsia="zh-CN"/>
                    </w:rPr>
                    <w:t>除尘器风机</w:t>
                  </w:r>
                </w:p>
              </w:tc>
              <w:tc>
                <w:tcPr>
                  <w:tcW w:w="5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eastAsiaTheme="minorEastAsia"/>
                      <w:b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color w:val="auto"/>
                      <w:kern w:val="2"/>
                      <w:sz w:val="21"/>
                      <w:szCs w:val="21"/>
                      <w:highlight w:val="none"/>
                      <w:vertAlign w:val="baseline"/>
                      <w:lang w:val="en-US" w:eastAsia="zh-CN" w:bidi="ar-SA"/>
                    </w:rPr>
                    <w:t>100</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w:t>
                  </w:r>
                </w:p>
              </w:tc>
              <w:tc>
                <w:tcPr>
                  <w:tcW w:w="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40</w:t>
                  </w:r>
                </w:p>
              </w:tc>
              <w:tc>
                <w:tcPr>
                  <w:tcW w:w="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24</w:t>
                  </w:r>
                </w:p>
              </w:tc>
              <w:tc>
                <w:tcPr>
                  <w:tcW w:w="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w:t>
                  </w:r>
                </w:p>
              </w:tc>
              <w:tc>
                <w:tcPr>
                  <w:tcW w:w="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5</w:t>
                  </w:r>
                </w:p>
              </w:tc>
              <w:tc>
                <w:tcPr>
                  <w:tcW w:w="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71.0</w:t>
                  </w:r>
                </w:p>
              </w:tc>
              <w:tc>
                <w:tcPr>
                  <w:tcW w:w="2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cs="Times New Roman"/>
                      <w:bCs/>
                      <w:snapToGrid w:val="0"/>
                      <w:color w:val="auto"/>
                      <w:sz w:val="21"/>
                      <w:szCs w:val="21"/>
                      <w:highlight w:val="none"/>
                      <w:vertAlign w:val="baseline"/>
                      <w:lang w:val="en-US" w:eastAsia="zh-CN"/>
                    </w:rPr>
                    <w:t>16</w:t>
                  </w:r>
                </w:p>
              </w:tc>
              <w:tc>
                <w:tcPr>
                  <w:tcW w:w="33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p>
              </w:tc>
              <w:tc>
                <w:tcPr>
                  <w:tcW w:w="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bCs/>
                      <w:snapToGrid w:val="0"/>
                      <w:color w:val="auto"/>
                      <w:sz w:val="21"/>
                      <w:szCs w:val="21"/>
                      <w:highlight w:val="none"/>
                      <w:vertAlign w:val="baseline"/>
                      <w:lang w:val="en-US" w:eastAsia="zh-CN"/>
                    </w:rPr>
                    <w:t>15</w:t>
                  </w:r>
                </w:p>
              </w:tc>
              <w:tc>
                <w:tcPr>
                  <w:tcW w:w="450" w:type="pct"/>
                  <w:tcBorders>
                    <w:tl2br w:val="nil"/>
                    <w:tr2bl w:val="nil"/>
                  </w:tcBorders>
                  <w:vAlign w:val="center"/>
                </w:tcPr>
                <w:p>
                  <w:pPr>
                    <w:keepNext w:val="0"/>
                    <w:keepLines w:val="0"/>
                    <w:widowControl/>
                    <w:suppressLineNumbers w:val="0"/>
                    <w:jc w:val="center"/>
                    <w:textAlignment w:val="bottom"/>
                    <w:rPr>
                      <w:rFonts w:hint="default" w:ascii="Times New Roman" w:hAnsi="Times New Roman" w:cs="Times New Roman"/>
                      <w:bCs/>
                      <w:snapToGrid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56</w:t>
                  </w:r>
                </w:p>
              </w:tc>
              <w:tc>
                <w:tcPr>
                  <w:tcW w:w="1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napToGrid w:val="0"/>
                      <w:color w:val="auto"/>
                      <w:sz w:val="21"/>
                      <w:szCs w:val="21"/>
                      <w:highlight w:val="none"/>
                      <w:vertAlign w:val="baseline"/>
                      <w:lang w:val="en-US" w:eastAsia="zh-CN"/>
                    </w:rPr>
                  </w:pPr>
                  <w:r>
                    <w:rPr>
                      <w:rFonts w:hint="default" w:ascii="Times New Roman" w:hAnsi="Times New Roman" w:eastAsia="宋体" w:cs="Times New Roman"/>
                      <w:bCs/>
                      <w:snapToGrid w:val="0"/>
                      <w:color w:val="auto"/>
                      <w:sz w:val="21"/>
                      <w:szCs w:val="21"/>
                      <w:highlight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备注：表中坐标以</w:t>
            </w:r>
            <w:r>
              <w:rPr>
                <w:rFonts w:hint="eastAsia" w:cs="Times New Roman"/>
                <w:b/>
                <w:bCs/>
                <w:color w:val="auto"/>
                <w:sz w:val="24"/>
                <w:highlight w:val="none"/>
                <w:lang w:val="en-US" w:eastAsia="zh-CN"/>
              </w:rPr>
              <w:t>生产车间</w:t>
            </w:r>
            <w:r>
              <w:rPr>
                <w:rFonts w:hint="default" w:ascii="Times New Roman" w:hAnsi="Times New Roman" w:eastAsia="宋体" w:cs="Times New Roman"/>
                <w:b/>
                <w:bCs/>
                <w:color w:val="auto"/>
                <w:sz w:val="24"/>
                <w:highlight w:val="none"/>
                <w:lang w:val="en-US" w:eastAsia="zh-CN"/>
              </w:rPr>
              <w:t>中心为坐标原点，正东向为X轴正方向，正北向为Y轴正方向</w:t>
            </w:r>
            <w:r>
              <w:rPr>
                <w:rFonts w:hint="eastAsia" w:ascii="Times New Roman" w:hAnsi="Times New Roman" w:eastAsia="宋体" w:cs="Times New Roman"/>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480" w:lineRule="exact"/>
              <w:ind w:firstLine="480" w:firstLineChars="200"/>
              <w:textAlignment w:val="baseline"/>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bidi="ar-SA"/>
              </w:rPr>
              <w:t>（</w:t>
            </w:r>
            <w:r>
              <w:rPr>
                <w:rFonts w:hint="default" w:ascii="Times New Roman" w:hAnsi="Times New Roman" w:cs="Times New Roman"/>
                <w:snapToGrid/>
                <w:color w:val="auto"/>
                <w:kern w:val="2"/>
                <w:sz w:val="24"/>
                <w:szCs w:val="24"/>
                <w:highlight w:val="none"/>
                <w:lang w:val="en-US" w:eastAsia="zh-CN" w:bidi="ar-SA"/>
              </w:rPr>
              <w:t>2</w:t>
            </w:r>
            <w:r>
              <w:rPr>
                <w:rFonts w:hint="default" w:ascii="Times New Roman" w:hAnsi="Times New Roman" w:eastAsia="宋体" w:cs="Times New Roman"/>
                <w:snapToGrid/>
                <w:color w:val="auto"/>
                <w:kern w:val="2"/>
                <w:sz w:val="24"/>
                <w:szCs w:val="24"/>
                <w:highlight w:val="none"/>
                <w:lang w:val="en-US" w:eastAsia="zh-CN" w:bidi="ar-SA"/>
              </w:rPr>
              <w:t>）预测模式</w:t>
            </w:r>
          </w:p>
          <w:p>
            <w:pPr>
              <w:keepNext w:val="0"/>
              <w:keepLines w:val="0"/>
              <w:pageBreakBefore w:val="0"/>
              <w:kinsoku/>
              <w:wordWrap/>
              <w:overflowPunct/>
              <w:topLinePunct w:val="0"/>
              <w:bidi w:val="0"/>
              <w:snapToGrid/>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预测模型采用《环境影响评价技术导则 声环境》（HJ2.4-2021）中附录A和附录B推荐的工业噪声预测模型。预测计算只考虑工程各声源所在厂房围护结构的屏蔽效应和声源至受声点的几何发散衰减，不考虑空气吸收及影响较小的附加衰减</w:t>
            </w:r>
            <w:r>
              <w:rPr>
                <w:rFonts w:hint="default" w:ascii="Times New Roman" w:hAnsi="Times New Roman" w:eastAsia="宋体" w:cs="Times New Roman"/>
                <w:bCs/>
                <w:color w:val="auto"/>
                <w:sz w:val="24"/>
                <w:szCs w:val="24"/>
                <w:highlight w:val="none"/>
                <w:lang w:eastAsia="zh-CN"/>
              </w:rPr>
              <w:t>。</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①室内声源等效室外声源声功率级计算</w:t>
            </w:r>
          </w:p>
          <w:p>
            <w:pPr>
              <w:pStyle w:val="39"/>
              <w:keepNext w:val="0"/>
              <w:keepLines w:val="0"/>
              <w:pageBreakBefore w:val="0"/>
              <w:kinsoku/>
              <w:wordWrap/>
              <w:overflowPunct/>
              <w:topLinePunct w:val="0"/>
              <w:bidi w:val="0"/>
              <w:snapToGrid/>
              <w:spacing w:line="480" w:lineRule="exact"/>
              <w:ind w:firstLine="3369" w:firstLineChars="140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snapToGrid w:val="0"/>
                <w:color w:val="auto"/>
                <w:sz w:val="24"/>
                <w:szCs w:val="24"/>
                <w:highlight w:val="none"/>
              </w:rPr>
              <w:t>L</w:t>
            </w:r>
            <w:r>
              <w:rPr>
                <w:rFonts w:hint="default" w:ascii="Times New Roman" w:hAnsi="Times New Roman" w:eastAsia="宋体" w:cs="Times New Roman"/>
                <w:i/>
                <w:snapToGrid w:val="0"/>
                <w:color w:val="auto"/>
                <w:sz w:val="24"/>
                <w:szCs w:val="24"/>
                <w:highlight w:val="none"/>
                <w:vertAlign w:val="subscript"/>
              </w:rPr>
              <w:t>P</w:t>
            </w:r>
            <w:r>
              <w:rPr>
                <w:rFonts w:hint="default" w:ascii="Times New Roman" w:hAnsi="Times New Roman" w:eastAsia="宋体" w:cs="Times New Roman"/>
                <w:snapToGrid w:val="0"/>
                <w:color w:val="auto"/>
                <w:sz w:val="24"/>
                <w:szCs w:val="24"/>
                <w:highlight w:val="none"/>
                <w:vertAlign w:val="subscript"/>
              </w:rPr>
              <w:t>2</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L</w:t>
            </w:r>
            <w:r>
              <w:rPr>
                <w:rFonts w:hint="default" w:ascii="Times New Roman" w:hAnsi="Times New Roman" w:eastAsia="宋体" w:cs="Times New Roman"/>
                <w:i/>
                <w:snapToGrid w:val="0"/>
                <w:color w:val="auto"/>
                <w:sz w:val="24"/>
                <w:szCs w:val="24"/>
                <w:highlight w:val="none"/>
                <w:vertAlign w:val="subscript"/>
              </w:rPr>
              <w:t>P</w:t>
            </w:r>
            <w:r>
              <w:rPr>
                <w:rFonts w:hint="default" w:ascii="Times New Roman" w:hAnsi="Times New Roman" w:eastAsia="宋体" w:cs="Times New Roman"/>
                <w:snapToGrid w:val="0"/>
                <w:color w:val="auto"/>
                <w:sz w:val="24"/>
                <w:szCs w:val="24"/>
                <w:highlight w:val="none"/>
                <w:vertAlign w:val="subscript"/>
              </w:rPr>
              <w:t>1</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TL</w:t>
            </w:r>
            <w:r>
              <w:rPr>
                <w:rFonts w:hint="default" w:ascii="Times New Roman" w:hAnsi="Times New Roman" w:eastAsia="宋体" w:cs="Times New Roman"/>
                <w:snapToGrid w:val="0"/>
                <w:color w:val="auto"/>
                <w:sz w:val="24"/>
                <w:szCs w:val="24"/>
                <w:highlight w:val="none"/>
              </w:rPr>
              <w:t>+6)</w:t>
            </w:r>
            <w:r>
              <w:rPr>
                <w:rFonts w:hint="default" w:ascii="Times New Roman" w:hAnsi="Times New Roman" w:eastAsia="宋体" w:cs="Times New Roman"/>
                <w:color w:val="auto"/>
                <w:sz w:val="24"/>
                <w:szCs w:val="24"/>
                <w:highlight w:val="none"/>
              </w:rPr>
              <w:t xml:space="preserve">  </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式中：</w:t>
            </w: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1</w:t>
            </w:r>
            <w:r>
              <w:rPr>
                <w:rFonts w:hint="default" w:ascii="Times New Roman" w:hAnsi="Times New Roman" w:eastAsia="宋体" w:cs="Times New Roman"/>
                <w:color w:val="auto"/>
                <w:kern w:val="24"/>
                <w:sz w:val="24"/>
                <w:szCs w:val="24"/>
                <w:highlight w:val="none"/>
              </w:rPr>
              <w:t>—靠近开口</w:t>
            </w:r>
            <w:r>
              <w:rPr>
                <w:rFonts w:hint="default" w:ascii="Times New Roman" w:hAnsi="Times New Roman" w:eastAsia="宋体" w:cs="Times New Roman"/>
                <w:color w:val="auto"/>
                <w:kern w:val="24"/>
                <w:sz w:val="24"/>
                <w:szCs w:val="24"/>
                <w:highlight w:val="none"/>
                <w:lang w:eastAsia="zh-CN"/>
              </w:rPr>
              <w:t>处</w:t>
            </w:r>
            <w:r>
              <w:rPr>
                <w:rFonts w:hint="default" w:ascii="Times New Roman" w:hAnsi="Times New Roman" w:eastAsia="宋体" w:cs="Times New Roman"/>
                <w:color w:val="auto"/>
                <w:kern w:val="24"/>
                <w:sz w:val="24"/>
                <w:szCs w:val="24"/>
                <w:highlight w:val="none"/>
              </w:rPr>
              <w:t>（或窗户）处室内某倍频带声压级，dB；</w:t>
            </w:r>
          </w:p>
          <w:p>
            <w:pPr>
              <w:pStyle w:val="39"/>
              <w:keepNext w:val="0"/>
              <w:keepLines w:val="0"/>
              <w:pageBreakBefore w:val="0"/>
              <w:kinsoku/>
              <w:wordWrap/>
              <w:overflowPunct/>
              <w:topLinePunct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2</w:t>
            </w:r>
            <w:r>
              <w:rPr>
                <w:rFonts w:hint="default" w:ascii="Times New Roman" w:hAnsi="Times New Roman" w:eastAsia="宋体" w:cs="Times New Roman"/>
                <w:color w:val="auto"/>
                <w:kern w:val="24"/>
                <w:sz w:val="24"/>
                <w:szCs w:val="24"/>
                <w:highlight w:val="none"/>
              </w:rPr>
              <w:t>—靠近开口</w:t>
            </w:r>
            <w:r>
              <w:rPr>
                <w:rFonts w:hint="default" w:ascii="Times New Roman" w:hAnsi="Times New Roman" w:eastAsia="宋体" w:cs="Times New Roman"/>
                <w:color w:val="auto"/>
                <w:kern w:val="24"/>
                <w:sz w:val="24"/>
                <w:szCs w:val="24"/>
                <w:highlight w:val="none"/>
                <w:lang w:eastAsia="zh-CN"/>
              </w:rPr>
              <w:t>处</w:t>
            </w:r>
            <w:r>
              <w:rPr>
                <w:rFonts w:hint="default" w:ascii="Times New Roman" w:hAnsi="Times New Roman" w:eastAsia="宋体" w:cs="Times New Roman"/>
                <w:color w:val="auto"/>
                <w:kern w:val="24"/>
                <w:sz w:val="24"/>
                <w:szCs w:val="24"/>
                <w:highlight w:val="none"/>
              </w:rPr>
              <w:t>（或窗户）处室外某倍频带声压级，dB；</w:t>
            </w:r>
          </w:p>
          <w:p>
            <w:pPr>
              <w:pStyle w:val="39"/>
              <w:keepNext w:val="0"/>
              <w:keepLines w:val="0"/>
              <w:pageBreakBefore w:val="0"/>
              <w:kinsoku/>
              <w:wordWrap/>
              <w:overflowPunct/>
              <w:topLinePunct w:val="0"/>
              <w:bidi w:val="0"/>
              <w:snapToGrid/>
              <w:spacing w:line="480" w:lineRule="exact"/>
              <w:ind w:firstLine="1219" w:firstLineChars="508"/>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TL—</w:t>
            </w:r>
            <w:r>
              <w:rPr>
                <w:rFonts w:hint="default" w:ascii="Times New Roman" w:hAnsi="Times New Roman" w:eastAsia="宋体" w:cs="Times New Roman"/>
                <w:color w:val="auto"/>
                <w:kern w:val="24"/>
                <w:sz w:val="24"/>
                <w:szCs w:val="24"/>
                <w:highlight w:val="none"/>
              </w:rPr>
              <w:t>隔墙（或窗户）倍频带的隔声量，dB。</w:t>
            </w:r>
          </w:p>
          <w:p>
            <w:pPr>
              <w:pStyle w:val="39"/>
              <w:keepNext w:val="0"/>
              <w:keepLines w:val="0"/>
              <w:pageBreakBefore w:val="0"/>
              <w:kinsoku/>
              <w:wordWrap/>
              <w:overflowPunct/>
              <w:topLinePunct w:val="0"/>
              <w:bidi w:val="0"/>
              <w:snapToGrid/>
              <w:spacing w:line="480" w:lineRule="exact"/>
              <w:rPr>
                <w:rFonts w:hint="default" w:ascii="Times New Roman" w:hAnsi="Times New Roman" w:eastAsia="宋体" w:cs="Times New Roman"/>
                <w:snapToGrid w:val="0"/>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lang w:eastAsia="zh-CN"/>
              </w:rPr>
              <w:t>也可按下</w:t>
            </w:r>
            <w:r>
              <w:rPr>
                <w:rFonts w:hint="default" w:ascii="Times New Roman" w:hAnsi="Times New Roman" w:eastAsia="宋体" w:cs="Times New Roman"/>
                <w:color w:val="auto"/>
                <w:sz w:val="24"/>
                <w:szCs w:val="24"/>
                <w:highlight w:val="none"/>
                <w:lang w:eastAsia="zh-CN"/>
              </w:rPr>
              <w:t>面公式</w:t>
            </w:r>
            <w:r>
              <w:rPr>
                <w:rFonts w:hint="default" w:ascii="Times New Roman" w:hAnsi="Times New Roman" w:eastAsia="宋体" w:cs="Times New Roman"/>
                <w:snapToGrid w:val="0"/>
                <w:color w:val="auto"/>
                <w:sz w:val="24"/>
                <w:szCs w:val="24"/>
                <w:highlight w:val="none"/>
                <w:lang w:eastAsia="zh-CN"/>
              </w:rPr>
              <w:t>计算某一室内声源靠近维护结构处产生的倍频带声压级或</w:t>
            </w:r>
            <w:r>
              <w:rPr>
                <w:rFonts w:hint="default" w:ascii="Times New Roman" w:hAnsi="Times New Roman" w:eastAsia="宋体" w:cs="Times New Roman"/>
                <w:snapToGrid w:val="0"/>
                <w:color w:val="auto"/>
                <w:sz w:val="24"/>
                <w:szCs w:val="24"/>
                <w:highlight w:val="none"/>
                <w:lang w:val="en-US" w:eastAsia="zh-CN"/>
              </w:rPr>
              <w:t>A声级：</w:t>
            </w:r>
          </w:p>
          <w:p>
            <w:pPr>
              <w:pStyle w:val="39"/>
              <w:keepNext w:val="0"/>
              <w:keepLines w:val="0"/>
              <w:pageBreakBefore w:val="0"/>
              <w:kinsoku/>
              <w:wordWrap/>
              <w:overflowPunct/>
              <w:topLinePunct w:val="0"/>
              <w:bidi w:val="0"/>
              <w:snapToGrid/>
              <w:spacing w:line="480" w:lineRule="exact"/>
              <w:ind w:firstLine="2880" w:firstLineChars="1200"/>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pict>
                <v:shape id="对象 850" o:spid="_x0000_s1026" o:spt="75" type="#_x0000_t75" style="position:absolute;left:0pt;margin-left:136pt;margin-top:7.05pt;height:34pt;width:139pt;mso-wrap-distance-bottom:0pt;mso-wrap-distance-left:9pt;mso-wrap-distance-right:9pt;mso-wrap-distance-top:0pt;z-index:251660288;mso-width-relative:page;mso-height-relative:page;" o:ole="t" filled="f" o:preferrelative="t" stroked="f" coordsize="21600,21600">
                  <v:path/>
                  <v:fill on="f" focussize="0,0"/>
                  <v:stroke on="f"/>
                  <v:imagedata r:id="rId18" o:title=""/>
                  <o:lock v:ext="edit" aspectratio="t"/>
                  <w10:wrap type="square"/>
                </v:shape>
                <o:OLEObject Type="Embed" ProgID="Equations" ShapeID="对象 850" DrawAspect="Content" ObjectID="_1468075728" r:id="rId17">
                  <o:LockedField>false</o:LockedField>
                </o:OLEObject>
              </w:pic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式中：</w:t>
            </w: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1</w:t>
            </w:r>
            <w:r>
              <w:rPr>
                <w:rFonts w:hint="default" w:ascii="Times New Roman" w:hAnsi="Times New Roman" w:eastAsia="宋体" w:cs="Times New Roman"/>
                <w:color w:val="auto"/>
                <w:kern w:val="24"/>
                <w:sz w:val="24"/>
                <w:szCs w:val="24"/>
                <w:highlight w:val="none"/>
              </w:rPr>
              <w:t>—靠近开口</w:t>
            </w:r>
            <w:r>
              <w:rPr>
                <w:rFonts w:hint="default" w:ascii="Times New Roman" w:hAnsi="Times New Roman" w:eastAsia="宋体" w:cs="Times New Roman"/>
                <w:color w:val="auto"/>
                <w:kern w:val="24"/>
                <w:sz w:val="24"/>
                <w:szCs w:val="24"/>
                <w:highlight w:val="none"/>
                <w:lang w:eastAsia="zh-CN"/>
              </w:rPr>
              <w:t>处</w:t>
            </w:r>
            <w:r>
              <w:rPr>
                <w:rFonts w:hint="default" w:ascii="Times New Roman" w:hAnsi="Times New Roman" w:eastAsia="宋体" w:cs="Times New Roman"/>
                <w:color w:val="auto"/>
                <w:kern w:val="24"/>
                <w:sz w:val="24"/>
                <w:szCs w:val="24"/>
                <w:highlight w:val="none"/>
              </w:rPr>
              <w:t>（或窗户）处室内某倍频带声压级，dB；</w:t>
            </w:r>
          </w:p>
          <w:p>
            <w:pPr>
              <w:keepNext w:val="0"/>
              <w:keepLines w:val="0"/>
              <w:pageBreakBefore w:val="0"/>
              <w:kinsoku/>
              <w:wordWrap/>
              <w:overflowPunct/>
              <w:topLinePunct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lang w:eastAsia="zh-CN"/>
              </w:rPr>
            </w:pP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lang w:val="en-US" w:eastAsia="zh-CN"/>
              </w:rPr>
              <w:t>w</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color w:val="auto"/>
                <w:kern w:val="24"/>
                <w:sz w:val="24"/>
                <w:szCs w:val="24"/>
                <w:highlight w:val="none"/>
                <w:lang w:eastAsia="zh-CN"/>
              </w:rPr>
              <w:t>点声源声功率级（</w:t>
            </w:r>
            <w:r>
              <w:rPr>
                <w:rFonts w:hint="default" w:ascii="Times New Roman" w:hAnsi="Times New Roman" w:eastAsia="宋体" w:cs="Times New Roman"/>
                <w:color w:val="auto"/>
                <w:kern w:val="24"/>
                <w:sz w:val="24"/>
                <w:szCs w:val="24"/>
                <w:highlight w:val="none"/>
                <w:lang w:val="en-US" w:eastAsia="zh-CN"/>
              </w:rPr>
              <w:t>A计权或倍频带</w:t>
            </w:r>
            <w:r>
              <w:rPr>
                <w:rFonts w:hint="default" w:ascii="Times New Roman" w:hAnsi="Times New Roman" w:eastAsia="宋体" w:cs="Times New Roman"/>
                <w:color w:val="auto"/>
                <w:kern w:val="24"/>
                <w:sz w:val="24"/>
                <w:szCs w:val="24"/>
                <w:highlight w:val="none"/>
                <w:lang w:eastAsia="zh-CN"/>
              </w:rPr>
              <w:t>）</w:t>
            </w:r>
            <w:r>
              <w:rPr>
                <w:rFonts w:hint="default" w:ascii="Times New Roman" w:hAnsi="Times New Roman" w:eastAsia="宋体" w:cs="Times New Roman"/>
                <w:color w:val="auto"/>
                <w:kern w:val="24"/>
                <w:sz w:val="24"/>
                <w:szCs w:val="24"/>
                <w:highlight w:val="none"/>
              </w:rPr>
              <w:t>，dB</w:t>
            </w:r>
            <w:r>
              <w:rPr>
                <w:rFonts w:hint="default" w:ascii="Times New Roman" w:hAnsi="Times New Roman" w:eastAsia="宋体" w:cs="Times New Roman"/>
                <w:color w:val="auto"/>
                <w:kern w:val="24"/>
                <w:sz w:val="24"/>
                <w:szCs w:val="24"/>
                <w:highlight w:val="none"/>
                <w:lang w:eastAsia="zh-CN"/>
              </w:rPr>
              <w:t>；</w:t>
            </w:r>
          </w:p>
          <w:p>
            <w:pPr>
              <w:keepNext w:val="0"/>
              <w:keepLines w:val="0"/>
              <w:pageBreakBefore w:val="0"/>
              <w:kinsoku/>
              <w:wordWrap/>
              <w:overflowPunct/>
              <w:topLinePunct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Q—指向因数；通常对无指向性声源，当声源放在房间中心时，Q=1；当放在一面墙的中心时，Q=2；当放在两面墙夹角处时，Q=4；当放在三面墙夹角处时，Q=8。</w:t>
            </w:r>
          </w:p>
          <w:p>
            <w:pPr>
              <w:pStyle w:val="39"/>
              <w:keepNext w:val="0"/>
              <w:keepLines w:val="0"/>
              <w:pageBreakBefore w:val="0"/>
              <w:kinsoku/>
              <w:wordWrap/>
              <w:overflowPunct/>
              <w:topLinePunct w:val="0"/>
              <w:bidi w:val="0"/>
              <w:snapToGrid/>
              <w:spacing w:line="480" w:lineRule="exact"/>
              <w:ind w:firstLine="1188" w:firstLineChars="495"/>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R—房间常数，R=Sα/（1－α），S为房间内表面面积，m</w:t>
            </w:r>
            <w:r>
              <w:rPr>
                <w:rFonts w:hint="default" w:ascii="Times New Roman" w:hAnsi="Times New Roman" w:eastAsia="宋体" w:cs="Times New Roman"/>
                <w:color w:val="auto"/>
                <w:kern w:val="24"/>
                <w:sz w:val="24"/>
                <w:szCs w:val="24"/>
                <w:highlight w:val="none"/>
                <w:vertAlign w:val="superscript"/>
              </w:rPr>
              <w:t>2</w:t>
            </w:r>
            <w:r>
              <w:rPr>
                <w:rFonts w:hint="default" w:ascii="Times New Roman" w:hAnsi="Times New Roman" w:eastAsia="宋体" w:cs="Times New Roman"/>
                <w:color w:val="auto"/>
                <w:kern w:val="24"/>
                <w:sz w:val="24"/>
                <w:szCs w:val="24"/>
                <w:highlight w:val="none"/>
              </w:rPr>
              <w:t>；α为平均吸声系数。</w:t>
            </w:r>
          </w:p>
          <w:p>
            <w:pPr>
              <w:pStyle w:val="39"/>
              <w:keepNext w:val="0"/>
              <w:keepLines w:val="0"/>
              <w:pageBreakBefore w:val="0"/>
              <w:kinsoku/>
              <w:wordWrap/>
              <w:overflowPunct/>
              <w:topLinePunct w:val="0"/>
              <w:bidi w:val="0"/>
              <w:snapToGrid/>
              <w:spacing w:line="480" w:lineRule="exact"/>
              <w:ind w:firstLine="1233" w:firstLineChars="514"/>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r—声源到靠近围护结构某点处的距离，m。</w:t>
            </w:r>
          </w:p>
          <w:p>
            <w:pPr>
              <w:keepNext w:val="0"/>
              <w:keepLines w:val="0"/>
              <w:pageBreakBefore w:val="0"/>
              <w:kinsoku/>
              <w:wordWrap/>
              <w:overflowPunct/>
              <w:topLinePunct w:val="0"/>
              <w:bidi w:val="0"/>
              <w:snapToGrid/>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然后按式</w:t>
            </w:r>
            <w:r>
              <w:rPr>
                <w:rFonts w:hint="default" w:ascii="Times New Roman" w:hAnsi="Times New Roman" w:eastAsia="宋体" w:cs="Times New Roman"/>
                <w:color w:val="auto"/>
                <w:sz w:val="24"/>
                <w:szCs w:val="24"/>
                <w:highlight w:val="none"/>
                <w:lang w:eastAsia="zh-CN"/>
              </w:rPr>
              <w:t>下面公式</w:t>
            </w:r>
            <w:r>
              <w:rPr>
                <w:rFonts w:hint="default" w:ascii="Times New Roman" w:hAnsi="Times New Roman" w:eastAsia="宋体" w:cs="Times New Roman"/>
                <w:color w:val="auto"/>
                <w:sz w:val="24"/>
                <w:szCs w:val="24"/>
                <w:highlight w:val="none"/>
              </w:rPr>
              <w:t>计算出所有室内声源在围护结构处产生的i倍频带叠加声压级：</w:t>
            </w:r>
          </w:p>
          <w:p>
            <w:pPr>
              <w:pStyle w:val="39"/>
              <w:keepNext w:val="0"/>
              <w:keepLines w:val="0"/>
              <w:pageBreakBefore w:val="0"/>
              <w:kinsoku/>
              <w:wordWrap/>
              <w:overflowPunct/>
              <w:topLinePunct w:val="0"/>
              <w:bidi w:val="0"/>
              <w:snapToGrid/>
              <w:spacing w:line="480" w:lineRule="exact"/>
              <w:ind w:firstLine="2896" w:firstLineChars="1207"/>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30"/>
                <w:sz w:val="24"/>
                <w:szCs w:val="24"/>
                <w:highlight w:val="none"/>
              </w:rPr>
              <w:object>
                <v:shape id="_x0000_i1027" o:spt="75" type="#_x0000_t75" style="height:35pt;width:131pt;" o:ole="t" filled="f" o:preferrelative="t" stroked="f" coordsize="21600,21600">
                  <v:path/>
                  <v:fill on="f" focussize="0,0"/>
                  <v:stroke on="f"/>
                  <v:imagedata r:id="rId20" o:title=""/>
                  <o:lock v:ext="edit" grouping="f" rotation="f" text="f" aspectratio="t"/>
                  <w10:wrap type="none"/>
                  <w10:anchorlock/>
                </v:shape>
                <o:OLEObject Type="Embed" ProgID="Equation.3" ShapeID="_x0000_i1027" DrawAspect="Content" ObjectID="_1468075729" r:id="rId19">
                  <o:LockedField>false</o:LockedField>
                </o:OLEObject>
              </w:object>
            </w:r>
            <w:r>
              <w:rPr>
                <w:rFonts w:hint="default" w:ascii="Times New Roman" w:hAnsi="Times New Roman" w:eastAsia="宋体" w:cs="Times New Roman"/>
                <w:color w:val="auto"/>
                <w:position w:val="-30"/>
                <w:sz w:val="24"/>
                <w:szCs w:val="24"/>
                <w:highlight w:val="none"/>
                <w:lang w:val="en-US" w:eastAsia="zh-CN"/>
              </w:rPr>
              <w:t xml:space="preserve">  </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式中：</w:t>
            </w: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1</w:t>
            </w:r>
            <w:r>
              <w:rPr>
                <w:rFonts w:hint="default" w:ascii="Times New Roman" w:hAnsi="Times New Roman" w:eastAsia="宋体" w:cs="Times New Roman"/>
                <w:i/>
                <w:color w:val="auto"/>
                <w:kern w:val="24"/>
                <w:sz w:val="24"/>
                <w:szCs w:val="24"/>
                <w:highlight w:val="none"/>
                <w:vertAlign w:val="subscript"/>
              </w:rPr>
              <w:t>i</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i/>
                <w:color w:val="auto"/>
                <w:kern w:val="24"/>
                <w:sz w:val="24"/>
                <w:szCs w:val="24"/>
                <w:highlight w:val="none"/>
              </w:rPr>
              <w:t>T</w:t>
            </w:r>
            <w:r>
              <w:rPr>
                <w:rFonts w:hint="default" w:ascii="Times New Roman" w:hAnsi="Times New Roman" w:eastAsia="宋体" w:cs="Times New Roman"/>
                <w:color w:val="auto"/>
                <w:kern w:val="24"/>
                <w:sz w:val="24"/>
                <w:szCs w:val="24"/>
                <w:highlight w:val="none"/>
              </w:rPr>
              <w:t>)—靠近围护结构处室内N个声源</w:t>
            </w:r>
            <w:r>
              <w:rPr>
                <w:rFonts w:hint="default" w:ascii="Times New Roman" w:hAnsi="Times New Roman" w:eastAsia="宋体" w:cs="Times New Roman"/>
                <w:i/>
                <w:color w:val="auto"/>
                <w:kern w:val="24"/>
                <w:sz w:val="24"/>
                <w:szCs w:val="24"/>
                <w:highlight w:val="none"/>
              </w:rPr>
              <w:t>i</w:t>
            </w:r>
            <w:r>
              <w:rPr>
                <w:rFonts w:hint="default" w:ascii="Times New Roman" w:hAnsi="Times New Roman" w:eastAsia="宋体" w:cs="Times New Roman"/>
                <w:color w:val="auto"/>
                <w:kern w:val="24"/>
                <w:sz w:val="24"/>
                <w:szCs w:val="24"/>
                <w:highlight w:val="none"/>
              </w:rPr>
              <w:t>倍频带的叠加声压级，dB；</w:t>
            </w:r>
          </w:p>
          <w:p>
            <w:pPr>
              <w:pStyle w:val="39"/>
              <w:keepNext w:val="0"/>
              <w:keepLines w:val="0"/>
              <w:pageBreakBefore w:val="0"/>
              <w:kinsoku/>
              <w:wordWrap/>
              <w:overflowPunct/>
              <w:topLinePunct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1</w:t>
            </w:r>
            <w:r>
              <w:rPr>
                <w:rFonts w:hint="default" w:ascii="Times New Roman" w:hAnsi="Times New Roman" w:eastAsia="宋体" w:cs="Times New Roman"/>
                <w:i/>
                <w:color w:val="auto"/>
                <w:kern w:val="24"/>
                <w:sz w:val="24"/>
                <w:szCs w:val="24"/>
                <w:highlight w:val="none"/>
                <w:vertAlign w:val="subscript"/>
              </w:rPr>
              <w:t>ij</w:t>
            </w:r>
            <w:r>
              <w:rPr>
                <w:rFonts w:hint="default" w:ascii="Times New Roman" w:hAnsi="Times New Roman" w:eastAsia="宋体" w:cs="Times New Roman"/>
                <w:i/>
                <w:color w:val="auto"/>
                <w:kern w:val="24"/>
                <w:sz w:val="24"/>
                <w:szCs w:val="24"/>
                <w:highlight w:val="none"/>
              </w:rPr>
              <w:t>—</w:t>
            </w:r>
            <w:r>
              <w:rPr>
                <w:rFonts w:hint="default" w:ascii="Times New Roman" w:hAnsi="Times New Roman" w:eastAsia="宋体" w:cs="Times New Roman"/>
                <w:color w:val="auto"/>
                <w:kern w:val="24"/>
                <w:sz w:val="24"/>
                <w:szCs w:val="24"/>
                <w:highlight w:val="none"/>
              </w:rPr>
              <w:t>室内</w:t>
            </w:r>
            <w:r>
              <w:rPr>
                <w:rFonts w:hint="default" w:ascii="Times New Roman" w:hAnsi="Times New Roman" w:eastAsia="宋体" w:cs="Times New Roman"/>
                <w:i/>
                <w:color w:val="auto"/>
                <w:kern w:val="24"/>
                <w:sz w:val="24"/>
                <w:szCs w:val="24"/>
                <w:highlight w:val="none"/>
              </w:rPr>
              <w:t>j</w:t>
            </w:r>
            <w:r>
              <w:rPr>
                <w:rFonts w:hint="default" w:ascii="Times New Roman" w:hAnsi="Times New Roman" w:eastAsia="宋体" w:cs="Times New Roman"/>
                <w:color w:val="auto"/>
                <w:kern w:val="24"/>
                <w:sz w:val="24"/>
                <w:szCs w:val="24"/>
                <w:highlight w:val="none"/>
              </w:rPr>
              <w:t>声源</w:t>
            </w:r>
            <w:r>
              <w:rPr>
                <w:rFonts w:hint="default" w:ascii="Times New Roman" w:hAnsi="Times New Roman" w:eastAsia="宋体" w:cs="Times New Roman"/>
                <w:i/>
                <w:color w:val="auto"/>
                <w:kern w:val="24"/>
                <w:sz w:val="24"/>
                <w:szCs w:val="24"/>
                <w:highlight w:val="none"/>
              </w:rPr>
              <w:t>i</w:t>
            </w:r>
            <w:r>
              <w:rPr>
                <w:rFonts w:hint="default" w:ascii="Times New Roman" w:hAnsi="Times New Roman" w:eastAsia="宋体" w:cs="Times New Roman"/>
                <w:color w:val="auto"/>
                <w:kern w:val="24"/>
                <w:sz w:val="24"/>
                <w:szCs w:val="24"/>
                <w:highlight w:val="none"/>
              </w:rPr>
              <w:t>倍频带的声压级，dB；</w:t>
            </w:r>
          </w:p>
          <w:p>
            <w:pPr>
              <w:pStyle w:val="39"/>
              <w:keepNext w:val="0"/>
              <w:keepLines w:val="0"/>
              <w:pageBreakBefore w:val="0"/>
              <w:kinsoku/>
              <w:wordWrap/>
              <w:overflowPunct/>
              <w:topLinePunct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N</w:t>
            </w:r>
            <w:r>
              <w:rPr>
                <w:rFonts w:hint="default" w:ascii="Times New Roman" w:hAnsi="Times New Roman" w:eastAsia="宋体" w:cs="Times New Roman"/>
                <w:color w:val="auto"/>
                <w:kern w:val="24"/>
                <w:sz w:val="24"/>
                <w:szCs w:val="24"/>
                <w:highlight w:val="none"/>
              </w:rPr>
              <w:t>—室内声源总数。</w:t>
            </w:r>
          </w:p>
          <w:p>
            <w:pPr>
              <w:pStyle w:val="39"/>
              <w:keepNext w:val="0"/>
              <w:keepLines w:val="0"/>
              <w:pageBreakBefore w:val="0"/>
              <w:kinsoku/>
              <w:wordWrap/>
              <w:overflowPunct/>
              <w:topLinePunct w:val="0"/>
              <w:bidi w:val="0"/>
              <w:snapToGrid/>
              <w:spacing w:line="480" w:lineRule="exact"/>
              <w:ind w:left="0"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在室内近似为扩散声场时，按</w:t>
            </w:r>
            <w:r>
              <w:rPr>
                <w:rFonts w:hint="default" w:ascii="Times New Roman" w:hAnsi="Times New Roman" w:eastAsia="宋体" w:cs="Times New Roman"/>
                <w:color w:val="auto"/>
                <w:sz w:val="24"/>
                <w:szCs w:val="24"/>
                <w:highlight w:val="none"/>
                <w:lang w:eastAsia="zh-CN"/>
              </w:rPr>
              <w:t>下式</w:t>
            </w:r>
            <w:r>
              <w:rPr>
                <w:rFonts w:hint="default" w:ascii="Times New Roman" w:hAnsi="Times New Roman" w:eastAsia="宋体" w:cs="Times New Roman"/>
                <w:color w:val="auto"/>
                <w:sz w:val="24"/>
                <w:szCs w:val="24"/>
                <w:highlight w:val="none"/>
              </w:rPr>
              <w:t xml:space="preserve">计算出靠近室外围护结构处的声压级：  </w:t>
            </w:r>
          </w:p>
          <w:p>
            <w:pPr>
              <w:pStyle w:val="39"/>
              <w:keepNext w:val="0"/>
              <w:keepLines w:val="0"/>
              <w:pageBreakBefore w:val="0"/>
              <w:kinsoku/>
              <w:wordWrap/>
              <w:overflowPunct/>
              <w:topLinePunct w:val="0"/>
              <w:bidi w:val="0"/>
              <w:snapToGrid/>
              <w:spacing w:line="480" w:lineRule="exact"/>
              <w:ind w:firstLine="2640" w:firstLineChars="1100"/>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 xml:space="preserve">  </w:t>
            </w:r>
            <w:r>
              <w:rPr>
                <w:rFonts w:hint="default" w:ascii="Times New Roman" w:hAnsi="Times New Roman" w:eastAsia="宋体" w:cs="Times New Roman"/>
                <w:i/>
                <w:snapToGrid w:val="0"/>
                <w:color w:val="auto"/>
                <w:sz w:val="24"/>
                <w:szCs w:val="24"/>
                <w:highlight w:val="none"/>
              </w:rPr>
              <w:t>L</w:t>
            </w:r>
            <w:r>
              <w:rPr>
                <w:rFonts w:hint="default" w:ascii="Times New Roman" w:hAnsi="Times New Roman" w:eastAsia="宋体" w:cs="Times New Roman"/>
                <w:i/>
                <w:snapToGrid w:val="0"/>
                <w:color w:val="auto"/>
                <w:sz w:val="24"/>
                <w:szCs w:val="24"/>
                <w:highlight w:val="none"/>
                <w:vertAlign w:val="subscript"/>
              </w:rPr>
              <w:t>P</w:t>
            </w:r>
            <w:r>
              <w:rPr>
                <w:rFonts w:hint="default" w:ascii="Times New Roman" w:hAnsi="Times New Roman" w:eastAsia="宋体" w:cs="Times New Roman"/>
                <w:snapToGrid w:val="0"/>
                <w:color w:val="auto"/>
                <w:sz w:val="24"/>
                <w:szCs w:val="24"/>
                <w:highlight w:val="none"/>
                <w:vertAlign w:val="subscript"/>
              </w:rPr>
              <w:t>2</w:t>
            </w:r>
            <w:r>
              <w:rPr>
                <w:rFonts w:hint="default" w:ascii="Times New Roman" w:hAnsi="Times New Roman" w:eastAsia="宋体" w:cs="Times New Roman"/>
                <w:i/>
                <w:snapToGrid w:val="0"/>
                <w:color w:val="auto"/>
                <w:sz w:val="24"/>
                <w:szCs w:val="24"/>
                <w:highlight w:val="none"/>
                <w:vertAlign w:val="subscript"/>
              </w:rPr>
              <w:t>i</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T</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 xml:space="preserve"> L</w:t>
            </w:r>
            <w:r>
              <w:rPr>
                <w:rFonts w:hint="default" w:ascii="Times New Roman" w:hAnsi="Times New Roman" w:eastAsia="宋体" w:cs="Times New Roman"/>
                <w:i/>
                <w:snapToGrid w:val="0"/>
                <w:color w:val="auto"/>
                <w:sz w:val="24"/>
                <w:szCs w:val="24"/>
                <w:highlight w:val="none"/>
                <w:vertAlign w:val="subscript"/>
              </w:rPr>
              <w:t>P</w:t>
            </w:r>
            <w:r>
              <w:rPr>
                <w:rFonts w:hint="default" w:ascii="Times New Roman" w:hAnsi="Times New Roman" w:eastAsia="宋体" w:cs="Times New Roman"/>
                <w:snapToGrid w:val="0"/>
                <w:color w:val="auto"/>
                <w:sz w:val="24"/>
                <w:szCs w:val="24"/>
                <w:highlight w:val="none"/>
                <w:vertAlign w:val="subscript"/>
              </w:rPr>
              <w:t>1</w:t>
            </w:r>
            <w:r>
              <w:rPr>
                <w:rFonts w:hint="default" w:ascii="Times New Roman" w:hAnsi="Times New Roman" w:eastAsia="宋体" w:cs="Times New Roman"/>
                <w:i/>
                <w:snapToGrid w:val="0"/>
                <w:color w:val="auto"/>
                <w:sz w:val="24"/>
                <w:szCs w:val="24"/>
                <w:highlight w:val="none"/>
                <w:vertAlign w:val="subscript"/>
              </w:rPr>
              <w:t>i</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T</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TL</w:t>
            </w:r>
            <w:r>
              <w:rPr>
                <w:rFonts w:hint="default" w:ascii="Times New Roman" w:hAnsi="Times New Roman" w:eastAsia="宋体" w:cs="Times New Roman"/>
                <w:i/>
                <w:snapToGrid w:val="0"/>
                <w:color w:val="auto"/>
                <w:sz w:val="24"/>
                <w:szCs w:val="24"/>
                <w:highlight w:val="none"/>
                <w:vertAlign w:val="subscript"/>
              </w:rPr>
              <w:t>i</w:t>
            </w:r>
            <w:r>
              <w:rPr>
                <w:rFonts w:hint="default" w:ascii="Times New Roman" w:hAnsi="Times New Roman" w:eastAsia="宋体" w:cs="Times New Roman"/>
                <w:snapToGrid w:val="0"/>
                <w:color w:val="auto"/>
                <w:sz w:val="24"/>
                <w:szCs w:val="24"/>
                <w:highlight w:val="none"/>
              </w:rPr>
              <w:t>+6)</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式中：</w:t>
            </w: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rPr>
              <w:t>2</w:t>
            </w:r>
            <w:r>
              <w:rPr>
                <w:rFonts w:hint="default" w:ascii="Times New Roman" w:hAnsi="Times New Roman" w:eastAsia="宋体" w:cs="Times New Roman"/>
                <w:i/>
                <w:color w:val="auto"/>
                <w:kern w:val="24"/>
                <w:sz w:val="24"/>
                <w:szCs w:val="24"/>
                <w:highlight w:val="none"/>
                <w:vertAlign w:val="subscript"/>
              </w:rPr>
              <w:t>i</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i/>
                <w:color w:val="auto"/>
                <w:kern w:val="24"/>
                <w:sz w:val="24"/>
                <w:szCs w:val="24"/>
                <w:highlight w:val="none"/>
              </w:rPr>
              <w:t>T</w:t>
            </w:r>
            <w:r>
              <w:rPr>
                <w:rFonts w:hint="default" w:ascii="Times New Roman" w:hAnsi="Times New Roman" w:eastAsia="宋体" w:cs="Times New Roman"/>
                <w:color w:val="auto"/>
                <w:kern w:val="24"/>
                <w:sz w:val="24"/>
                <w:szCs w:val="24"/>
                <w:highlight w:val="none"/>
              </w:rPr>
              <w:t>)—靠近围护结构处室外N个噪声源</w:t>
            </w:r>
            <w:r>
              <w:rPr>
                <w:rFonts w:hint="default" w:ascii="Times New Roman" w:hAnsi="Times New Roman" w:eastAsia="宋体" w:cs="Times New Roman"/>
                <w:i/>
                <w:color w:val="auto"/>
                <w:kern w:val="24"/>
                <w:sz w:val="24"/>
                <w:szCs w:val="24"/>
                <w:highlight w:val="none"/>
              </w:rPr>
              <w:t>i</w:t>
            </w:r>
            <w:r>
              <w:rPr>
                <w:rFonts w:hint="default" w:ascii="Times New Roman" w:hAnsi="Times New Roman" w:eastAsia="宋体" w:cs="Times New Roman"/>
                <w:color w:val="auto"/>
                <w:kern w:val="24"/>
                <w:sz w:val="24"/>
                <w:szCs w:val="24"/>
                <w:highlight w:val="none"/>
              </w:rPr>
              <w:t>倍频带的叠加声压级，dB；</w:t>
            </w:r>
          </w:p>
          <w:p>
            <w:pPr>
              <w:pStyle w:val="39"/>
              <w:keepNext w:val="0"/>
              <w:keepLines w:val="0"/>
              <w:pageBreakBefore w:val="0"/>
              <w:kinsoku/>
              <w:wordWrap/>
              <w:overflowPunct/>
              <w:topLinePunct w:val="0"/>
              <w:bidi w:val="0"/>
              <w:snapToGrid/>
              <w:spacing w:line="480" w:lineRule="exact"/>
              <w:ind w:firstLine="960" w:firstLineChars="4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L</w:t>
            </w:r>
            <w:r>
              <w:rPr>
                <w:rFonts w:hint="default" w:ascii="Times New Roman" w:hAnsi="Times New Roman" w:eastAsia="宋体" w:cs="Times New Roman"/>
                <w:i/>
                <w:color w:val="auto"/>
                <w:kern w:val="24"/>
                <w:sz w:val="24"/>
                <w:szCs w:val="24"/>
                <w:highlight w:val="none"/>
                <w:vertAlign w:val="subscript"/>
              </w:rPr>
              <w:t>P</w:t>
            </w:r>
            <w:r>
              <w:rPr>
                <w:rFonts w:hint="default" w:ascii="Times New Roman" w:hAnsi="Times New Roman" w:eastAsia="宋体" w:cs="Times New Roman"/>
                <w:color w:val="auto"/>
                <w:kern w:val="24"/>
                <w:sz w:val="24"/>
                <w:szCs w:val="24"/>
                <w:highlight w:val="none"/>
                <w:vertAlign w:val="subscript"/>
                <w:lang w:val="en-US" w:eastAsia="zh-CN"/>
              </w:rPr>
              <w:t>1</w:t>
            </w:r>
            <w:r>
              <w:rPr>
                <w:rFonts w:hint="default" w:ascii="Times New Roman" w:hAnsi="Times New Roman" w:eastAsia="宋体" w:cs="Times New Roman"/>
                <w:i/>
                <w:color w:val="auto"/>
                <w:kern w:val="24"/>
                <w:sz w:val="24"/>
                <w:szCs w:val="24"/>
                <w:highlight w:val="none"/>
                <w:vertAlign w:val="subscript"/>
              </w:rPr>
              <w:t>i</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i/>
                <w:color w:val="auto"/>
                <w:kern w:val="24"/>
                <w:sz w:val="24"/>
                <w:szCs w:val="24"/>
                <w:highlight w:val="none"/>
              </w:rPr>
              <w:t>T</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i/>
                <w:color w:val="auto"/>
                <w:kern w:val="24"/>
                <w:sz w:val="24"/>
                <w:szCs w:val="24"/>
                <w:highlight w:val="none"/>
              </w:rPr>
              <w:t>—</w:t>
            </w:r>
            <w:r>
              <w:rPr>
                <w:rFonts w:hint="default" w:ascii="Times New Roman" w:hAnsi="Times New Roman" w:eastAsia="宋体" w:cs="Times New Roman"/>
                <w:color w:val="auto"/>
                <w:kern w:val="24"/>
                <w:sz w:val="24"/>
                <w:szCs w:val="24"/>
                <w:highlight w:val="none"/>
              </w:rPr>
              <w:t>靠近围护结构处室内 N 个声源 i 倍频带的叠加声压级，dB；</w:t>
            </w:r>
          </w:p>
          <w:p>
            <w:pPr>
              <w:pStyle w:val="39"/>
              <w:keepNext w:val="0"/>
              <w:keepLines w:val="0"/>
              <w:pageBreakBefore w:val="0"/>
              <w:kinsoku/>
              <w:wordWrap/>
              <w:overflowPunct/>
              <w:topLinePunct w:val="0"/>
              <w:bidi w:val="0"/>
              <w:snapToGrid/>
              <w:spacing w:line="480" w:lineRule="exact"/>
              <w:ind w:firstLine="960" w:firstLineChars="4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i/>
                <w:color w:val="auto"/>
                <w:kern w:val="24"/>
                <w:sz w:val="24"/>
                <w:szCs w:val="24"/>
                <w:highlight w:val="none"/>
              </w:rPr>
              <w:t>TL</w:t>
            </w:r>
            <w:r>
              <w:rPr>
                <w:rFonts w:hint="default" w:ascii="Times New Roman" w:hAnsi="Times New Roman" w:eastAsia="宋体" w:cs="Times New Roman"/>
                <w:i/>
                <w:color w:val="auto"/>
                <w:kern w:val="24"/>
                <w:sz w:val="24"/>
                <w:szCs w:val="24"/>
                <w:highlight w:val="none"/>
                <w:vertAlign w:val="subscript"/>
              </w:rPr>
              <w:t>i</w:t>
            </w:r>
            <w:r>
              <w:rPr>
                <w:rFonts w:hint="default" w:ascii="Times New Roman" w:hAnsi="Times New Roman" w:eastAsia="宋体" w:cs="Times New Roman"/>
                <w:i/>
                <w:color w:val="auto"/>
                <w:kern w:val="24"/>
                <w:sz w:val="24"/>
                <w:szCs w:val="24"/>
                <w:highlight w:val="none"/>
              </w:rPr>
              <w:t>—</w:t>
            </w:r>
            <w:r>
              <w:rPr>
                <w:rFonts w:hint="default" w:ascii="Times New Roman" w:hAnsi="Times New Roman" w:eastAsia="宋体" w:cs="Times New Roman"/>
                <w:color w:val="auto"/>
                <w:kern w:val="24"/>
                <w:sz w:val="24"/>
                <w:szCs w:val="24"/>
                <w:highlight w:val="none"/>
              </w:rPr>
              <w:t>围护结构</w:t>
            </w:r>
            <w:r>
              <w:rPr>
                <w:rFonts w:hint="default" w:ascii="Times New Roman" w:hAnsi="Times New Roman" w:eastAsia="宋体" w:cs="Times New Roman"/>
                <w:i/>
                <w:color w:val="auto"/>
                <w:kern w:val="24"/>
                <w:sz w:val="24"/>
                <w:szCs w:val="24"/>
                <w:highlight w:val="none"/>
              </w:rPr>
              <w:t>i</w:t>
            </w:r>
            <w:r>
              <w:rPr>
                <w:rFonts w:hint="default" w:ascii="Times New Roman" w:hAnsi="Times New Roman" w:eastAsia="宋体" w:cs="Times New Roman"/>
                <w:color w:val="auto"/>
                <w:kern w:val="24"/>
                <w:sz w:val="24"/>
                <w:szCs w:val="24"/>
                <w:highlight w:val="none"/>
              </w:rPr>
              <w:t>倍频带的隔声量。</w:t>
            </w:r>
          </w:p>
          <w:p>
            <w:pPr>
              <w:keepNext w:val="0"/>
              <w:keepLines w:val="0"/>
              <w:pageBreakBefore w:val="0"/>
              <w:kinsoku/>
              <w:wordWrap/>
              <w:overflowPunct/>
              <w:topLinePunct w:val="0"/>
              <w:bidi w:val="0"/>
              <w:snapToGrid/>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然后按</w:t>
            </w:r>
            <w:r>
              <w:rPr>
                <w:rFonts w:hint="default" w:ascii="Times New Roman" w:hAnsi="Times New Roman" w:eastAsia="宋体" w:cs="Times New Roman"/>
                <w:color w:val="auto"/>
                <w:sz w:val="24"/>
                <w:szCs w:val="24"/>
                <w:highlight w:val="none"/>
                <w:lang w:eastAsia="zh-CN"/>
              </w:rPr>
              <w:t>下面公式</w:t>
            </w:r>
            <w:r>
              <w:rPr>
                <w:rFonts w:hint="default" w:ascii="Times New Roman" w:hAnsi="Times New Roman" w:eastAsia="宋体" w:cs="Times New Roman"/>
                <w:color w:val="auto"/>
                <w:sz w:val="24"/>
                <w:szCs w:val="24"/>
                <w:highlight w:val="none"/>
              </w:rPr>
              <w:t>将室外声源的声压级和透过面积换算成等效的室外声源，计算出中心位置位于透声面积（S）处的等效声源的倍频带声功率级</w:t>
            </w:r>
            <w:r>
              <w:rPr>
                <w:rFonts w:hint="default" w:ascii="Times New Roman" w:hAnsi="Times New Roman" w:eastAsia="宋体" w:cs="Times New Roman"/>
                <w:color w:val="auto"/>
                <w:sz w:val="24"/>
                <w:szCs w:val="24"/>
                <w:highlight w:val="none"/>
                <w:lang w:eastAsia="zh-CN"/>
              </w:rPr>
              <w:t>：</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snapToGrid w:val="0"/>
                <w:color w:val="auto"/>
                <w:sz w:val="24"/>
                <w:szCs w:val="24"/>
                <w:highlight w:val="none"/>
                <w:lang w:eastAsia="zh-CN"/>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snapToGrid w:val="0"/>
                <w:color w:val="auto"/>
                <w:sz w:val="24"/>
                <w:szCs w:val="24"/>
                <w:highlight w:val="none"/>
              </w:rPr>
              <w:t xml:space="preserve"> </w:t>
            </w:r>
            <w:r>
              <w:rPr>
                <w:rFonts w:hint="default" w:ascii="Times New Roman" w:hAnsi="Times New Roman" w:eastAsia="宋体" w:cs="Times New Roman"/>
                <w:i/>
                <w:snapToGrid w:val="0"/>
                <w:color w:val="auto"/>
                <w:sz w:val="24"/>
                <w:szCs w:val="24"/>
                <w:highlight w:val="none"/>
              </w:rPr>
              <w:t>L</w:t>
            </w:r>
            <w:r>
              <w:rPr>
                <w:rFonts w:hint="default" w:ascii="Times New Roman" w:hAnsi="Times New Roman" w:eastAsia="宋体" w:cs="Times New Roman"/>
                <w:i/>
                <w:snapToGrid w:val="0"/>
                <w:color w:val="auto"/>
                <w:sz w:val="24"/>
                <w:szCs w:val="24"/>
                <w:highlight w:val="none"/>
                <w:vertAlign w:val="subscript"/>
              </w:rPr>
              <w:t>W</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L</w:t>
            </w:r>
            <w:r>
              <w:rPr>
                <w:rFonts w:hint="default" w:ascii="Times New Roman" w:hAnsi="Times New Roman" w:eastAsia="宋体" w:cs="Times New Roman"/>
                <w:i/>
                <w:snapToGrid w:val="0"/>
                <w:color w:val="auto"/>
                <w:sz w:val="24"/>
                <w:szCs w:val="24"/>
                <w:highlight w:val="none"/>
                <w:vertAlign w:val="subscript"/>
              </w:rPr>
              <w:t>P</w:t>
            </w:r>
            <w:r>
              <w:rPr>
                <w:rFonts w:hint="default" w:ascii="Times New Roman" w:hAnsi="Times New Roman" w:eastAsia="宋体" w:cs="Times New Roman"/>
                <w:snapToGrid w:val="0"/>
                <w:color w:val="auto"/>
                <w:sz w:val="24"/>
                <w:szCs w:val="24"/>
                <w:highlight w:val="none"/>
                <w:vertAlign w:val="subscript"/>
              </w:rPr>
              <w:t>2</w:t>
            </w:r>
            <w:r>
              <w:rPr>
                <w:rFonts w:hint="default" w:ascii="Times New Roman" w:hAnsi="Times New Roman" w:eastAsia="宋体" w:cs="Times New Roman"/>
                <w:snapToGrid w:val="0"/>
                <w:color w:val="auto"/>
                <w:sz w:val="24"/>
                <w:szCs w:val="24"/>
                <w:highlight w:val="none"/>
              </w:rPr>
              <w:t>(</w:t>
            </w:r>
            <w:r>
              <w:rPr>
                <w:rFonts w:hint="default" w:ascii="Times New Roman" w:hAnsi="Times New Roman" w:eastAsia="宋体" w:cs="Times New Roman"/>
                <w:i/>
                <w:snapToGrid w:val="0"/>
                <w:color w:val="auto"/>
                <w:sz w:val="24"/>
                <w:szCs w:val="24"/>
                <w:highlight w:val="none"/>
              </w:rPr>
              <w:t>T</w:t>
            </w:r>
            <w:r>
              <w:rPr>
                <w:rFonts w:hint="default" w:ascii="Times New Roman" w:hAnsi="Times New Roman" w:eastAsia="宋体" w:cs="Times New Roman"/>
                <w:snapToGrid w:val="0"/>
                <w:color w:val="auto"/>
                <w:sz w:val="24"/>
                <w:szCs w:val="24"/>
                <w:highlight w:val="none"/>
              </w:rPr>
              <w:t>)+10lg</w:t>
            </w:r>
            <w:r>
              <w:rPr>
                <w:rFonts w:hint="default" w:ascii="Times New Roman" w:hAnsi="Times New Roman" w:eastAsia="宋体" w:cs="Times New Roman"/>
                <w:i/>
                <w:snapToGrid w:val="0"/>
                <w:color w:val="auto"/>
                <w:sz w:val="24"/>
                <w:szCs w:val="24"/>
                <w:highlight w:val="none"/>
                <w:lang w:val="en-US" w:eastAsia="zh-CN"/>
              </w:rPr>
              <w:t>S</w:t>
            </w:r>
          </w:p>
          <w:p>
            <w:pPr>
              <w:keepNext w:val="0"/>
              <w:keepLines w:val="0"/>
              <w:pageBreakBefore w:val="0"/>
              <w:widowControl/>
              <w:suppressLineNumbers w:val="0"/>
              <w:kinsoku/>
              <w:wordWrap/>
              <w:overflowPunct/>
              <w:topLinePunct w:val="0"/>
              <w:bidi w:val="0"/>
              <w:snapToGrid/>
              <w:spacing w:line="48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式中：</w:t>
            </w: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w</w:t>
            </w:r>
            <w:r>
              <w:rPr>
                <w:rFonts w:hint="default" w:ascii="Times New Roman" w:hAnsi="Times New Roman" w:eastAsia="宋体" w:cs="Times New Roman"/>
                <w:i/>
                <w:iCs/>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——中心位置位于透声面积（</w:t>
            </w:r>
            <w:r>
              <w:rPr>
                <w:rFonts w:hint="default" w:ascii="Times New Roman" w:hAnsi="Times New Roman" w:eastAsia="宋体" w:cs="Times New Roman"/>
                <w:i/>
                <w:iCs/>
                <w:color w:val="auto"/>
                <w:kern w:val="0"/>
                <w:sz w:val="24"/>
                <w:szCs w:val="24"/>
                <w:highlight w:val="none"/>
                <w:lang w:val="en-US" w:eastAsia="zh-CN" w:bidi="ar"/>
              </w:rPr>
              <w:t>S</w:t>
            </w:r>
            <w:r>
              <w:rPr>
                <w:rFonts w:hint="default" w:ascii="Times New Roman" w:hAnsi="Times New Roman" w:eastAsia="宋体" w:cs="Times New Roman"/>
                <w:color w:val="auto"/>
                <w:kern w:val="0"/>
                <w:sz w:val="24"/>
                <w:szCs w:val="24"/>
                <w:highlight w:val="none"/>
                <w:lang w:val="en-US" w:eastAsia="zh-CN" w:bidi="ar"/>
              </w:rPr>
              <w:t xml:space="preserve">）处的等效声源的倍频带声功率级，dB； </w:t>
            </w:r>
          </w:p>
          <w:p>
            <w:pPr>
              <w:keepNext w:val="0"/>
              <w:keepLines w:val="0"/>
              <w:pageBreakBefore w:val="0"/>
              <w:widowControl/>
              <w:suppressLineNumbers w:val="0"/>
              <w:kinsoku/>
              <w:wordWrap/>
              <w:overflowPunct/>
              <w:topLinePunct w:val="0"/>
              <w:bidi w:val="0"/>
              <w:snapToGrid/>
              <w:spacing w:line="48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p</w:t>
            </w:r>
            <w:r>
              <w:rPr>
                <w:rFonts w:hint="default" w:ascii="Times New Roman" w:hAnsi="Times New Roman" w:eastAsia="宋体" w:cs="Times New Roman"/>
                <w:color w:val="auto"/>
                <w:kern w:val="0"/>
                <w:sz w:val="24"/>
                <w:szCs w:val="24"/>
                <w:highlight w:val="none"/>
                <w:vertAlign w:val="sub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i/>
                <w:iCs/>
                <w:color w:val="auto"/>
                <w:kern w:val="0"/>
                <w:sz w:val="24"/>
                <w:szCs w:val="24"/>
                <w:highlight w:val="none"/>
                <w:lang w:val="en-US" w:eastAsia="zh-CN" w:bidi="ar"/>
              </w:rPr>
              <w:t>T</w:t>
            </w:r>
            <w:r>
              <w:rPr>
                <w:rFonts w:hint="default" w:ascii="Times New Roman" w:hAnsi="Times New Roman" w:eastAsia="宋体" w:cs="Times New Roman"/>
                <w:color w:val="auto"/>
                <w:kern w:val="0"/>
                <w:sz w:val="24"/>
                <w:szCs w:val="24"/>
                <w:highlight w:val="none"/>
                <w:lang w:val="en-US" w:eastAsia="zh-CN" w:bidi="ar"/>
              </w:rPr>
              <w:t xml:space="preserve">)——靠近围护结构处室外声源的声压级，dB； </w:t>
            </w:r>
          </w:p>
          <w:p>
            <w:pPr>
              <w:keepNext w:val="0"/>
              <w:keepLines w:val="0"/>
              <w:pageBreakBefore w:val="0"/>
              <w:widowControl/>
              <w:suppressLineNumbers w:val="0"/>
              <w:kinsoku/>
              <w:wordWrap/>
              <w:overflowPunct/>
              <w:topLinePunct w:val="0"/>
              <w:bidi w:val="0"/>
              <w:snapToGrid/>
              <w:spacing w:line="48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S</w:t>
            </w:r>
            <w:r>
              <w:rPr>
                <w:rFonts w:hint="default" w:ascii="Times New Roman" w:hAnsi="Times New Roman" w:eastAsia="宋体" w:cs="Times New Roman"/>
                <w:color w:val="auto"/>
                <w:kern w:val="0"/>
                <w:sz w:val="24"/>
                <w:szCs w:val="24"/>
                <w:highlight w:val="none"/>
                <w:lang w:val="en-US" w:eastAsia="zh-CN" w:bidi="ar"/>
              </w:rPr>
              <w:t>——透声面积，m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snapToGrid/>
              <w:spacing w:line="48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然后按室外声源预测方法计算预测点处的 A 声级。</w:t>
            </w:r>
          </w:p>
          <w:p>
            <w:pPr>
              <w:keepNext w:val="0"/>
              <w:keepLines w:val="0"/>
              <w:pageBreakBefore w:val="0"/>
              <w:kinsoku/>
              <w:wordWrap/>
              <w:overflowPunct/>
              <w:topLinePunct w:val="0"/>
              <w:bidi w:val="0"/>
              <w:snapToGrid/>
              <w:spacing w:line="480" w:lineRule="exact"/>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②拟建工程声源对预测点产生的贡献值计算</w:t>
            </w:r>
          </w:p>
          <w:p>
            <w:pPr>
              <w:keepNext w:val="0"/>
              <w:keepLines w:val="0"/>
              <w:pageBreakBefore w:val="0"/>
              <w:kinsoku/>
              <w:wordWrap/>
              <w:overflowPunct/>
              <w:topLinePunct w:val="0"/>
              <w:bidi w:val="0"/>
              <w:snapToGrid/>
              <w:spacing w:line="480" w:lineRule="exact"/>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建设项目声源在预测点产生的等效声级贡献值(L</w:t>
            </w:r>
            <w:r>
              <w:rPr>
                <w:rFonts w:hint="default" w:ascii="Times New Roman" w:hAnsi="Times New Roman" w:eastAsia="宋体" w:cs="Times New Roman"/>
                <w:i/>
                <w:iCs/>
                <w:color w:val="auto"/>
                <w:kern w:val="24"/>
                <w:sz w:val="24"/>
                <w:szCs w:val="24"/>
                <w:highlight w:val="none"/>
              </w:rPr>
              <w:t>eqg</w:t>
            </w:r>
            <w:r>
              <w:rPr>
                <w:rFonts w:hint="default" w:ascii="Times New Roman" w:hAnsi="Times New Roman" w:eastAsia="宋体" w:cs="Times New Roman"/>
                <w:color w:val="auto"/>
                <w:kern w:val="24"/>
                <w:sz w:val="24"/>
                <w:szCs w:val="24"/>
                <w:highlight w:val="none"/>
              </w:rPr>
              <w:t>)计算公式：</w:t>
            </w:r>
          </w:p>
          <w:p>
            <w:pPr>
              <w:pStyle w:val="39"/>
              <w:keepNext w:val="0"/>
              <w:keepLines w:val="0"/>
              <w:pageBreakBefore w:val="0"/>
              <w:kinsoku/>
              <w:wordWrap/>
              <w:overflowPunct/>
              <w:topLinePunct w:val="0"/>
              <w:bidi w:val="0"/>
              <w:snapToGrid/>
              <w:spacing w:line="480" w:lineRule="exact"/>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8" o:spt="75" type="#_x0000_t75" style="height:34pt;width:134pt;" o:ole="t" filled="f" o:preferrelative="t" stroked="f" coordsize="21600,21600">
                  <v:path/>
                  <v:fill on="f" focussize="0,0"/>
                  <v:stroke on="f"/>
                  <v:imagedata r:id="rId22" o:title=""/>
                  <o:lock v:ext="edit" grouping="f" rotation="f" text="f" aspectratio="t"/>
                  <w10:wrap type="none"/>
                  <w10:anchorlock/>
                </v:shape>
                <o:OLEObject Type="Embed" ProgID="Equation.3" ShapeID="_x0000_i1028" DrawAspect="Content" ObjectID="_1468075730" r:id="rId21">
                  <o:LockedField>false</o:LockedField>
                </o:OLEObject>
              </w:object>
            </w:r>
          </w:p>
          <w:p>
            <w:pPr>
              <w:keepNext w:val="0"/>
              <w:keepLines w:val="0"/>
              <w:pageBreakBefore w:val="0"/>
              <w:kinsoku/>
              <w:wordWrap/>
              <w:overflowPunct/>
              <w:topLinePunct w:val="0"/>
              <w:autoSpaceDE w:val="0"/>
              <w:autoSpaceDN w:val="0"/>
              <w:bidi w:val="0"/>
              <w:snapToGrid/>
              <w:spacing w:line="480" w:lineRule="exact"/>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式中：L</w:t>
            </w:r>
            <w:r>
              <w:rPr>
                <w:rFonts w:hint="default" w:ascii="Times New Roman" w:hAnsi="Times New Roman" w:eastAsia="宋体" w:cs="Times New Roman"/>
                <w:color w:val="auto"/>
                <w:kern w:val="24"/>
                <w:sz w:val="24"/>
                <w:szCs w:val="24"/>
                <w:highlight w:val="none"/>
                <w:vertAlign w:val="subscript"/>
              </w:rPr>
              <w:t>eqg</w:t>
            </w:r>
            <w:r>
              <w:rPr>
                <w:rFonts w:hint="default" w:ascii="Times New Roman" w:hAnsi="Times New Roman" w:eastAsia="宋体" w:cs="Times New Roman"/>
                <w:color w:val="auto"/>
                <w:kern w:val="24"/>
                <w:sz w:val="24"/>
                <w:szCs w:val="24"/>
                <w:highlight w:val="none"/>
              </w:rPr>
              <w:t>—建设项目声源在预测点的等效声级贡献值，dB(A)；</w:t>
            </w:r>
          </w:p>
          <w:p>
            <w:pPr>
              <w:keepNext w:val="0"/>
              <w:keepLines w:val="0"/>
              <w:pageBreakBefore w:val="0"/>
              <w:kinsoku/>
              <w:wordWrap/>
              <w:overflowPunct/>
              <w:topLinePunct w:val="0"/>
              <w:autoSpaceDE w:val="0"/>
              <w:autoSpaceDN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L</w:t>
            </w:r>
            <w:r>
              <w:rPr>
                <w:rFonts w:hint="default" w:ascii="Times New Roman" w:hAnsi="Times New Roman" w:eastAsia="宋体" w:cs="Times New Roman"/>
                <w:color w:val="auto"/>
                <w:kern w:val="24"/>
                <w:sz w:val="24"/>
                <w:szCs w:val="24"/>
                <w:highlight w:val="none"/>
                <w:vertAlign w:val="subscript"/>
              </w:rPr>
              <w:t xml:space="preserve">Ai </w:t>
            </w:r>
            <w:r>
              <w:rPr>
                <w:rFonts w:hint="default" w:ascii="Times New Roman" w:hAnsi="Times New Roman" w:eastAsia="宋体" w:cs="Times New Roman"/>
                <w:color w:val="auto"/>
                <w:kern w:val="24"/>
                <w:sz w:val="24"/>
                <w:szCs w:val="24"/>
                <w:highlight w:val="none"/>
              </w:rPr>
              <w:t>— i声源在预测点产生的A 声级，dB(A)；</w:t>
            </w:r>
          </w:p>
          <w:p>
            <w:pPr>
              <w:keepNext w:val="0"/>
              <w:keepLines w:val="0"/>
              <w:pageBreakBefore w:val="0"/>
              <w:kinsoku/>
              <w:wordWrap/>
              <w:overflowPunct/>
              <w:topLinePunct w:val="0"/>
              <w:autoSpaceDE w:val="0"/>
              <w:autoSpaceDN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T — 预测计算的时间段，s；</w:t>
            </w:r>
          </w:p>
          <w:p>
            <w:pPr>
              <w:keepNext w:val="0"/>
              <w:keepLines w:val="0"/>
              <w:pageBreakBefore w:val="0"/>
              <w:kinsoku/>
              <w:wordWrap/>
              <w:overflowPunct/>
              <w:topLinePunct w:val="0"/>
              <w:autoSpaceDE w:val="0"/>
              <w:autoSpaceDN w:val="0"/>
              <w:bidi w:val="0"/>
              <w:snapToGrid/>
              <w:spacing w:line="480" w:lineRule="exact"/>
              <w:ind w:firstLine="1200" w:firstLineChars="5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t</w:t>
            </w:r>
            <w:r>
              <w:rPr>
                <w:rFonts w:hint="default" w:ascii="Times New Roman" w:hAnsi="Times New Roman" w:eastAsia="宋体" w:cs="Times New Roman"/>
                <w:color w:val="auto"/>
                <w:kern w:val="24"/>
                <w:sz w:val="24"/>
                <w:szCs w:val="24"/>
                <w:highlight w:val="none"/>
                <w:vertAlign w:val="subscript"/>
              </w:rPr>
              <w:t>i</w:t>
            </w:r>
            <w:r>
              <w:rPr>
                <w:rFonts w:hint="default" w:ascii="Times New Roman" w:hAnsi="Times New Roman" w:eastAsia="宋体" w:cs="Times New Roman"/>
                <w:color w:val="auto"/>
                <w:kern w:val="24"/>
                <w:sz w:val="24"/>
                <w:szCs w:val="24"/>
                <w:highlight w:val="none"/>
              </w:rPr>
              <w:t>— i 声源在T 时段内的运行时间，s；</w:t>
            </w:r>
          </w:p>
          <w:p>
            <w:pPr>
              <w:keepNext w:val="0"/>
              <w:keepLines w:val="0"/>
              <w:pageBreakBefore w:val="0"/>
              <w:kinsoku/>
              <w:wordWrap/>
              <w:overflowPunct/>
              <w:topLinePunct w:val="0"/>
              <w:bidi w:val="0"/>
              <w:snapToGrid/>
              <w:spacing w:line="480" w:lineRule="exact"/>
              <w:ind w:firstLine="1188" w:firstLineChars="495"/>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n—声源个数。</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③户外声传播衰减计算</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户外声传播衰减包括几何发散（A</w:t>
            </w:r>
            <w:r>
              <w:rPr>
                <w:rFonts w:hint="default" w:ascii="Times New Roman" w:hAnsi="Times New Roman" w:eastAsia="宋体" w:cs="Times New Roman"/>
                <w:color w:val="auto"/>
                <w:kern w:val="24"/>
                <w:sz w:val="24"/>
                <w:szCs w:val="24"/>
                <w:highlight w:val="none"/>
                <w:vertAlign w:val="subscript"/>
              </w:rPr>
              <w:t>div</w:t>
            </w:r>
            <w:r>
              <w:rPr>
                <w:rFonts w:hint="default" w:ascii="Times New Roman" w:hAnsi="Times New Roman" w:eastAsia="宋体" w:cs="Times New Roman"/>
                <w:color w:val="auto"/>
                <w:kern w:val="24"/>
                <w:sz w:val="24"/>
                <w:szCs w:val="24"/>
                <w:highlight w:val="none"/>
              </w:rPr>
              <w:t>）、大气吸收（A</w:t>
            </w:r>
            <w:r>
              <w:rPr>
                <w:rFonts w:hint="default" w:ascii="Times New Roman" w:hAnsi="Times New Roman" w:eastAsia="宋体" w:cs="Times New Roman"/>
                <w:color w:val="auto"/>
                <w:kern w:val="24"/>
                <w:sz w:val="24"/>
                <w:szCs w:val="24"/>
                <w:highlight w:val="none"/>
                <w:vertAlign w:val="subscript"/>
              </w:rPr>
              <w:t>atm</w:t>
            </w:r>
            <w:r>
              <w:rPr>
                <w:rFonts w:hint="default" w:ascii="Times New Roman" w:hAnsi="Times New Roman" w:eastAsia="宋体" w:cs="Times New Roman"/>
                <w:color w:val="auto"/>
                <w:kern w:val="24"/>
                <w:sz w:val="24"/>
                <w:szCs w:val="24"/>
                <w:highlight w:val="none"/>
              </w:rPr>
              <w:t>）、地面效应（A</w:t>
            </w:r>
            <w:r>
              <w:rPr>
                <w:rFonts w:hint="default" w:ascii="Times New Roman" w:hAnsi="Times New Roman" w:eastAsia="宋体" w:cs="Times New Roman"/>
                <w:color w:val="auto"/>
                <w:kern w:val="24"/>
                <w:sz w:val="24"/>
                <w:szCs w:val="24"/>
                <w:highlight w:val="none"/>
                <w:vertAlign w:val="subscript"/>
              </w:rPr>
              <w:t>gr</w:t>
            </w:r>
            <w:r>
              <w:rPr>
                <w:rFonts w:hint="default" w:ascii="Times New Roman" w:hAnsi="Times New Roman" w:eastAsia="宋体" w:cs="Times New Roman"/>
                <w:color w:val="auto"/>
                <w:kern w:val="24"/>
                <w:sz w:val="24"/>
                <w:szCs w:val="24"/>
                <w:highlight w:val="none"/>
              </w:rPr>
              <w:t>）、屏障屏蔽（A</w:t>
            </w:r>
            <w:r>
              <w:rPr>
                <w:rFonts w:hint="default" w:ascii="Times New Roman" w:hAnsi="Times New Roman" w:eastAsia="宋体" w:cs="Times New Roman"/>
                <w:color w:val="auto"/>
                <w:kern w:val="24"/>
                <w:sz w:val="24"/>
                <w:szCs w:val="24"/>
                <w:highlight w:val="none"/>
                <w:vertAlign w:val="subscript"/>
              </w:rPr>
              <w:t>bar</w:t>
            </w:r>
            <w:r>
              <w:rPr>
                <w:rFonts w:hint="default" w:ascii="Times New Roman" w:hAnsi="Times New Roman" w:eastAsia="宋体" w:cs="Times New Roman"/>
                <w:color w:val="auto"/>
                <w:kern w:val="24"/>
                <w:sz w:val="24"/>
                <w:szCs w:val="24"/>
                <w:highlight w:val="none"/>
              </w:rPr>
              <w:t>）、其他多方面效应（A</w:t>
            </w:r>
            <w:r>
              <w:rPr>
                <w:rFonts w:hint="default" w:ascii="Times New Roman" w:hAnsi="Times New Roman" w:eastAsia="宋体" w:cs="Times New Roman"/>
                <w:color w:val="auto"/>
                <w:kern w:val="24"/>
                <w:sz w:val="24"/>
                <w:szCs w:val="24"/>
                <w:highlight w:val="none"/>
                <w:vertAlign w:val="subscript"/>
              </w:rPr>
              <w:t>misc</w:t>
            </w:r>
            <w:r>
              <w:rPr>
                <w:rFonts w:hint="default" w:ascii="Times New Roman" w:hAnsi="Times New Roman" w:eastAsia="宋体" w:cs="Times New Roman"/>
                <w:color w:val="auto"/>
                <w:kern w:val="24"/>
                <w:sz w:val="24"/>
                <w:szCs w:val="24"/>
                <w:highlight w:val="none"/>
              </w:rPr>
              <w:t>）引起的衰减。</w:t>
            </w:r>
          </w:p>
          <w:p>
            <w:pPr>
              <w:pStyle w:val="39"/>
              <w:keepNext w:val="0"/>
              <w:keepLines w:val="0"/>
              <w:pageBreakBefore w:val="0"/>
              <w:kinsoku/>
              <w:wordWrap/>
              <w:overflowPunct/>
              <w:topLinePunct w:val="0"/>
              <w:bidi w:val="0"/>
              <w:snapToGrid/>
              <w:spacing w:line="480" w:lineRule="exact"/>
              <w:ind w:firstLine="48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距声源点r处的A声级按下式计算：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Lp(r)＝Lw+DC－(Adiv＋Aatm＋Agr＋Abar＋Amisc)</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式中：Lp(r) ——预测点处声压级，dB；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Lw ——由点声源产生的声功率级（A计权或倍频带），dB；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DC ——指向性校正，它描述点声源的等效连续声压级与产生声功率级Lw的全向点声源在规定方向的声级的偏差程度，dB；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Adiv ——几何发散引起的衰减，dB；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Aatm ——大气吸收引起的衰减，dB；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Agr ——地面效应引起的衰减，dB；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 xml:space="preserve">Abar ——障碍物屏蔽引起的衰减，dB；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Amisc ——其他多方面效应引起的衰减，dB。</w:t>
            </w:r>
          </w:p>
          <w:p>
            <w:pPr>
              <w:pStyle w:val="3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bidi="ar-SA"/>
              </w:rPr>
              <w:t>（3）预测结果</w:t>
            </w:r>
          </w:p>
          <w:p>
            <w:pPr>
              <w:pStyle w:val="3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bidi="ar-SA"/>
              </w:rPr>
              <w:t>本次预测只考虑项目各声源至受声点的几何发散衰减，不考虑空气吸收及影响较小的附加衰减，车间距离衰减也会降低噪声。本项目生产设备作业主要在主生产车间内，本次噪声源的预测采取到各厂界的距离，项目产噪车间距各厂界距离见</w:t>
            </w:r>
            <w:r>
              <w:rPr>
                <w:rFonts w:hint="default" w:ascii="Times New Roman" w:hAnsi="Times New Roman" w:cs="Times New Roman"/>
                <w:snapToGrid/>
                <w:color w:val="auto"/>
                <w:kern w:val="2"/>
                <w:sz w:val="24"/>
                <w:szCs w:val="24"/>
                <w:highlight w:val="none"/>
                <w:lang w:val="en-US" w:eastAsia="zh-CN" w:bidi="ar-SA"/>
              </w:rPr>
              <w:t>下</w:t>
            </w:r>
            <w:r>
              <w:rPr>
                <w:rFonts w:hint="default" w:ascii="Times New Roman" w:hAnsi="Times New Roman" w:eastAsia="宋体" w:cs="Times New Roman"/>
                <w:snapToGrid/>
                <w:color w:val="auto"/>
                <w:kern w:val="2"/>
                <w:sz w:val="24"/>
                <w:szCs w:val="24"/>
                <w:highlight w:val="none"/>
                <w:lang w:val="en-US" w:eastAsia="zh-CN" w:bidi="ar-SA"/>
              </w:rPr>
              <w:t>表，项目各厂界噪声预测结果见</w:t>
            </w:r>
            <w:r>
              <w:rPr>
                <w:rFonts w:hint="default" w:ascii="Times New Roman" w:hAnsi="Times New Roman" w:cs="Times New Roman"/>
                <w:snapToGrid/>
                <w:color w:val="auto"/>
                <w:kern w:val="2"/>
                <w:sz w:val="24"/>
                <w:szCs w:val="24"/>
                <w:highlight w:val="none"/>
                <w:lang w:val="en-US" w:eastAsia="zh-CN" w:bidi="ar-SA"/>
              </w:rPr>
              <w:t>下</w:t>
            </w:r>
            <w:r>
              <w:rPr>
                <w:rFonts w:hint="default" w:ascii="Times New Roman" w:hAnsi="Times New Roman" w:eastAsia="宋体" w:cs="Times New Roman"/>
                <w:snapToGrid/>
                <w:color w:val="auto"/>
                <w:kern w:val="2"/>
                <w:sz w:val="24"/>
                <w:szCs w:val="24"/>
                <w:highlight w:val="none"/>
                <w:lang w:val="en-US" w:eastAsia="zh-CN" w:bidi="ar-SA"/>
              </w:rPr>
              <w:t>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val="0"/>
                <w:color w:val="auto"/>
                <w:sz w:val="24"/>
                <w:szCs w:val="24"/>
                <w:highlight w:val="none"/>
                <w:vertAlign w:val="baseline"/>
                <w:lang w:val="en-US" w:eastAsia="zh-CN"/>
              </w:rPr>
            </w:pPr>
            <w:r>
              <w:rPr>
                <w:rFonts w:hint="default" w:ascii="Times New Roman" w:hAnsi="Times New Roman"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30</w:t>
            </w:r>
            <w:r>
              <w:rPr>
                <w:rFonts w:hint="default" w:ascii="Times New Roman" w:hAnsi="Times New Roman" w:cs="Times New Roman"/>
                <w:b/>
                <w:bCs w:val="0"/>
                <w:color w:val="auto"/>
                <w:sz w:val="24"/>
                <w:szCs w:val="24"/>
                <w:highlight w:val="none"/>
                <w:lang w:val="en-US" w:eastAsia="zh-CN"/>
              </w:rPr>
              <w:t xml:space="preserve">    生产车间距各厂界距离一览表  单位：米</w:t>
            </w:r>
          </w:p>
          <w:tbl>
            <w:tblPr>
              <w:tblStyle w:val="21"/>
              <w:tblW w:w="81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1666"/>
              <w:gridCol w:w="1666"/>
              <w:gridCol w:w="1667"/>
              <w:gridCol w:w="1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车间</w:t>
                  </w:r>
                </w:p>
              </w:tc>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东厂界</w:t>
                  </w:r>
                </w:p>
              </w:tc>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西厂界</w:t>
                  </w:r>
                </w:p>
              </w:tc>
              <w:tc>
                <w:tcPr>
                  <w:tcW w:w="166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南厂界</w:t>
                  </w:r>
                </w:p>
              </w:tc>
              <w:tc>
                <w:tcPr>
                  <w:tcW w:w="150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北厂界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主车间</w:t>
                  </w:r>
                </w:p>
              </w:tc>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15</w:t>
                  </w:r>
                </w:p>
              </w:tc>
              <w:tc>
                <w:tcPr>
                  <w:tcW w:w="166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15</w:t>
                  </w:r>
                </w:p>
              </w:tc>
              <w:tc>
                <w:tcPr>
                  <w:tcW w:w="166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100</w:t>
                  </w:r>
                </w:p>
              </w:tc>
              <w:tc>
                <w:tcPr>
                  <w:tcW w:w="150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val="0"/>
                <w:color w:val="auto"/>
                <w:sz w:val="24"/>
                <w:szCs w:val="24"/>
                <w:highlight w:val="none"/>
                <w:vertAlign w:val="baseline"/>
                <w:lang w:val="en-US" w:eastAsia="zh-CN"/>
              </w:rPr>
            </w:pPr>
            <w:r>
              <w:rPr>
                <w:rFonts w:hint="default"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31</w:t>
            </w:r>
            <w:r>
              <w:rPr>
                <w:rFonts w:hint="default" w:ascii="Times New Roman" w:hAnsi="Times New Roman"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lang w:val="en-US" w:eastAsia="zh-CN"/>
              </w:rPr>
              <w:t xml:space="preserve"> 厂界噪声预测结果与达标分析表  单位：</w:t>
            </w:r>
            <w:r>
              <w:rPr>
                <w:rFonts w:hint="default" w:ascii="Times New Roman" w:hAnsi="Times New Roman" w:eastAsia="宋体" w:cs="Times New Roman"/>
                <w:b/>
                <w:bCs w:val="0"/>
                <w:color w:val="auto"/>
                <w:sz w:val="24"/>
                <w:szCs w:val="24"/>
                <w:highlight w:val="none"/>
                <w:lang w:val="zh-CN" w:eastAsia="zh-CN"/>
              </w:rPr>
              <w:t>dB(A)</w:t>
            </w:r>
          </w:p>
          <w:tbl>
            <w:tblPr>
              <w:tblStyle w:val="21"/>
              <w:tblW w:w="81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050"/>
              <w:gridCol w:w="1245"/>
              <w:gridCol w:w="1336"/>
              <w:gridCol w:w="779"/>
              <w:gridCol w:w="2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715"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预测方位</w:t>
                  </w:r>
                </w:p>
              </w:tc>
              <w:tc>
                <w:tcPr>
                  <w:tcW w:w="64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时段</w:t>
                  </w:r>
                </w:p>
              </w:tc>
              <w:tc>
                <w:tcPr>
                  <w:tcW w:w="7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贡献</w:t>
                  </w:r>
                  <w:r>
                    <w:rPr>
                      <w:rFonts w:hint="default" w:ascii="Times New Roman" w:hAnsi="Times New Roman" w:eastAsia="宋体" w:cs="Times New Roman"/>
                      <w:b w:val="0"/>
                      <w:bCs/>
                      <w:color w:val="auto"/>
                      <w:sz w:val="21"/>
                      <w:szCs w:val="21"/>
                      <w:highlight w:val="none"/>
                      <w:vertAlign w:val="baseline"/>
                      <w:lang w:val="en-US" w:eastAsia="zh-CN"/>
                    </w:rPr>
                    <w:t>值</w:t>
                  </w:r>
                </w:p>
              </w:tc>
              <w:tc>
                <w:tcPr>
                  <w:tcW w:w="1302"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标准限值</w:t>
                  </w:r>
                </w:p>
              </w:tc>
              <w:tc>
                <w:tcPr>
                  <w:tcW w:w="1568"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1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p>
              </w:tc>
              <w:tc>
                <w:tcPr>
                  <w:tcW w:w="64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昼间</w:t>
                  </w:r>
                </w:p>
              </w:tc>
              <w:tc>
                <w:tcPr>
                  <w:tcW w:w="4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夜间</w:t>
                  </w:r>
                </w:p>
              </w:tc>
              <w:tc>
                <w:tcPr>
                  <w:tcW w:w="156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东</w:t>
                  </w:r>
                </w:p>
              </w:tc>
              <w:tc>
                <w:tcPr>
                  <w:tcW w:w="64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昼</w:t>
                  </w:r>
                  <w:r>
                    <w:rPr>
                      <w:rFonts w:hint="eastAsia" w:cs="Times New Roman"/>
                      <w:b w:val="0"/>
                      <w:bCs/>
                      <w:color w:val="auto"/>
                      <w:sz w:val="21"/>
                      <w:szCs w:val="21"/>
                      <w:highlight w:val="none"/>
                      <w:vertAlign w:val="baseline"/>
                      <w:lang w:val="en-US" w:eastAsia="zh-CN"/>
                    </w:rPr>
                    <w:t>、夜</w:t>
                  </w:r>
                </w:p>
              </w:tc>
              <w:tc>
                <w:tcPr>
                  <w:tcW w:w="76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49.2</w:t>
                  </w:r>
                </w:p>
              </w:tc>
              <w:tc>
                <w:tcPr>
                  <w:tcW w:w="82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60</w:t>
                  </w:r>
                </w:p>
              </w:tc>
              <w:tc>
                <w:tcPr>
                  <w:tcW w:w="47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50</w:t>
                  </w:r>
                </w:p>
              </w:tc>
              <w:tc>
                <w:tcPr>
                  <w:tcW w:w="1568"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南</w:t>
                  </w:r>
                </w:p>
              </w:tc>
              <w:tc>
                <w:tcPr>
                  <w:tcW w:w="64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6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12.2</w:t>
                  </w:r>
                </w:p>
              </w:tc>
              <w:tc>
                <w:tcPr>
                  <w:tcW w:w="82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60</w:t>
                  </w:r>
                </w:p>
              </w:tc>
              <w:tc>
                <w:tcPr>
                  <w:tcW w:w="47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50</w:t>
                  </w:r>
                </w:p>
              </w:tc>
              <w:tc>
                <w:tcPr>
                  <w:tcW w:w="1568"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西</w:t>
                  </w:r>
                </w:p>
              </w:tc>
              <w:tc>
                <w:tcPr>
                  <w:tcW w:w="64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6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4</w:t>
                  </w:r>
                  <w:r>
                    <w:rPr>
                      <w:rFonts w:hint="eastAsia" w:cs="Times New Roman"/>
                      <w:b w:val="0"/>
                      <w:bCs/>
                      <w:color w:val="auto"/>
                      <w:sz w:val="21"/>
                      <w:szCs w:val="21"/>
                      <w:highlight w:val="none"/>
                      <w:vertAlign w:val="baseline"/>
                      <w:lang w:val="en-US" w:eastAsia="zh-CN"/>
                    </w:rPr>
                    <w:t>9</w:t>
                  </w:r>
                  <w:r>
                    <w:rPr>
                      <w:rFonts w:hint="default" w:ascii="Times New Roman" w:hAnsi="Times New Roman" w:cs="Times New Roman"/>
                      <w:b w:val="0"/>
                      <w:bCs/>
                      <w:color w:val="auto"/>
                      <w:sz w:val="21"/>
                      <w:szCs w:val="21"/>
                      <w:highlight w:val="none"/>
                      <w:vertAlign w:val="baseline"/>
                      <w:lang w:val="en-US" w:eastAsia="zh-CN"/>
                    </w:rPr>
                    <w:t>.</w:t>
                  </w:r>
                  <w:r>
                    <w:rPr>
                      <w:rFonts w:hint="eastAsia" w:cs="Times New Roman"/>
                      <w:b w:val="0"/>
                      <w:bCs/>
                      <w:color w:val="auto"/>
                      <w:sz w:val="21"/>
                      <w:szCs w:val="21"/>
                      <w:highlight w:val="none"/>
                      <w:vertAlign w:val="baseline"/>
                      <w:lang w:val="en-US" w:eastAsia="zh-CN"/>
                    </w:rPr>
                    <w:t>2</w:t>
                  </w:r>
                </w:p>
              </w:tc>
              <w:tc>
                <w:tcPr>
                  <w:tcW w:w="82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60</w:t>
                  </w:r>
                </w:p>
              </w:tc>
              <w:tc>
                <w:tcPr>
                  <w:tcW w:w="47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50</w:t>
                  </w:r>
                </w:p>
              </w:tc>
              <w:tc>
                <w:tcPr>
                  <w:tcW w:w="1568"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71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北</w:t>
                  </w:r>
                </w:p>
              </w:tc>
              <w:tc>
                <w:tcPr>
                  <w:tcW w:w="64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6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4</w:t>
                  </w:r>
                  <w:r>
                    <w:rPr>
                      <w:rFonts w:hint="eastAsia" w:cs="Times New Roman"/>
                      <w:b w:val="0"/>
                      <w:bCs/>
                      <w:color w:val="auto"/>
                      <w:sz w:val="21"/>
                      <w:szCs w:val="21"/>
                      <w:highlight w:val="none"/>
                      <w:vertAlign w:val="baseline"/>
                      <w:lang w:val="en-US" w:eastAsia="zh-CN"/>
                    </w:rPr>
                    <w:t>9</w:t>
                  </w:r>
                  <w:r>
                    <w:rPr>
                      <w:rFonts w:hint="default" w:ascii="Times New Roman" w:hAnsi="Times New Roman" w:cs="Times New Roman"/>
                      <w:b w:val="0"/>
                      <w:bCs/>
                      <w:color w:val="auto"/>
                      <w:sz w:val="21"/>
                      <w:szCs w:val="21"/>
                      <w:highlight w:val="none"/>
                      <w:vertAlign w:val="baseline"/>
                      <w:lang w:val="en-US" w:eastAsia="zh-CN"/>
                    </w:rPr>
                    <w:t>.2</w:t>
                  </w:r>
                </w:p>
              </w:tc>
              <w:tc>
                <w:tcPr>
                  <w:tcW w:w="82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60</w:t>
                  </w:r>
                </w:p>
              </w:tc>
              <w:tc>
                <w:tcPr>
                  <w:tcW w:w="47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50</w:t>
                  </w:r>
                </w:p>
              </w:tc>
              <w:tc>
                <w:tcPr>
                  <w:tcW w:w="1568"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达标</w:t>
                  </w:r>
                </w:p>
              </w:tc>
            </w:tr>
          </w:tbl>
          <w:p>
            <w:pPr>
              <w:autoSpaceDE w:val="0"/>
              <w:autoSpaceDN w:val="0"/>
              <w:adjustRightInd w:val="0"/>
              <w:spacing w:line="48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项目厂界噪声</w:t>
            </w:r>
            <w:r>
              <w:rPr>
                <w:rFonts w:hint="default" w:ascii="Times New Roman" w:hAnsi="Times New Roman" w:cs="Times New Roman"/>
                <w:color w:val="auto"/>
                <w:sz w:val="24"/>
                <w:highlight w:val="none"/>
                <w:lang w:val="en-US" w:eastAsia="zh-CN"/>
              </w:rPr>
              <w:t>贡献</w:t>
            </w:r>
            <w:r>
              <w:rPr>
                <w:rFonts w:hint="default" w:ascii="Times New Roman" w:hAnsi="Times New Roman" w:eastAsia="宋体" w:cs="Times New Roman"/>
                <w:color w:val="auto"/>
                <w:sz w:val="24"/>
                <w:highlight w:val="none"/>
                <w:lang w:val="en-US" w:eastAsia="zh-CN"/>
              </w:rPr>
              <w:t>值为</w:t>
            </w:r>
            <w:r>
              <w:rPr>
                <w:rFonts w:hint="eastAsia" w:cs="Times New Roman"/>
                <w:color w:val="auto"/>
                <w:sz w:val="24"/>
                <w:highlight w:val="none"/>
                <w:lang w:val="en-US" w:eastAsia="zh-CN"/>
              </w:rPr>
              <w:t>12.2-49.2</w:t>
            </w:r>
            <w:r>
              <w:rPr>
                <w:rFonts w:hint="default" w:ascii="Times New Roman" w:hAnsi="Times New Roman" w:eastAsia="宋体" w:cs="Times New Roman"/>
                <w:color w:val="auto"/>
                <w:sz w:val="24"/>
                <w:highlight w:val="none"/>
                <w:lang w:val="en-US" w:eastAsia="zh-CN"/>
              </w:rPr>
              <w:t>dB（A），厂界噪声能够满足《工业企业厂界环境噪声排放标准》（GB12348-2008）</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类标准限值。</w:t>
            </w:r>
          </w:p>
          <w:p>
            <w:pPr>
              <w:spacing w:line="48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4、固体废物治理措施及影响分析</w:t>
            </w:r>
          </w:p>
          <w:p>
            <w:pPr>
              <w:spacing w:line="480" w:lineRule="exact"/>
              <w:ind w:firstLine="482" w:firstLineChars="200"/>
              <w:rPr>
                <w:rFonts w:hint="default" w:ascii="Times New Roman" w:hAnsi="Times New Roman" w:eastAsia="宋体" w:cs="Times New Roman"/>
                <w:b/>
                <w:bCs/>
                <w:snapToGrid w:val="0"/>
                <w:color w:val="auto"/>
                <w:kern w:val="0"/>
                <w:sz w:val="24"/>
                <w:highlight w:val="none"/>
                <w:lang w:val="en-US" w:eastAsia="zh-CN" w:bidi="ar"/>
              </w:rPr>
            </w:pPr>
            <w:r>
              <w:rPr>
                <w:rFonts w:hint="default" w:ascii="Times New Roman" w:hAnsi="Times New Roman" w:eastAsia="宋体" w:cs="Times New Roman"/>
                <w:b/>
                <w:bCs/>
                <w:snapToGrid w:val="0"/>
                <w:color w:val="auto"/>
                <w:kern w:val="0"/>
                <w:sz w:val="24"/>
                <w:highlight w:val="none"/>
                <w:lang w:val="en-US" w:eastAsia="zh-CN" w:bidi="ar"/>
              </w:rPr>
              <w:t>（1）一般固体废物污染源及治理措施</w:t>
            </w:r>
          </w:p>
          <w:p>
            <w:pPr>
              <w:autoSpaceDE w:val="0"/>
              <w:autoSpaceDN w:val="0"/>
              <w:adjustRightInd w:val="0"/>
              <w:spacing w:line="48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rPr>
              <w:t>①</w:t>
            </w:r>
            <w:r>
              <w:rPr>
                <w:rFonts w:hint="default" w:ascii="Times New Roman" w:hAnsi="Times New Roman" w:eastAsia="宋体" w:cs="Times New Roman"/>
                <w:color w:val="auto"/>
                <w:sz w:val="24"/>
                <w:highlight w:val="none"/>
                <w:lang w:val="en-US" w:eastAsia="zh-CN"/>
              </w:rPr>
              <w:t>除尘灰产生量为</w:t>
            </w:r>
            <w:r>
              <w:rPr>
                <w:rFonts w:hint="eastAsia" w:cs="Times New Roman"/>
                <w:color w:val="auto"/>
                <w:sz w:val="24"/>
                <w:highlight w:val="none"/>
                <w:lang w:val="en-US" w:eastAsia="zh-CN"/>
              </w:rPr>
              <w:t>25.676</w:t>
            </w:r>
            <w:r>
              <w:rPr>
                <w:rFonts w:hint="default" w:ascii="Times New Roman" w:hAnsi="Times New Roman" w:eastAsia="宋体" w:cs="Times New Roman"/>
                <w:color w:val="auto"/>
                <w:sz w:val="24"/>
                <w:highlight w:val="none"/>
                <w:lang w:val="en-US" w:eastAsia="zh-CN"/>
              </w:rPr>
              <w:t>t/a，</w:t>
            </w:r>
            <w:r>
              <w:rPr>
                <w:rFonts w:hint="eastAsia" w:cs="Times New Roman"/>
                <w:color w:val="auto"/>
                <w:sz w:val="24"/>
                <w:highlight w:val="none"/>
                <w:lang w:val="en-US" w:eastAsia="zh-CN"/>
              </w:rPr>
              <w:t>即产即清，</w:t>
            </w:r>
            <w:r>
              <w:rPr>
                <w:rFonts w:hint="default" w:ascii="Times New Roman" w:hAnsi="Times New Roman" w:eastAsia="宋体" w:cs="Times New Roman"/>
                <w:color w:val="auto"/>
                <w:sz w:val="24"/>
                <w:highlight w:val="none"/>
                <w:lang w:val="en-US" w:eastAsia="zh-CN"/>
              </w:rPr>
              <w:t>集中收集外售饲料厂；</w:t>
            </w:r>
          </w:p>
          <w:p>
            <w:pPr>
              <w:autoSpaceDE w:val="0"/>
              <w:autoSpaceDN w:val="0"/>
              <w:adjustRightInd w:val="0"/>
              <w:spacing w:line="48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rPr>
              <w:t>②</w:t>
            </w:r>
            <w:r>
              <w:rPr>
                <w:rFonts w:hint="default" w:ascii="Times New Roman" w:hAnsi="Times New Roman" w:eastAsia="宋体" w:cs="Times New Roman"/>
                <w:color w:val="auto"/>
                <w:sz w:val="24"/>
                <w:highlight w:val="none"/>
                <w:lang w:val="en-US" w:eastAsia="zh-CN"/>
              </w:rPr>
              <w:t>未</w:t>
            </w:r>
            <w:r>
              <w:rPr>
                <w:rFonts w:hint="eastAsia" w:cs="Times New Roman"/>
                <w:color w:val="auto"/>
                <w:sz w:val="24"/>
                <w:highlight w:val="none"/>
                <w:lang w:val="en-US" w:eastAsia="zh-CN"/>
              </w:rPr>
              <w:t>碳化</w:t>
            </w:r>
            <w:r>
              <w:rPr>
                <w:rFonts w:hint="default" w:ascii="Times New Roman" w:hAnsi="Times New Roman" w:eastAsia="宋体" w:cs="Times New Roman"/>
                <w:color w:val="auto"/>
                <w:sz w:val="24"/>
                <w:highlight w:val="none"/>
                <w:lang w:val="en-US" w:eastAsia="zh-CN"/>
              </w:rPr>
              <w:t>充分的杂质产生量为5</w:t>
            </w:r>
            <w:r>
              <w:rPr>
                <w:rFonts w:hint="eastAsia" w:cs="Times New Roman"/>
                <w:color w:val="auto"/>
                <w:sz w:val="24"/>
                <w:highlight w:val="none"/>
                <w:lang w:val="en-US" w:eastAsia="zh-CN"/>
              </w:rPr>
              <w:t>00</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即产即清，</w:t>
            </w:r>
            <w:r>
              <w:rPr>
                <w:rFonts w:hint="default" w:ascii="Times New Roman" w:hAnsi="Times New Roman" w:eastAsia="宋体" w:cs="Times New Roman"/>
                <w:color w:val="auto"/>
                <w:sz w:val="24"/>
                <w:highlight w:val="none"/>
                <w:lang w:val="en-US" w:eastAsia="zh-CN"/>
              </w:rPr>
              <w:t>集中收集，</w:t>
            </w:r>
            <w:r>
              <w:rPr>
                <w:rFonts w:hint="eastAsia" w:ascii="Times New Roman" w:hAnsi="Times New Roman" w:eastAsia="宋体" w:cs="Times New Roman"/>
                <w:color w:val="auto"/>
                <w:sz w:val="24"/>
                <w:highlight w:val="none"/>
                <w:lang w:val="en-US" w:eastAsia="zh-CN"/>
              </w:rPr>
              <w:t>回用于生产</w:t>
            </w:r>
            <w:r>
              <w:rPr>
                <w:rFonts w:hint="default" w:ascii="Times New Roman" w:hAnsi="Times New Roman" w:eastAsia="宋体" w:cs="Times New Roman"/>
                <w:color w:val="auto"/>
                <w:sz w:val="24"/>
                <w:highlight w:val="none"/>
                <w:lang w:val="en-US" w:eastAsia="zh-CN"/>
              </w:rPr>
              <w:t>；</w:t>
            </w:r>
          </w:p>
          <w:p>
            <w:pPr>
              <w:autoSpaceDE w:val="0"/>
              <w:autoSpaceDN w:val="0"/>
              <w:adjustRightInd w:val="0"/>
              <w:spacing w:line="48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rPr>
              <w:t>③</w:t>
            </w:r>
            <w:r>
              <w:rPr>
                <w:rFonts w:hint="default" w:ascii="Times New Roman" w:hAnsi="Times New Roman" w:eastAsia="宋体" w:cs="Times New Roman"/>
                <w:color w:val="auto"/>
                <w:sz w:val="24"/>
                <w:highlight w:val="none"/>
                <w:lang w:val="en-US" w:eastAsia="zh-CN"/>
              </w:rPr>
              <w:t>废除臭剂桶产生量为0.1t/a，</w:t>
            </w:r>
            <w:r>
              <w:rPr>
                <w:rFonts w:hint="eastAsia" w:cs="Times New Roman"/>
                <w:color w:val="auto"/>
                <w:sz w:val="24"/>
                <w:highlight w:val="none"/>
                <w:lang w:val="en-US" w:eastAsia="zh-CN"/>
              </w:rPr>
              <w:t>即产即清，</w:t>
            </w:r>
            <w:r>
              <w:rPr>
                <w:rFonts w:hint="default" w:ascii="Times New Roman" w:hAnsi="Times New Roman" w:eastAsia="宋体" w:cs="Times New Roman"/>
                <w:color w:val="auto"/>
                <w:sz w:val="24"/>
                <w:highlight w:val="none"/>
                <w:lang w:val="en-US" w:eastAsia="zh-CN"/>
              </w:rPr>
              <w:t>集中收集，外售废品站；</w:t>
            </w:r>
          </w:p>
          <w:p>
            <w:pPr>
              <w:autoSpaceDE w:val="0"/>
              <w:autoSpaceDN w:val="0"/>
              <w:adjustRightInd w:val="0"/>
              <w:spacing w:line="480" w:lineRule="exact"/>
              <w:ind w:left="479" w:leftChars="228" w:firstLine="0" w:firstLineChars="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rPr>
              <w:t>④</w:t>
            </w:r>
            <w:r>
              <w:rPr>
                <w:rFonts w:hint="default" w:ascii="Times New Roman" w:hAnsi="Times New Roman" w:eastAsia="宋体" w:cs="Times New Roman"/>
                <w:color w:val="auto"/>
                <w:sz w:val="24"/>
                <w:highlight w:val="none"/>
                <w:lang w:val="en-US" w:eastAsia="zh-CN"/>
              </w:rPr>
              <w:t>废布袋产生量为0.5t/a，</w:t>
            </w:r>
            <w:r>
              <w:rPr>
                <w:rFonts w:hint="eastAsia" w:cs="Times New Roman"/>
                <w:color w:val="auto"/>
                <w:sz w:val="24"/>
                <w:highlight w:val="none"/>
                <w:lang w:val="en-US" w:eastAsia="zh-CN"/>
              </w:rPr>
              <w:t>即产即清，</w:t>
            </w:r>
            <w:r>
              <w:rPr>
                <w:rFonts w:hint="default" w:ascii="Times New Roman" w:hAnsi="Times New Roman" w:eastAsia="宋体" w:cs="Times New Roman"/>
                <w:color w:val="auto"/>
                <w:sz w:val="24"/>
                <w:highlight w:val="none"/>
                <w:lang w:val="en-US" w:eastAsia="zh-CN"/>
              </w:rPr>
              <w:t>厂家定期回收。</w:t>
            </w:r>
          </w:p>
          <w:p>
            <w:pPr>
              <w:spacing w:line="480" w:lineRule="exact"/>
              <w:ind w:firstLine="480"/>
              <w:rPr>
                <w:rFonts w:hint="eastAsia" w:cs="Times New Roman"/>
                <w:snapToGrid w:val="0"/>
                <w:color w:val="auto"/>
                <w:kern w:val="0"/>
                <w:sz w:val="24"/>
                <w:highlight w:val="none"/>
                <w:lang w:val="en-US" w:eastAsia="zh-CN" w:bidi="ar"/>
              </w:rPr>
            </w:pPr>
            <w:r>
              <w:rPr>
                <w:rFonts w:hint="eastAsia" w:cs="Times New Roman"/>
                <w:snapToGrid w:val="0"/>
                <w:color w:val="auto"/>
                <w:kern w:val="0"/>
                <w:sz w:val="24"/>
                <w:highlight w:val="none"/>
                <w:lang w:val="en-US" w:eastAsia="zh-CN" w:bidi="ar"/>
              </w:rPr>
              <w:t>⑤生活垃圾</w:t>
            </w:r>
            <w:r>
              <w:rPr>
                <w:rFonts w:hint="default" w:ascii="Times New Roman" w:hAnsi="Times New Roman" w:eastAsia="宋体" w:cs="Times New Roman"/>
                <w:color w:val="auto"/>
                <w:sz w:val="24"/>
                <w:highlight w:val="none"/>
                <w:lang w:val="en-US" w:eastAsia="zh-CN"/>
              </w:rPr>
              <w:t>产生量为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t/a，</w:t>
            </w:r>
            <w:r>
              <w:rPr>
                <w:rFonts w:hint="eastAsia" w:cs="Times New Roman"/>
                <w:color w:val="auto"/>
                <w:sz w:val="24"/>
                <w:highlight w:val="none"/>
                <w:lang w:val="en-US" w:eastAsia="zh-CN"/>
              </w:rPr>
              <w:t>即产即清，</w:t>
            </w:r>
            <w:r>
              <w:rPr>
                <w:rFonts w:hint="eastAsia" w:ascii="Times New Roman" w:hAnsi="Times New Roman" w:eastAsia="宋体" w:cs="Times New Roman"/>
                <w:color w:val="auto"/>
                <w:sz w:val="24"/>
                <w:highlight w:val="none"/>
                <w:lang w:val="en-US" w:eastAsia="zh-CN"/>
              </w:rPr>
              <w:t>集中收集交环卫部门统一处理</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val="0"/>
                <w:bCs/>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表</w:t>
            </w:r>
            <w:r>
              <w:rPr>
                <w:rFonts w:hint="eastAsia" w:cs="Times New Roman"/>
                <w:b/>
                <w:bCs w:val="0"/>
                <w:color w:val="auto"/>
                <w:kern w:val="2"/>
                <w:sz w:val="24"/>
                <w:szCs w:val="24"/>
                <w:highlight w:val="none"/>
                <w:lang w:val="en-US" w:eastAsia="zh-CN" w:bidi="ar-SA"/>
              </w:rPr>
              <w:t>32</w:t>
            </w:r>
            <w:r>
              <w:rPr>
                <w:rFonts w:hint="default" w:ascii="Times New Roman" w:hAnsi="Times New Roman" w:cs="Times New Roman"/>
                <w:b/>
                <w:bCs w:val="0"/>
                <w:color w:val="auto"/>
                <w:kern w:val="2"/>
                <w:sz w:val="24"/>
                <w:szCs w:val="24"/>
                <w:highlight w:val="none"/>
                <w:lang w:val="en-US" w:eastAsia="zh-CN" w:bidi="ar-SA"/>
              </w:rPr>
              <w:t xml:space="preserve">   </w:t>
            </w:r>
            <w:r>
              <w:rPr>
                <w:rFonts w:hint="default" w:ascii="Times New Roman" w:hAnsi="Times New Roman" w:eastAsia="宋体" w:cs="Times New Roman"/>
                <w:b/>
                <w:bCs w:val="0"/>
                <w:color w:val="auto"/>
                <w:kern w:val="2"/>
                <w:sz w:val="24"/>
                <w:szCs w:val="24"/>
                <w:highlight w:val="none"/>
                <w:lang w:val="zh-CN" w:eastAsia="zh-CN" w:bidi="ar-SA"/>
              </w:rPr>
              <w:t xml:space="preserve"> </w:t>
            </w:r>
            <w:r>
              <w:rPr>
                <w:rFonts w:hint="default" w:ascii="Times New Roman" w:hAnsi="Times New Roman" w:cs="Times New Roman"/>
                <w:b/>
                <w:bCs w:val="0"/>
                <w:color w:val="auto"/>
                <w:kern w:val="2"/>
                <w:sz w:val="24"/>
                <w:szCs w:val="24"/>
                <w:highlight w:val="none"/>
                <w:lang w:val="en-US" w:eastAsia="zh-CN" w:bidi="ar-SA"/>
              </w:rPr>
              <w:t>一</w:t>
            </w:r>
            <w:r>
              <w:rPr>
                <w:rFonts w:hint="default" w:ascii="Times New Roman" w:hAnsi="Times New Roman" w:eastAsia="宋体" w:cs="Times New Roman"/>
                <w:b/>
                <w:bCs w:val="0"/>
                <w:color w:val="auto"/>
                <w:kern w:val="2"/>
                <w:sz w:val="24"/>
                <w:szCs w:val="24"/>
                <w:highlight w:val="none"/>
                <w:lang w:val="en-US" w:eastAsia="zh-CN" w:bidi="ar-SA"/>
              </w:rPr>
              <w:t>般</w:t>
            </w:r>
            <w:r>
              <w:rPr>
                <w:rFonts w:hint="default" w:ascii="Times New Roman" w:hAnsi="Times New Roman" w:eastAsia="宋体" w:cs="Times New Roman"/>
                <w:b/>
                <w:bCs w:val="0"/>
                <w:color w:val="auto"/>
                <w:kern w:val="2"/>
                <w:sz w:val="24"/>
                <w:szCs w:val="24"/>
                <w:highlight w:val="none"/>
                <w:lang w:val="zh-CN" w:eastAsia="zh-CN" w:bidi="ar-SA"/>
              </w:rPr>
              <w:t>固体废物污染源及治理措施一览表</w:t>
            </w:r>
            <w:r>
              <w:rPr>
                <w:rFonts w:hint="default" w:ascii="Times New Roman" w:hAnsi="Times New Roman" w:eastAsia="宋体" w:cs="Times New Roman"/>
                <w:b w:val="0"/>
                <w:bCs/>
                <w:color w:val="auto"/>
                <w:kern w:val="2"/>
                <w:sz w:val="24"/>
                <w:szCs w:val="24"/>
                <w:highlight w:val="none"/>
                <w:lang w:val="zh-CN" w:eastAsia="zh-CN" w:bidi="ar-SA"/>
              </w:rPr>
              <w:t xml:space="preserve"> </w:t>
            </w:r>
          </w:p>
          <w:tbl>
            <w:tblPr>
              <w:tblStyle w:val="20"/>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1079"/>
              <w:gridCol w:w="1097"/>
              <w:gridCol w:w="849"/>
              <w:gridCol w:w="1372"/>
              <w:gridCol w:w="31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2" w:type="pct"/>
                  <w:tcBorders>
                    <w:tl2br w:val="nil"/>
                    <w:tr2bl w:val="nil"/>
                  </w:tcBorders>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序号</w:t>
                  </w:r>
                </w:p>
              </w:tc>
              <w:tc>
                <w:tcPr>
                  <w:tcW w:w="663" w:type="pct"/>
                  <w:tcBorders>
                    <w:tl2br w:val="nil"/>
                    <w:tr2bl w:val="nil"/>
                  </w:tcBorders>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名称</w:t>
                  </w:r>
                </w:p>
              </w:tc>
              <w:tc>
                <w:tcPr>
                  <w:tcW w:w="674" w:type="pct"/>
                  <w:tcBorders>
                    <w:tl2br w:val="nil"/>
                    <w:tr2bl w:val="nil"/>
                  </w:tcBorders>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产生环节</w:t>
                  </w:r>
                </w:p>
              </w:tc>
              <w:tc>
                <w:tcPr>
                  <w:tcW w:w="522" w:type="pct"/>
                  <w:tcBorders>
                    <w:tl2br w:val="nil"/>
                    <w:tr2bl w:val="nil"/>
                  </w:tcBorders>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产生量</w:t>
                  </w:r>
                </w:p>
                <w:p>
                  <w:pPr>
                    <w:adjustRightInd w:val="0"/>
                    <w:snapToGrid w:val="0"/>
                    <w:jc w:val="center"/>
                    <w:rPr>
                      <w:rFonts w:hint="default" w:ascii="Times New Roman" w:hAnsi="Times New Roman" w:cs="Times New Roman"/>
                      <w:color w:val="auto"/>
                      <w:szCs w:val="21"/>
                      <w:lang w:bidi="ar"/>
                    </w:rPr>
                  </w:pPr>
                  <w:r>
                    <w:rPr>
                      <w:rFonts w:hint="default" w:ascii="Times New Roman" w:hAnsi="Times New Roman" w:cs="Times New Roman"/>
                      <w:color w:val="auto"/>
                      <w:spacing w:val="-8"/>
                      <w:szCs w:val="21"/>
                    </w:rPr>
                    <w:t>(t/a)</w:t>
                  </w:r>
                </w:p>
              </w:tc>
              <w:tc>
                <w:tcPr>
                  <w:tcW w:w="843" w:type="pct"/>
                  <w:tcBorders>
                    <w:tl2br w:val="nil"/>
                    <w:tr2bl w:val="nil"/>
                  </w:tcBorders>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zCs w:val="21"/>
                      <w:lang w:bidi="ar"/>
                    </w:rPr>
                    <w:t>一般固废类别代码</w:t>
                  </w:r>
                </w:p>
              </w:tc>
              <w:tc>
                <w:tcPr>
                  <w:tcW w:w="1944" w:type="pct"/>
                  <w:tcBorders>
                    <w:tl2br w:val="nil"/>
                    <w:tr2bl w:val="nil"/>
                  </w:tcBorders>
                  <w:noWrap w:val="0"/>
                  <w:vAlign w:val="center"/>
                </w:tcPr>
                <w:p>
                  <w:pPr>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处置措施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52"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1</w:t>
                  </w:r>
                </w:p>
              </w:tc>
              <w:tc>
                <w:tcPr>
                  <w:tcW w:w="66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Cs w:val="21"/>
                      <w:lang w:bidi="ar"/>
                    </w:rPr>
                    <w:t>除尘灰</w:t>
                  </w:r>
                </w:p>
              </w:tc>
              <w:tc>
                <w:tcPr>
                  <w:tcW w:w="67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除尘</w:t>
                  </w:r>
                </w:p>
              </w:tc>
              <w:tc>
                <w:tcPr>
                  <w:tcW w:w="52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szCs w:val="21"/>
                      <w:lang w:val="en-US" w:eastAsia="zh-CN" w:bidi="ar"/>
                    </w:rPr>
                    <w:t>25.676</w:t>
                  </w:r>
                </w:p>
              </w:tc>
              <w:tc>
                <w:tcPr>
                  <w:tcW w:w="84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Cs w:val="21"/>
                      <w:lang w:val="en-US" w:eastAsia="zh-CN" w:bidi="ar"/>
                    </w:rPr>
                    <w:t>900</w:t>
                  </w:r>
                  <w:r>
                    <w:rPr>
                      <w:rFonts w:hint="default" w:ascii="Times New Roman" w:hAnsi="Times New Roman" w:cs="Times New Roman"/>
                      <w:color w:val="auto"/>
                      <w:szCs w:val="21"/>
                      <w:lang w:bidi="ar"/>
                    </w:rPr>
                    <w:t>-</w:t>
                  </w:r>
                  <w:r>
                    <w:rPr>
                      <w:rFonts w:hint="default" w:ascii="Times New Roman" w:hAnsi="Times New Roman" w:cs="Times New Roman"/>
                      <w:color w:val="auto"/>
                      <w:szCs w:val="21"/>
                      <w:lang w:val="en-US" w:eastAsia="zh-CN" w:bidi="ar"/>
                    </w:rPr>
                    <w:t>099</w:t>
                  </w:r>
                  <w:r>
                    <w:rPr>
                      <w:rFonts w:hint="default" w:ascii="Times New Roman" w:hAnsi="Times New Roman" w:cs="Times New Roman"/>
                      <w:color w:val="auto"/>
                      <w:szCs w:val="21"/>
                      <w:lang w:bidi="ar"/>
                    </w:rPr>
                    <w:t>-</w:t>
                  </w:r>
                  <w:r>
                    <w:rPr>
                      <w:rFonts w:hint="default" w:ascii="Times New Roman" w:hAnsi="Times New Roman" w:cs="Times New Roman"/>
                      <w:color w:val="auto"/>
                      <w:szCs w:val="21"/>
                      <w:lang w:val="en-US" w:eastAsia="zh-CN" w:bidi="ar"/>
                    </w:rPr>
                    <w:t>S59</w:t>
                  </w:r>
                </w:p>
              </w:tc>
              <w:tc>
                <w:tcPr>
                  <w:tcW w:w="194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bidi="ar"/>
                    </w:rPr>
                  </w:pPr>
                  <w:r>
                    <w:rPr>
                      <w:rFonts w:hint="eastAsia" w:ascii="Times New Roman" w:hAnsi="Times New Roman" w:eastAsia="宋体" w:cs="Times New Roman"/>
                      <w:color w:val="auto"/>
                      <w:szCs w:val="21"/>
                      <w:lang w:val="en-US" w:eastAsia="zh-CN" w:bidi="ar"/>
                    </w:rPr>
                    <w:t>即产即清，</w:t>
                  </w:r>
                  <w:r>
                    <w:rPr>
                      <w:rFonts w:hint="default" w:ascii="Times New Roman" w:hAnsi="Times New Roman" w:eastAsia="宋体" w:cs="Times New Roman"/>
                      <w:color w:val="auto"/>
                      <w:szCs w:val="21"/>
                      <w:lang w:val="en-US" w:eastAsia="zh-CN" w:bidi="ar"/>
                    </w:rPr>
                    <w:t>集中收集外售饲料厂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352"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w:t>
                  </w:r>
                </w:p>
              </w:tc>
              <w:tc>
                <w:tcPr>
                  <w:tcW w:w="66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Cs w:val="21"/>
                      <w:lang w:bidi="ar"/>
                    </w:rPr>
                    <w:t>废布袋</w:t>
                  </w:r>
                </w:p>
              </w:tc>
              <w:tc>
                <w:tcPr>
                  <w:tcW w:w="67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除尘</w:t>
                  </w:r>
                </w:p>
              </w:tc>
              <w:tc>
                <w:tcPr>
                  <w:tcW w:w="52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szCs w:val="21"/>
                      <w:lang w:bidi="ar"/>
                    </w:rPr>
                    <w:t>0.</w:t>
                  </w:r>
                  <w:r>
                    <w:rPr>
                      <w:rFonts w:hint="default" w:ascii="Times New Roman" w:hAnsi="Times New Roman" w:cs="Times New Roman"/>
                      <w:color w:val="auto"/>
                      <w:szCs w:val="21"/>
                      <w:lang w:val="en-US" w:eastAsia="zh-CN" w:bidi="ar"/>
                    </w:rPr>
                    <w:t>5</w:t>
                  </w:r>
                </w:p>
              </w:tc>
              <w:tc>
                <w:tcPr>
                  <w:tcW w:w="84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Cs w:val="21"/>
                      <w:lang w:val="en-US" w:eastAsia="zh-CN" w:bidi="ar"/>
                    </w:rPr>
                    <w:t xml:space="preserve">900-009-S59 </w:t>
                  </w:r>
                </w:p>
              </w:tc>
              <w:tc>
                <w:tcPr>
                  <w:tcW w:w="1944" w:type="pct"/>
                  <w:tcBorders>
                    <w:tl2br w:val="nil"/>
                    <w:tr2bl w:val="nil"/>
                  </w:tcBorders>
                  <w:noWrap w:val="0"/>
                  <w:vAlign w:val="center"/>
                </w:tcPr>
                <w:p>
                  <w:pPr>
                    <w:adjustRightInd w:val="0"/>
                    <w:snapToGrid w:val="0"/>
                    <w:jc w:val="center"/>
                    <w:rPr>
                      <w:rFonts w:hint="default" w:ascii="Times New Roman" w:hAnsi="Times New Roman" w:cs="Times New Roman"/>
                      <w:color w:val="auto"/>
                      <w:szCs w:val="21"/>
                      <w:lang w:eastAsia="zh-CN" w:bidi="ar"/>
                    </w:rPr>
                  </w:pPr>
                  <w:r>
                    <w:rPr>
                      <w:rFonts w:hint="eastAsia" w:ascii="Times New Roman" w:hAnsi="Times New Roman" w:eastAsia="宋体" w:cs="Times New Roman"/>
                      <w:color w:val="auto"/>
                      <w:szCs w:val="21"/>
                      <w:lang w:val="en-US" w:eastAsia="zh-CN" w:bidi="ar"/>
                    </w:rPr>
                    <w:t>即产即清，</w:t>
                  </w:r>
                  <w:r>
                    <w:rPr>
                      <w:rFonts w:hint="default" w:ascii="Times New Roman" w:hAnsi="Times New Roman" w:eastAsia="宋体" w:cs="Times New Roman"/>
                      <w:color w:val="auto"/>
                      <w:szCs w:val="21"/>
                      <w:lang w:val="en-US" w:eastAsia="zh-CN" w:bidi="ar"/>
                    </w:rPr>
                    <w:t>不在厂区暂存，由厂家更换回收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35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3</w:t>
                  </w:r>
                </w:p>
              </w:tc>
              <w:tc>
                <w:tcPr>
                  <w:tcW w:w="66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bidi="ar"/>
                    </w:rPr>
                  </w:pPr>
                  <w:r>
                    <w:rPr>
                      <w:rFonts w:hint="eastAsia" w:cs="Times New Roman"/>
                      <w:color w:val="auto"/>
                      <w:szCs w:val="21"/>
                      <w:lang w:val="en-US" w:eastAsia="zh-CN" w:bidi="ar"/>
                    </w:rPr>
                    <w:t>碳化</w:t>
                  </w:r>
                  <w:r>
                    <w:rPr>
                      <w:rFonts w:hint="default" w:ascii="Times New Roman" w:hAnsi="Times New Roman" w:eastAsia="宋体" w:cs="Times New Roman"/>
                      <w:color w:val="auto"/>
                      <w:szCs w:val="21"/>
                      <w:lang w:val="en-US" w:eastAsia="zh-CN" w:bidi="ar"/>
                    </w:rPr>
                    <w:t>充分的杂质</w:t>
                  </w:r>
                </w:p>
              </w:tc>
              <w:tc>
                <w:tcPr>
                  <w:tcW w:w="6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eastAsia="zh-CN" w:bidi="ar"/>
                    </w:rPr>
                    <w:t>生产过程</w:t>
                  </w:r>
                </w:p>
              </w:tc>
              <w:tc>
                <w:tcPr>
                  <w:tcW w:w="52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default" w:ascii="Times New Roman" w:hAnsi="Times New Roman" w:eastAsia="宋体" w:cs="Times New Roman"/>
                      <w:color w:val="auto"/>
                      <w:szCs w:val="21"/>
                      <w:lang w:val="en-US" w:eastAsia="zh-CN" w:bidi="ar"/>
                    </w:rPr>
                    <w:t>5</w:t>
                  </w:r>
                  <w:r>
                    <w:rPr>
                      <w:rFonts w:hint="eastAsia" w:cs="Times New Roman"/>
                      <w:color w:val="auto"/>
                      <w:szCs w:val="21"/>
                      <w:lang w:val="en-US" w:eastAsia="zh-CN" w:bidi="ar"/>
                    </w:rPr>
                    <w:t>00</w:t>
                  </w:r>
                </w:p>
              </w:tc>
              <w:tc>
                <w:tcPr>
                  <w:tcW w:w="84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default" w:ascii="Times New Roman" w:hAnsi="Times New Roman" w:eastAsia="宋体" w:cs="Times New Roman"/>
                      <w:color w:val="auto"/>
                      <w:szCs w:val="21"/>
                      <w:lang w:val="en-US" w:eastAsia="zh-CN" w:bidi="ar"/>
                    </w:rPr>
                    <w:t xml:space="preserve">900-099-S59 </w:t>
                  </w:r>
                </w:p>
              </w:tc>
              <w:tc>
                <w:tcPr>
                  <w:tcW w:w="194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即产即清，</w:t>
                  </w:r>
                  <w:r>
                    <w:rPr>
                      <w:rFonts w:hint="default" w:ascii="Times New Roman" w:hAnsi="Times New Roman" w:eastAsia="宋体" w:cs="Times New Roman"/>
                      <w:color w:val="auto"/>
                      <w:szCs w:val="21"/>
                      <w:lang w:val="en-US" w:eastAsia="zh-CN" w:bidi="ar"/>
                    </w:rPr>
                    <w:t>集中收集，</w:t>
                  </w:r>
                  <w:r>
                    <w:rPr>
                      <w:rFonts w:hint="eastAsia" w:ascii="Times New Roman" w:hAnsi="Times New Roman" w:eastAsia="宋体" w:cs="Times New Roman"/>
                      <w:color w:val="auto"/>
                      <w:szCs w:val="21"/>
                      <w:lang w:val="en-US" w:eastAsia="zh-CN" w:bidi="ar"/>
                    </w:rPr>
                    <w:t>回用于生产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35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4</w:t>
                  </w:r>
                </w:p>
              </w:tc>
              <w:tc>
                <w:tcPr>
                  <w:tcW w:w="66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bidi="ar"/>
                    </w:rPr>
                  </w:pPr>
                  <w:r>
                    <w:rPr>
                      <w:rFonts w:hint="default" w:ascii="Times New Roman" w:hAnsi="Times New Roman" w:eastAsia="宋体" w:cs="Times New Roman"/>
                      <w:color w:val="auto"/>
                      <w:szCs w:val="21"/>
                      <w:lang w:val="en-US" w:eastAsia="zh-CN" w:bidi="ar"/>
                    </w:rPr>
                    <w:t>废除臭剂桶</w:t>
                  </w:r>
                </w:p>
              </w:tc>
              <w:tc>
                <w:tcPr>
                  <w:tcW w:w="6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bidi="ar"/>
                    </w:rPr>
                  </w:pPr>
                  <w:r>
                    <w:rPr>
                      <w:rFonts w:hint="default" w:ascii="Times New Roman" w:hAnsi="Times New Roman" w:eastAsia="宋体" w:cs="Times New Roman"/>
                      <w:color w:val="auto"/>
                      <w:szCs w:val="21"/>
                      <w:lang w:eastAsia="zh-CN" w:bidi="ar"/>
                    </w:rPr>
                    <w:t>生产过程</w:t>
                  </w:r>
                </w:p>
              </w:tc>
              <w:tc>
                <w:tcPr>
                  <w:tcW w:w="52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default" w:ascii="Times New Roman" w:hAnsi="Times New Roman" w:eastAsia="宋体" w:cs="Times New Roman"/>
                      <w:color w:val="auto"/>
                      <w:szCs w:val="21"/>
                      <w:lang w:val="en-US" w:eastAsia="zh-CN" w:bidi="ar"/>
                    </w:rPr>
                    <w:t>0.1</w:t>
                  </w:r>
                </w:p>
              </w:tc>
              <w:tc>
                <w:tcPr>
                  <w:tcW w:w="84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bidi="ar"/>
                    </w:rPr>
                  </w:pPr>
                  <w:r>
                    <w:rPr>
                      <w:rFonts w:hint="default" w:ascii="Times New Roman" w:hAnsi="Times New Roman" w:eastAsia="宋体" w:cs="Times New Roman"/>
                      <w:color w:val="auto"/>
                      <w:szCs w:val="21"/>
                      <w:lang w:val="en-US" w:eastAsia="zh-CN" w:bidi="ar"/>
                    </w:rPr>
                    <w:t>900</w:t>
                  </w:r>
                  <w:r>
                    <w:rPr>
                      <w:rFonts w:hint="default" w:ascii="Times New Roman" w:hAnsi="Times New Roman" w:eastAsia="宋体" w:cs="Times New Roman"/>
                      <w:color w:val="auto"/>
                      <w:szCs w:val="21"/>
                      <w:lang w:bidi="ar"/>
                    </w:rPr>
                    <w:t>-</w:t>
                  </w:r>
                  <w:r>
                    <w:rPr>
                      <w:rFonts w:hint="default" w:ascii="Times New Roman" w:hAnsi="Times New Roman" w:eastAsia="宋体" w:cs="Times New Roman"/>
                      <w:color w:val="auto"/>
                      <w:szCs w:val="21"/>
                      <w:lang w:val="en-US" w:eastAsia="zh-CN" w:bidi="ar"/>
                    </w:rPr>
                    <w:t>099</w:t>
                  </w:r>
                  <w:r>
                    <w:rPr>
                      <w:rFonts w:hint="default" w:ascii="Times New Roman" w:hAnsi="Times New Roman" w:eastAsia="宋体" w:cs="Times New Roman"/>
                      <w:color w:val="auto"/>
                      <w:szCs w:val="21"/>
                      <w:lang w:bidi="ar"/>
                    </w:rPr>
                    <w:t>-</w:t>
                  </w:r>
                  <w:r>
                    <w:rPr>
                      <w:rFonts w:hint="default" w:ascii="Times New Roman" w:hAnsi="Times New Roman" w:eastAsia="宋体" w:cs="Times New Roman"/>
                      <w:color w:val="auto"/>
                      <w:szCs w:val="21"/>
                      <w:lang w:val="en-US" w:eastAsia="zh-CN" w:bidi="ar"/>
                    </w:rPr>
                    <w:t>S59</w:t>
                  </w:r>
                </w:p>
              </w:tc>
              <w:tc>
                <w:tcPr>
                  <w:tcW w:w="194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bidi="ar"/>
                    </w:rPr>
                  </w:pPr>
                  <w:r>
                    <w:rPr>
                      <w:rFonts w:hint="eastAsia" w:ascii="Times New Roman" w:hAnsi="Times New Roman" w:eastAsia="宋体" w:cs="Times New Roman"/>
                      <w:color w:val="auto"/>
                      <w:szCs w:val="21"/>
                      <w:lang w:val="en-US" w:eastAsia="zh-CN" w:bidi="ar"/>
                    </w:rPr>
                    <w:t>即产即清，</w:t>
                  </w:r>
                  <w:r>
                    <w:rPr>
                      <w:rFonts w:hint="default" w:ascii="Times New Roman" w:hAnsi="Times New Roman" w:eastAsia="宋体" w:cs="Times New Roman"/>
                      <w:color w:val="auto"/>
                      <w:szCs w:val="21"/>
                      <w:lang w:val="en-US" w:eastAsia="zh-CN" w:bidi="ar"/>
                    </w:rPr>
                    <w:t>集中收集，外售废品站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352"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5</w:t>
                  </w:r>
                </w:p>
              </w:tc>
              <w:tc>
                <w:tcPr>
                  <w:tcW w:w="66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生活垃圾</w:t>
                  </w:r>
                </w:p>
              </w:tc>
              <w:tc>
                <w:tcPr>
                  <w:tcW w:w="6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eastAsia="zh-CN" w:bidi="ar"/>
                    </w:rPr>
                  </w:pPr>
                  <w:r>
                    <w:rPr>
                      <w:rFonts w:hint="eastAsia" w:cs="Times New Roman"/>
                      <w:color w:val="auto"/>
                      <w:szCs w:val="21"/>
                      <w:lang w:eastAsia="zh-CN" w:bidi="ar"/>
                    </w:rPr>
                    <w:t>职工生活</w:t>
                  </w:r>
                </w:p>
              </w:tc>
              <w:tc>
                <w:tcPr>
                  <w:tcW w:w="522"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3</w:t>
                  </w:r>
                </w:p>
              </w:tc>
              <w:tc>
                <w:tcPr>
                  <w:tcW w:w="84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w:t>
                  </w:r>
                </w:p>
              </w:tc>
              <w:tc>
                <w:tcPr>
                  <w:tcW w:w="194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即产即清，集中收集交环卫部门统一处理</w:t>
                  </w:r>
                </w:p>
              </w:tc>
            </w:tr>
          </w:tbl>
          <w:p>
            <w:pPr>
              <w:spacing w:line="480" w:lineRule="exact"/>
              <w:ind w:firstLine="480" w:firstLineChars="200"/>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val="en-US" w:eastAsia="zh-CN"/>
              </w:rPr>
              <w:t>（2）</w:t>
            </w:r>
            <w:r>
              <w:rPr>
                <w:rFonts w:hint="default" w:ascii="Times New Roman" w:hAnsi="Times New Roman" w:eastAsia="宋体" w:cs="Times New Roman"/>
                <w:b w:val="0"/>
                <w:bCs w:val="0"/>
                <w:color w:val="auto"/>
                <w:sz w:val="24"/>
                <w:highlight w:val="none"/>
                <w:lang w:eastAsia="zh-CN"/>
              </w:rPr>
              <w:t>一般固体废物管理措施</w:t>
            </w:r>
          </w:p>
          <w:p>
            <w:pPr>
              <w:spacing w:line="480" w:lineRule="exact"/>
              <w:ind w:firstLine="480" w:firstLineChars="200"/>
              <w:rPr>
                <w:rFonts w:hint="default" w:ascii="Times New Roman" w:hAnsi="Times New Roman" w:eastAsia="宋体" w:cs="Times New Roman"/>
                <w:b w:val="0"/>
                <w:bCs w:val="0"/>
                <w:color w:val="auto"/>
                <w:sz w:val="24"/>
                <w:highlight w:val="none"/>
                <w:lang w:eastAsia="zh-CN"/>
              </w:rPr>
            </w:pPr>
            <w:r>
              <w:rPr>
                <w:rFonts w:hint="eastAsia" w:ascii="Times New Roman" w:hAnsi="Times New Roman" w:eastAsia="宋体" w:cs="Times New Roman"/>
                <w:b w:val="0"/>
                <w:bCs w:val="0"/>
                <w:color w:val="auto"/>
                <w:sz w:val="24"/>
                <w:highlight w:val="none"/>
                <w:lang w:eastAsia="zh-CN"/>
              </w:rPr>
              <w:t>本项目</w:t>
            </w:r>
            <w:r>
              <w:rPr>
                <w:rFonts w:hint="default" w:ascii="Times New Roman" w:hAnsi="Times New Roman" w:eastAsia="宋体" w:cs="Times New Roman"/>
                <w:b w:val="0"/>
                <w:bCs w:val="0"/>
                <w:color w:val="auto"/>
                <w:sz w:val="24"/>
                <w:highlight w:val="none"/>
                <w:lang w:eastAsia="zh-CN"/>
              </w:rPr>
              <w:t>设置一般固废</w:t>
            </w:r>
            <w:r>
              <w:rPr>
                <w:rFonts w:hint="eastAsia" w:ascii="Times New Roman" w:hAnsi="Times New Roman" w:eastAsia="宋体" w:cs="Times New Roman"/>
                <w:b w:val="0"/>
                <w:bCs w:val="0"/>
                <w:color w:val="auto"/>
                <w:sz w:val="24"/>
                <w:highlight w:val="none"/>
                <w:lang w:eastAsia="zh-CN"/>
              </w:rPr>
              <w:t>暂存</w:t>
            </w:r>
            <w:r>
              <w:rPr>
                <w:rFonts w:hint="default" w:ascii="Times New Roman" w:hAnsi="Times New Roman" w:eastAsia="宋体" w:cs="Times New Roman"/>
                <w:b w:val="0"/>
                <w:bCs w:val="0"/>
                <w:color w:val="auto"/>
                <w:sz w:val="24"/>
                <w:highlight w:val="none"/>
                <w:lang w:eastAsia="zh-CN"/>
              </w:rPr>
              <w:t>间，占地面积</w:t>
            </w:r>
            <w:r>
              <w:rPr>
                <w:rFonts w:hint="eastAsia" w:ascii="Times New Roman" w:hAnsi="Times New Roman" w:eastAsia="宋体" w:cs="Times New Roman"/>
                <w:b w:val="0"/>
                <w:bCs w:val="0"/>
                <w:color w:val="auto"/>
                <w:sz w:val="24"/>
                <w:highlight w:val="none"/>
                <w:lang w:val="en-US" w:eastAsia="zh-CN"/>
              </w:rPr>
              <w:t>20</w:t>
            </w:r>
            <w:r>
              <w:rPr>
                <w:rFonts w:hint="default" w:ascii="Times New Roman" w:hAnsi="Times New Roman" w:eastAsia="宋体" w:cs="Times New Roman"/>
                <w:b w:val="0"/>
                <w:bCs w:val="0"/>
                <w:color w:val="auto"/>
                <w:sz w:val="24"/>
                <w:highlight w:val="none"/>
                <w:lang w:eastAsia="zh-CN"/>
              </w:rPr>
              <w:t>m</w:t>
            </w:r>
            <w:r>
              <w:rPr>
                <w:rFonts w:hint="default" w:ascii="Times New Roman" w:hAnsi="Times New Roman" w:eastAsia="宋体" w:cs="Times New Roman"/>
                <w:b w:val="0"/>
                <w:bCs w:val="0"/>
                <w:color w:val="auto"/>
                <w:sz w:val="24"/>
                <w:highlight w:val="none"/>
                <w:vertAlign w:val="superscript"/>
                <w:lang w:eastAsia="zh-CN"/>
              </w:rPr>
              <w:t>2</w:t>
            </w:r>
            <w:r>
              <w:rPr>
                <w:rFonts w:hint="default" w:ascii="Times New Roman" w:hAnsi="Times New Roman" w:eastAsia="宋体" w:cs="Times New Roman"/>
                <w:b w:val="0"/>
                <w:bCs w:val="0"/>
                <w:color w:val="auto"/>
                <w:sz w:val="24"/>
                <w:highlight w:val="none"/>
                <w:lang w:eastAsia="zh-CN"/>
              </w:rPr>
              <w:t>，地面全面使用抗渗混凝土硬化，渗透系数≤10</w:t>
            </w:r>
            <w:r>
              <w:rPr>
                <w:rFonts w:hint="default" w:ascii="Times New Roman" w:hAnsi="Times New Roman" w:eastAsia="宋体" w:cs="Times New Roman"/>
                <w:b w:val="0"/>
                <w:bCs w:val="0"/>
                <w:color w:val="auto"/>
                <w:sz w:val="24"/>
                <w:highlight w:val="none"/>
                <w:vertAlign w:val="superscript"/>
                <w:lang w:eastAsia="zh-CN"/>
              </w:rPr>
              <w:t>-7</w:t>
            </w:r>
            <w:r>
              <w:rPr>
                <w:rFonts w:hint="default" w:ascii="Times New Roman" w:hAnsi="Times New Roman" w:eastAsia="宋体" w:cs="Times New Roman"/>
                <w:b w:val="0"/>
                <w:bCs w:val="0"/>
                <w:color w:val="auto"/>
                <w:sz w:val="24"/>
                <w:highlight w:val="none"/>
                <w:lang w:eastAsia="zh-CN"/>
              </w:rPr>
              <w:t>cm/s。</w:t>
            </w:r>
          </w:p>
          <w:p>
            <w:pPr>
              <w:spacing w:line="480" w:lineRule="exact"/>
              <w:ind w:firstLine="480" w:firstLineChars="200"/>
              <w:rPr>
                <w:rFonts w:hint="default" w:ascii="Times New Roman" w:hAnsi="Times New Roman" w:eastAsia="宋体" w:cs="Times New Roman"/>
                <w:b w:val="0"/>
                <w:bCs w:val="0"/>
                <w:color w:val="auto"/>
                <w:sz w:val="24"/>
                <w:highlight w:val="none"/>
                <w:lang w:val="zh-CN" w:eastAsia="zh-CN"/>
              </w:rPr>
            </w:pPr>
            <w:r>
              <w:rPr>
                <w:rFonts w:hint="default" w:ascii="Times New Roman" w:hAnsi="Times New Roman" w:eastAsia="宋体" w:cs="Times New Roman"/>
                <w:b w:val="0"/>
                <w:bCs w:val="0"/>
                <w:color w:val="auto"/>
                <w:sz w:val="24"/>
                <w:highlight w:val="none"/>
                <w:lang w:eastAsia="zh-CN"/>
              </w:rPr>
              <w:t>a</w:t>
            </w:r>
            <w:r>
              <w:rPr>
                <w:rFonts w:hint="default" w:ascii="Times New Roman" w:hAnsi="Times New Roman" w:eastAsia="宋体" w:cs="Times New Roman"/>
                <w:b w:val="0"/>
                <w:bCs w:val="0"/>
                <w:color w:val="auto"/>
                <w:sz w:val="24"/>
                <w:highlight w:val="none"/>
                <w:lang w:val="zh-CN" w:eastAsia="zh-CN"/>
              </w:rPr>
              <w:t>按照《一般工业固体废物管理台账制定指南（试行）》的公告2021年第82号要求建立一般工业固体废物管理台账。具体管理要求如下：台账应记录固体废物的基础信息及流向信息；台账应记录固体废物在产废单位内部的贮存、利用、处置等信息。台账记录表各表单的负责人对记录信息的真实性、完整性和规范性负责；台账记录表各表单的负责人对记录信息的真实性、完整性和规范性；负责台账记录表各表单的负责人对记录信息的真实性、完整性和规范性负责。</w:t>
            </w:r>
          </w:p>
          <w:p>
            <w:pPr>
              <w:spacing w:line="480" w:lineRule="exact"/>
              <w:ind w:firstLine="480" w:firstLineChars="200"/>
              <w:rPr>
                <w:rFonts w:hint="default" w:ascii="Times New Roman" w:hAnsi="Times New Roman" w:eastAsia="宋体" w:cs="Times New Roman"/>
                <w:b w:val="0"/>
                <w:bCs w:val="0"/>
                <w:color w:val="auto"/>
                <w:sz w:val="24"/>
                <w:highlight w:val="none"/>
                <w:lang w:val="zh-CN" w:eastAsia="zh-CN"/>
              </w:rPr>
            </w:pPr>
            <w:r>
              <w:rPr>
                <w:rFonts w:hint="default" w:ascii="Times New Roman" w:hAnsi="Times New Roman" w:eastAsia="宋体" w:cs="Times New Roman"/>
                <w:b w:val="0"/>
                <w:bCs w:val="0"/>
                <w:color w:val="auto"/>
                <w:sz w:val="24"/>
                <w:highlight w:val="none"/>
                <w:lang w:eastAsia="zh-CN"/>
              </w:rPr>
              <w:t>b</w:t>
            </w:r>
            <w:r>
              <w:rPr>
                <w:rFonts w:hint="default" w:ascii="Times New Roman" w:hAnsi="Times New Roman" w:eastAsia="宋体" w:cs="Times New Roman"/>
                <w:b w:val="0"/>
                <w:bCs w:val="0"/>
                <w:color w:val="auto"/>
                <w:sz w:val="24"/>
                <w:highlight w:val="none"/>
                <w:lang w:val="zh-CN" w:eastAsia="zh-CN"/>
              </w:rPr>
              <w:t>一般固体废物贮存场所应按《环境保护图形标志－排污口(源)》（GBl5562.</w:t>
            </w:r>
            <w:r>
              <w:rPr>
                <w:rFonts w:hint="default" w:ascii="Times New Roman" w:hAnsi="Times New Roman" w:eastAsia="宋体" w:cs="Times New Roman"/>
                <w:b w:val="0"/>
                <w:bCs w:val="0"/>
                <w:color w:val="auto"/>
                <w:sz w:val="24"/>
                <w:highlight w:val="none"/>
                <w:lang w:eastAsia="zh-CN"/>
              </w:rPr>
              <w:t>2-</w:t>
            </w:r>
            <w:r>
              <w:rPr>
                <w:rFonts w:hint="default" w:ascii="Times New Roman" w:hAnsi="Times New Roman" w:eastAsia="宋体" w:cs="Times New Roman"/>
                <w:b w:val="0"/>
                <w:bCs w:val="0"/>
                <w:color w:val="auto"/>
                <w:sz w:val="24"/>
                <w:highlight w:val="none"/>
                <w:lang w:val="zh-CN" w:eastAsia="zh-CN"/>
              </w:rPr>
              <w:t>1995）规定，设置统一制作的环境保护图形标志牌，</w:t>
            </w:r>
          </w:p>
          <w:p>
            <w:pPr>
              <w:spacing w:line="480" w:lineRule="exact"/>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eastAsia="zh-CN"/>
              </w:rPr>
              <w:t>（</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危险</w:t>
            </w:r>
            <w:r>
              <w:rPr>
                <w:rFonts w:hint="default" w:ascii="Times New Roman" w:hAnsi="Times New Roman" w:eastAsia="宋体" w:cs="Times New Roman"/>
                <w:b/>
                <w:bCs/>
                <w:snapToGrid w:val="0"/>
                <w:color w:val="auto"/>
                <w:kern w:val="0"/>
                <w:sz w:val="24"/>
                <w:highlight w:val="none"/>
                <w:lang w:val="en-US" w:eastAsia="zh-CN" w:bidi="ar"/>
              </w:rPr>
              <w:t>固体废物污染源及治理措施</w:t>
            </w:r>
          </w:p>
          <w:p>
            <w:pPr>
              <w:spacing w:line="48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本项目危险废物主要为设备维护保养过程产生的废润滑油、废油桶</w:t>
            </w:r>
            <w:r>
              <w:rPr>
                <w:rFonts w:hint="eastAsia" w:cs="Times New Roman"/>
                <w:color w:val="auto"/>
                <w:sz w:val="24"/>
                <w:highlight w:val="none"/>
                <w:lang w:val="en-US" w:eastAsia="zh-CN"/>
              </w:rPr>
              <w:t>及湿式静电除尘设施产生的废油</w:t>
            </w:r>
            <w:r>
              <w:rPr>
                <w:rFonts w:hint="default" w:ascii="Times New Roman" w:hAnsi="Times New Roman" w:cs="Times New Roman"/>
                <w:color w:val="auto"/>
                <w:sz w:val="24"/>
                <w:highlight w:val="none"/>
                <w:lang w:val="en-US" w:eastAsia="zh-CN"/>
              </w:rPr>
              <w:t>。根据《国家危险废物名录（2021年版）》中的规定，本项目危险废物类别、代码、产生量及收集、处置方式见下表。</w:t>
            </w:r>
          </w:p>
          <w:p>
            <w:pPr>
              <w:spacing w:line="240" w:lineRule="auto"/>
              <w:jc w:val="center"/>
              <w:rPr>
                <w:rFonts w:hint="default" w:ascii="Times New Roman" w:hAnsi="Times New Roman" w:eastAsia="宋体" w:cs="Times New Roman"/>
                <w:b/>
                <w:bCs/>
                <w:color w:val="auto"/>
                <w:kern w:val="2"/>
                <w:sz w:val="24"/>
                <w:szCs w:val="24"/>
                <w:highlight w:val="none"/>
                <w:lang w:val="zh-CN" w:eastAsia="zh-CN" w:bidi="ar-SA"/>
              </w:rPr>
            </w:pPr>
            <w:r>
              <w:rPr>
                <w:rFonts w:hint="default" w:ascii="Times New Roman" w:hAnsi="Times New Roman" w:cs="Times New Roman"/>
                <w:b/>
                <w:bCs/>
                <w:color w:val="auto"/>
                <w:sz w:val="24"/>
                <w:highlight w:val="none"/>
                <w:lang w:val="zh-CN" w:eastAsia="zh-CN"/>
              </w:rPr>
              <w:t>表</w:t>
            </w:r>
            <w:r>
              <w:rPr>
                <w:rFonts w:hint="eastAsia" w:cs="Times New Roman"/>
                <w:b/>
                <w:bCs/>
                <w:color w:val="auto"/>
                <w:sz w:val="24"/>
                <w:highlight w:val="none"/>
                <w:lang w:val="en-US" w:eastAsia="zh-CN"/>
              </w:rPr>
              <w:t>33</w:t>
            </w:r>
            <w:r>
              <w:rPr>
                <w:rFonts w:hint="default" w:ascii="Times New Roman" w:hAnsi="Times New Roman" w:cs="Times New Roman"/>
                <w:b/>
                <w:bCs/>
                <w:color w:val="auto"/>
                <w:sz w:val="24"/>
                <w:highlight w:val="none"/>
                <w:lang w:val="en-US" w:eastAsia="zh-CN"/>
              </w:rPr>
              <w:t xml:space="preserve">    危险废物</w:t>
            </w:r>
            <w:r>
              <w:rPr>
                <w:rFonts w:hint="default" w:ascii="Times New Roman" w:hAnsi="Times New Roman" w:cs="Times New Roman"/>
                <w:b/>
                <w:bCs/>
                <w:color w:val="auto"/>
                <w:sz w:val="24"/>
                <w:highlight w:val="none"/>
                <w:lang w:val="zh-CN" w:eastAsia="zh-CN"/>
              </w:rPr>
              <w:t>污染源及治理措</w:t>
            </w:r>
            <w:r>
              <w:rPr>
                <w:rFonts w:hint="default" w:ascii="Times New Roman" w:hAnsi="Times New Roman" w:eastAsia="宋体" w:cs="Times New Roman"/>
                <w:b/>
                <w:bCs/>
                <w:color w:val="auto"/>
                <w:kern w:val="2"/>
                <w:sz w:val="24"/>
                <w:szCs w:val="24"/>
                <w:highlight w:val="none"/>
                <w:lang w:val="zh-CN" w:eastAsia="zh-CN" w:bidi="ar-SA"/>
              </w:rPr>
              <w:t>施一览表</w:t>
            </w:r>
          </w:p>
          <w:tbl>
            <w:tblPr>
              <w:tblStyle w:val="20"/>
              <w:tblW w:w="8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51"/>
              <w:gridCol w:w="818"/>
              <w:gridCol w:w="886"/>
              <w:gridCol w:w="994"/>
              <w:gridCol w:w="646"/>
              <w:gridCol w:w="854"/>
              <w:gridCol w:w="873"/>
              <w:gridCol w:w="1830"/>
              <w:gridCol w:w="7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90" w:hRule="atLeast"/>
                <w:jc w:val="center"/>
              </w:trPr>
              <w:tc>
                <w:tcPr>
                  <w:tcW w:w="651"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序号</w:t>
                  </w:r>
                </w:p>
              </w:tc>
              <w:tc>
                <w:tcPr>
                  <w:tcW w:w="818"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危险废物名称</w:t>
                  </w:r>
                </w:p>
              </w:tc>
              <w:tc>
                <w:tcPr>
                  <w:tcW w:w="88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危险废物类别</w:t>
                  </w:r>
                </w:p>
              </w:tc>
              <w:tc>
                <w:tcPr>
                  <w:tcW w:w="994"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危险废物代码</w:t>
                  </w:r>
                </w:p>
              </w:tc>
              <w:tc>
                <w:tcPr>
                  <w:tcW w:w="64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本项目产生量</w:t>
                  </w:r>
                </w:p>
              </w:tc>
              <w:tc>
                <w:tcPr>
                  <w:tcW w:w="854"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产生工序或装置</w:t>
                  </w:r>
                </w:p>
              </w:tc>
              <w:tc>
                <w:tcPr>
                  <w:tcW w:w="873"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形态</w:t>
                  </w:r>
                </w:p>
              </w:tc>
              <w:tc>
                <w:tcPr>
                  <w:tcW w:w="1830"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处置措施</w:t>
                  </w:r>
                </w:p>
              </w:tc>
              <w:tc>
                <w:tcPr>
                  <w:tcW w:w="759"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储存周期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4" w:hRule="atLeast"/>
                <w:jc w:val="center"/>
              </w:trPr>
              <w:tc>
                <w:tcPr>
                  <w:tcW w:w="651"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w:t>
                  </w:r>
                </w:p>
              </w:tc>
              <w:tc>
                <w:tcPr>
                  <w:tcW w:w="818"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废润滑油</w:t>
                  </w:r>
                </w:p>
              </w:tc>
              <w:tc>
                <w:tcPr>
                  <w:tcW w:w="88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HW08</w:t>
                  </w:r>
                </w:p>
              </w:tc>
              <w:tc>
                <w:tcPr>
                  <w:tcW w:w="994"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900-214-08</w:t>
                  </w:r>
                </w:p>
              </w:tc>
              <w:tc>
                <w:tcPr>
                  <w:tcW w:w="646" w:type="dxa"/>
                  <w:tcBorders>
                    <w:tl2br w:val="nil"/>
                    <w:tr2bl w:val="nil"/>
                  </w:tcBorders>
                  <w:noWrap w:val="0"/>
                  <w:vAlign w:val="center"/>
                </w:tcPr>
                <w:p>
                  <w:pPr>
                    <w:tabs>
                      <w:tab w:val="left" w:pos="360"/>
                    </w:tabs>
                    <w:adjustRightInd w:val="0"/>
                    <w:snapToGrid w:val="0"/>
                    <w:jc w:val="center"/>
                    <w:rPr>
                      <w:rFonts w:hint="default" w:ascii="Times New Roman" w:hAnsi="Times New Roman" w:eastAsia="宋体" w:cs="Times New Roman"/>
                      <w:snapToGrid w:val="0"/>
                      <w:color w:val="auto"/>
                      <w:kern w:val="0"/>
                      <w:szCs w:val="21"/>
                      <w:lang w:val="en-US" w:eastAsia="zh-CN"/>
                    </w:rPr>
                  </w:pPr>
                  <w:r>
                    <w:rPr>
                      <w:rFonts w:hint="default" w:ascii="Times New Roman" w:hAnsi="Times New Roman" w:cs="Times New Roman"/>
                      <w:snapToGrid w:val="0"/>
                      <w:color w:val="auto"/>
                      <w:kern w:val="0"/>
                      <w:szCs w:val="21"/>
                    </w:rPr>
                    <w:t>0.</w:t>
                  </w:r>
                  <w:r>
                    <w:rPr>
                      <w:rFonts w:hint="default" w:ascii="Times New Roman" w:hAnsi="Times New Roman" w:cs="Times New Roman"/>
                      <w:snapToGrid w:val="0"/>
                      <w:color w:val="auto"/>
                      <w:kern w:val="0"/>
                      <w:szCs w:val="21"/>
                      <w:lang w:val="en-US" w:eastAsia="zh-CN"/>
                    </w:rPr>
                    <w:t>05</w:t>
                  </w:r>
                </w:p>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t/a</w:t>
                  </w:r>
                </w:p>
              </w:tc>
              <w:tc>
                <w:tcPr>
                  <w:tcW w:w="854" w:type="dxa"/>
                  <w:vMerge w:val="restart"/>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生产过程</w:t>
                  </w:r>
                </w:p>
              </w:tc>
              <w:tc>
                <w:tcPr>
                  <w:tcW w:w="873"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zh-CN"/>
                    </w:rPr>
                  </w:pPr>
                  <w:r>
                    <w:rPr>
                      <w:rFonts w:hint="default" w:ascii="Times New Roman" w:hAnsi="Times New Roman" w:cs="Times New Roman"/>
                      <w:snapToGrid w:val="0"/>
                      <w:color w:val="auto"/>
                      <w:kern w:val="0"/>
                      <w:szCs w:val="21"/>
                      <w:lang w:val="zh-CN"/>
                    </w:rPr>
                    <w:t>液态</w:t>
                  </w:r>
                </w:p>
              </w:tc>
              <w:tc>
                <w:tcPr>
                  <w:tcW w:w="1830" w:type="dxa"/>
                  <w:vMerge w:val="restart"/>
                  <w:tcBorders>
                    <w:tl2br w:val="nil"/>
                    <w:tr2bl w:val="nil"/>
                  </w:tcBorders>
                  <w:noWrap w:val="0"/>
                  <w:vAlign w:val="center"/>
                </w:tcPr>
                <w:p>
                  <w:pPr>
                    <w:tabs>
                      <w:tab w:val="left" w:pos="360"/>
                    </w:tabs>
                    <w:adjustRightInd w:val="0"/>
                    <w:snapToGrid w:val="0"/>
                    <w:jc w:val="center"/>
                    <w:rPr>
                      <w:rFonts w:hint="default" w:ascii="Times New Roman" w:hAnsi="Times New Roman" w:eastAsia="宋体" w:cs="Times New Roman"/>
                      <w:snapToGrid w:val="0"/>
                      <w:color w:val="auto"/>
                      <w:kern w:val="0"/>
                      <w:sz w:val="21"/>
                      <w:szCs w:val="21"/>
                      <w:lang w:val="zh-CN" w:eastAsia="zh-CN" w:bidi="ar-SA"/>
                    </w:rPr>
                  </w:pPr>
                  <w:r>
                    <w:rPr>
                      <w:rFonts w:hint="eastAsia" w:cs="Times New Roman"/>
                      <w:color w:val="auto"/>
                      <w:szCs w:val="21"/>
                      <w:lang w:eastAsia="zh-CN"/>
                    </w:rPr>
                    <w:t>即产即清，</w:t>
                  </w:r>
                  <w:r>
                    <w:rPr>
                      <w:rFonts w:hint="default" w:ascii="Times New Roman" w:hAnsi="Times New Roman" w:cs="Times New Roman"/>
                      <w:color w:val="auto"/>
                      <w:szCs w:val="21"/>
                    </w:rPr>
                    <w:t>集中收集，用耐腐蚀的容器收集后加盖封存，交有资质单位处置</w:t>
                  </w:r>
                </w:p>
              </w:tc>
              <w:tc>
                <w:tcPr>
                  <w:tcW w:w="759" w:type="dxa"/>
                  <w:vMerge w:val="restart"/>
                  <w:tcBorders>
                    <w:tl2br w:val="nil"/>
                    <w:tr2bl w:val="nil"/>
                  </w:tcBorders>
                  <w:noWrap w:val="0"/>
                  <w:vAlign w:val="center"/>
                </w:tcPr>
                <w:p>
                  <w:pPr>
                    <w:tabs>
                      <w:tab w:val="left" w:pos="360"/>
                    </w:tabs>
                    <w:adjustRightInd w:val="0"/>
                    <w:snapToGrid w:val="0"/>
                    <w:jc w:val="center"/>
                    <w:rPr>
                      <w:rFonts w:hint="default" w:ascii="Times New Roman" w:hAnsi="Times New Roman" w:eastAsia="宋体" w:cs="Times New Roman"/>
                      <w:snapToGrid w:val="0"/>
                      <w:color w:val="auto"/>
                      <w:kern w:val="0"/>
                      <w:szCs w:val="21"/>
                      <w:lang w:eastAsia="zh-CN"/>
                    </w:rPr>
                  </w:pPr>
                  <w:r>
                    <w:rPr>
                      <w:rFonts w:hint="eastAsia" w:cs="Times New Roman"/>
                      <w:color w:val="auto"/>
                      <w:szCs w:val="21"/>
                      <w:lang w:eastAsia="zh-CN"/>
                    </w:rPr>
                    <w:t>即产即清，不在厂区储存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4" w:hRule="atLeast"/>
                <w:jc w:val="center"/>
              </w:trPr>
              <w:tc>
                <w:tcPr>
                  <w:tcW w:w="651"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w:t>
                  </w:r>
                </w:p>
              </w:tc>
              <w:tc>
                <w:tcPr>
                  <w:tcW w:w="818"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废油桶</w:t>
                  </w:r>
                </w:p>
              </w:tc>
              <w:tc>
                <w:tcPr>
                  <w:tcW w:w="88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HW</w:t>
                  </w:r>
                  <w:r>
                    <w:rPr>
                      <w:rFonts w:hint="default" w:ascii="Times New Roman" w:hAnsi="Times New Roman" w:cs="Times New Roman"/>
                      <w:snapToGrid w:val="0"/>
                      <w:color w:val="auto"/>
                      <w:kern w:val="0"/>
                      <w:szCs w:val="21"/>
                      <w:lang w:val="en-US" w:eastAsia="zh-CN"/>
                    </w:rPr>
                    <w:t>08</w:t>
                  </w:r>
                </w:p>
              </w:tc>
              <w:tc>
                <w:tcPr>
                  <w:tcW w:w="994"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900-</w:t>
                  </w:r>
                  <w:r>
                    <w:rPr>
                      <w:rFonts w:hint="default" w:ascii="Times New Roman" w:hAnsi="Times New Roman" w:cs="Times New Roman"/>
                      <w:snapToGrid w:val="0"/>
                      <w:color w:val="auto"/>
                      <w:kern w:val="0"/>
                      <w:szCs w:val="21"/>
                      <w:lang w:val="en-US" w:eastAsia="zh-CN"/>
                    </w:rPr>
                    <w:t>249</w:t>
                  </w:r>
                  <w:r>
                    <w:rPr>
                      <w:rFonts w:hint="default" w:ascii="Times New Roman" w:hAnsi="Times New Roman" w:cs="Times New Roman"/>
                      <w:snapToGrid w:val="0"/>
                      <w:color w:val="auto"/>
                      <w:kern w:val="0"/>
                      <w:szCs w:val="21"/>
                    </w:rPr>
                    <w:t>-</w:t>
                  </w:r>
                  <w:r>
                    <w:rPr>
                      <w:rFonts w:hint="default" w:ascii="Times New Roman" w:hAnsi="Times New Roman" w:cs="Times New Roman"/>
                      <w:snapToGrid w:val="0"/>
                      <w:color w:val="auto"/>
                      <w:kern w:val="0"/>
                      <w:szCs w:val="21"/>
                      <w:lang w:val="en-US" w:eastAsia="zh-CN"/>
                    </w:rPr>
                    <w:t>08</w:t>
                  </w:r>
                </w:p>
              </w:tc>
              <w:tc>
                <w:tcPr>
                  <w:tcW w:w="64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lang w:val="en-US" w:eastAsia="zh-CN"/>
                    </w:rPr>
                    <w:t>2</w:t>
                  </w:r>
                  <w:r>
                    <w:rPr>
                      <w:rFonts w:hint="default" w:ascii="Times New Roman" w:hAnsi="Times New Roman" w:cs="Times New Roman"/>
                      <w:snapToGrid w:val="0"/>
                      <w:color w:val="auto"/>
                      <w:kern w:val="0"/>
                      <w:szCs w:val="21"/>
                    </w:rPr>
                    <w:t>个/a</w:t>
                  </w:r>
                </w:p>
              </w:tc>
              <w:tc>
                <w:tcPr>
                  <w:tcW w:w="854" w:type="dxa"/>
                  <w:vMerge w:val="continue"/>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p>
              </w:tc>
              <w:tc>
                <w:tcPr>
                  <w:tcW w:w="873"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zh-CN"/>
                    </w:rPr>
                  </w:pPr>
                  <w:r>
                    <w:rPr>
                      <w:rFonts w:hint="default" w:ascii="Times New Roman" w:hAnsi="Times New Roman" w:cs="Times New Roman"/>
                      <w:snapToGrid w:val="0"/>
                      <w:color w:val="auto"/>
                      <w:kern w:val="0"/>
                      <w:szCs w:val="21"/>
                      <w:lang w:val="zh-CN"/>
                    </w:rPr>
                    <w:t>液态</w:t>
                  </w:r>
                </w:p>
              </w:tc>
              <w:tc>
                <w:tcPr>
                  <w:tcW w:w="1830" w:type="dxa"/>
                  <w:vMerge w:val="continue"/>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zh-CN"/>
                    </w:rPr>
                  </w:pPr>
                </w:p>
              </w:tc>
              <w:tc>
                <w:tcPr>
                  <w:tcW w:w="759" w:type="dxa"/>
                  <w:vMerge w:val="continue"/>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74" w:hRule="atLeast"/>
                <w:jc w:val="center"/>
              </w:trPr>
              <w:tc>
                <w:tcPr>
                  <w:tcW w:w="651" w:type="dxa"/>
                  <w:tcBorders>
                    <w:tl2br w:val="nil"/>
                    <w:tr2bl w:val="nil"/>
                  </w:tcBorders>
                  <w:noWrap w:val="0"/>
                  <w:vAlign w:val="center"/>
                </w:tcPr>
                <w:p>
                  <w:pPr>
                    <w:tabs>
                      <w:tab w:val="left" w:pos="360"/>
                    </w:tabs>
                    <w:adjustRightInd w:val="0"/>
                    <w:snapToGrid w:val="0"/>
                    <w:jc w:val="center"/>
                    <w:rPr>
                      <w:rFonts w:hint="eastAsia" w:ascii="Times New Roman" w:hAnsi="Times New Roman" w:eastAsia="宋体" w:cs="Times New Roman"/>
                      <w:snapToGrid w:val="0"/>
                      <w:color w:val="auto"/>
                      <w:kern w:val="0"/>
                      <w:szCs w:val="21"/>
                      <w:lang w:val="en-US" w:eastAsia="zh-CN"/>
                    </w:rPr>
                  </w:pPr>
                  <w:r>
                    <w:rPr>
                      <w:rFonts w:hint="eastAsia" w:cs="Times New Roman"/>
                      <w:snapToGrid w:val="0"/>
                      <w:color w:val="auto"/>
                      <w:kern w:val="0"/>
                      <w:szCs w:val="21"/>
                      <w:lang w:val="en-US" w:eastAsia="zh-CN"/>
                    </w:rPr>
                    <w:t>3</w:t>
                  </w:r>
                </w:p>
              </w:tc>
              <w:tc>
                <w:tcPr>
                  <w:tcW w:w="818" w:type="dxa"/>
                  <w:tcBorders>
                    <w:tl2br w:val="nil"/>
                    <w:tr2bl w:val="nil"/>
                  </w:tcBorders>
                  <w:noWrap w:val="0"/>
                  <w:vAlign w:val="center"/>
                </w:tcPr>
                <w:p>
                  <w:pPr>
                    <w:tabs>
                      <w:tab w:val="left" w:pos="360"/>
                    </w:tabs>
                    <w:adjustRightInd w:val="0"/>
                    <w:snapToGrid w:val="0"/>
                    <w:jc w:val="center"/>
                    <w:rPr>
                      <w:rFonts w:hint="eastAsia" w:ascii="Times New Roman" w:hAnsi="Times New Roman" w:eastAsia="宋体" w:cs="Times New Roman"/>
                      <w:snapToGrid w:val="0"/>
                      <w:color w:val="auto"/>
                      <w:kern w:val="0"/>
                      <w:szCs w:val="21"/>
                      <w:lang w:eastAsia="zh-CN"/>
                    </w:rPr>
                  </w:pPr>
                  <w:r>
                    <w:rPr>
                      <w:rFonts w:hint="eastAsia" w:ascii="Times New Roman" w:hAnsi="Times New Roman" w:eastAsia="宋体" w:cs="Times New Roman"/>
                      <w:snapToGrid w:val="0"/>
                      <w:color w:val="auto"/>
                      <w:kern w:val="0"/>
                      <w:szCs w:val="21"/>
                      <w:lang w:val="en-US" w:eastAsia="zh-CN"/>
                    </w:rPr>
                    <w:t>废油</w:t>
                  </w:r>
                </w:p>
              </w:tc>
              <w:tc>
                <w:tcPr>
                  <w:tcW w:w="886" w:type="dxa"/>
                  <w:tcBorders>
                    <w:tl2br w:val="nil"/>
                    <w:tr2bl w:val="nil"/>
                  </w:tcBorders>
                  <w:noWrap w:val="0"/>
                  <w:vAlign w:val="center"/>
                </w:tcPr>
                <w:p>
                  <w:pPr>
                    <w:tabs>
                      <w:tab w:val="left" w:pos="360"/>
                    </w:tabs>
                    <w:adjustRightInd w:val="0"/>
                    <w:snapToGrid w:val="0"/>
                    <w:jc w:val="center"/>
                    <w:rPr>
                      <w:rFonts w:hint="default" w:ascii="Times New Roman" w:hAnsi="Times New Roman" w:eastAsia="宋体" w:cs="Times New Roman"/>
                      <w:snapToGrid w:val="0"/>
                      <w:color w:val="auto"/>
                      <w:kern w:val="0"/>
                      <w:szCs w:val="21"/>
                      <w:lang w:val="en-US" w:eastAsia="zh-CN"/>
                    </w:rPr>
                  </w:pPr>
                  <w:r>
                    <w:rPr>
                      <w:rFonts w:hint="eastAsia" w:ascii="Times New Roman" w:hAnsi="Times New Roman" w:eastAsia="宋体" w:cs="Times New Roman"/>
                      <w:snapToGrid w:val="0"/>
                      <w:color w:val="auto"/>
                      <w:kern w:val="0"/>
                      <w:szCs w:val="21"/>
                      <w:lang w:val="en-US" w:eastAsia="zh-CN"/>
                    </w:rPr>
                    <w:t>HW08</w:t>
                  </w:r>
                </w:p>
              </w:tc>
              <w:tc>
                <w:tcPr>
                  <w:tcW w:w="994" w:type="dxa"/>
                  <w:tcBorders>
                    <w:tl2br w:val="nil"/>
                    <w:tr2bl w:val="nil"/>
                  </w:tcBorders>
                  <w:noWrap w:val="0"/>
                  <w:vAlign w:val="center"/>
                </w:tcPr>
                <w:p>
                  <w:pPr>
                    <w:tabs>
                      <w:tab w:val="left" w:pos="360"/>
                    </w:tabs>
                    <w:adjustRightInd w:val="0"/>
                    <w:snapToGrid w:val="0"/>
                    <w:jc w:val="center"/>
                    <w:rPr>
                      <w:rFonts w:hint="default" w:ascii="Times New Roman" w:hAnsi="Times New Roman" w:eastAsia="宋体" w:cs="Times New Roman"/>
                      <w:snapToGrid w:val="0"/>
                      <w:color w:val="auto"/>
                      <w:kern w:val="0"/>
                      <w:szCs w:val="21"/>
                      <w:lang w:val="en-US" w:eastAsia="zh-CN"/>
                    </w:rPr>
                  </w:pPr>
                  <w:r>
                    <w:rPr>
                      <w:rFonts w:hint="eastAsia" w:cs="Times New Roman"/>
                      <w:snapToGrid w:val="0"/>
                      <w:color w:val="auto"/>
                      <w:kern w:val="0"/>
                      <w:szCs w:val="21"/>
                      <w:lang w:val="en-US" w:eastAsia="zh-CN"/>
                    </w:rPr>
                    <w:t>900-210-08</w:t>
                  </w:r>
                </w:p>
              </w:tc>
              <w:tc>
                <w:tcPr>
                  <w:tcW w:w="646"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en-US" w:eastAsia="zh-CN"/>
                    </w:rPr>
                  </w:pPr>
                  <w:r>
                    <w:rPr>
                      <w:rFonts w:hint="eastAsia" w:cs="Times New Roman"/>
                      <w:snapToGrid w:val="0"/>
                      <w:color w:val="auto"/>
                      <w:kern w:val="0"/>
                      <w:szCs w:val="21"/>
                      <w:lang w:val="en-US" w:eastAsia="zh-CN"/>
                    </w:rPr>
                    <w:t>0.04</w:t>
                  </w:r>
                  <w:r>
                    <w:rPr>
                      <w:rFonts w:hint="default" w:ascii="Times New Roman" w:hAnsi="Times New Roman" w:cs="Times New Roman"/>
                      <w:snapToGrid w:val="0"/>
                      <w:color w:val="auto"/>
                      <w:kern w:val="0"/>
                      <w:szCs w:val="21"/>
                    </w:rPr>
                    <w:t>t/a</w:t>
                  </w:r>
                </w:p>
              </w:tc>
              <w:tc>
                <w:tcPr>
                  <w:tcW w:w="854"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r>
                    <w:rPr>
                      <w:rFonts w:hint="eastAsia" w:cs="Times New Roman"/>
                      <w:snapToGrid w:val="0"/>
                      <w:color w:val="auto"/>
                      <w:kern w:val="0"/>
                      <w:szCs w:val="21"/>
                      <w:lang w:val="en-US" w:eastAsia="zh-CN"/>
                    </w:rPr>
                    <w:t>湿式静电除尘</w:t>
                  </w:r>
                  <w:r>
                    <w:rPr>
                      <w:rFonts w:hint="eastAsia" w:ascii="Times New Roman" w:hAnsi="Times New Roman" w:eastAsia="宋体" w:cs="Times New Roman"/>
                      <w:snapToGrid w:val="0"/>
                      <w:color w:val="auto"/>
                      <w:kern w:val="0"/>
                      <w:szCs w:val="21"/>
                      <w:lang w:val="en-US" w:eastAsia="zh-CN"/>
                    </w:rPr>
                    <w:t>设施</w:t>
                  </w:r>
                </w:p>
              </w:tc>
              <w:tc>
                <w:tcPr>
                  <w:tcW w:w="873"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zh-CN"/>
                    </w:rPr>
                  </w:pPr>
                  <w:r>
                    <w:rPr>
                      <w:rFonts w:hint="default" w:ascii="Times New Roman" w:hAnsi="Times New Roman" w:cs="Times New Roman"/>
                      <w:snapToGrid w:val="0"/>
                      <w:color w:val="auto"/>
                      <w:kern w:val="0"/>
                      <w:szCs w:val="21"/>
                      <w:lang w:val="zh-CN"/>
                    </w:rPr>
                    <w:t>液态</w:t>
                  </w:r>
                </w:p>
              </w:tc>
              <w:tc>
                <w:tcPr>
                  <w:tcW w:w="1830" w:type="dxa"/>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lang w:val="zh-CN"/>
                    </w:rPr>
                  </w:pPr>
                  <w:r>
                    <w:rPr>
                      <w:rFonts w:hint="eastAsia" w:cs="Times New Roman"/>
                      <w:color w:val="auto"/>
                      <w:szCs w:val="21"/>
                      <w:lang w:eastAsia="zh-CN"/>
                    </w:rPr>
                    <w:t>即产即清，</w:t>
                  </w:r>
                  <w:r>
                    <w:rPr>
                      <w:rFonts w:hint="default" w:ascii="Times New Roman" w:hAnsi="Times New Roman" w:cs="Times New Roman"/>
                      <w:color w:val="auto"/>
                      <w:szCs w:val="21"/>
                    </w:rPr>
                    <w:t>集中收集，用耐腐蚀的容器</w:t>
                  </w:r>
                </w:p>
              </w:tc>
              <w:tc>
                <w:tcPr>
                  <w:tcW w:w="759" w:type="dxa"/>
                  <w:vMerge w:val="continue"/>
                  <w:tcBorders>
                    <w:tl2br w:val="nil"/>
                    <w:tr2bl w:val="nil"/>
                  </w:tcBorders>
                  <w:noWrap w:val="0"/>
                  <w:vAlign w:val="center"/>
                </w:tcPr>
                <w:p>
                  <w:pPr>
                    <w:tabs>
                      <w:tab w:val="left" w:pos="360"/>
                    </w:tabs>
                    <w:adjustRightInd w:val="0"/>
                    <w:snapToGrid w:val="0"/>
                    <w:jc w:val="center"/>
                    <w:rPr>
                      <w:rFonts w:hint="default" w:ascii="Times New Roman" w:hAnsi="Times New Roman" w:cs="Times New Roman"/>
                      <w:snapToGrid w:val="0"/>
                      <w:color w:val="auto"/>
                      <w:kern w:val="0"/>
                      <w:szCs w:val="21"/>
                    </w:rPr>
                  </w:pPr>
                </w:p>
              </w:tc>
            </w:tr>
          </w:tbl>
          <w:p>
            <w:pPr>
              <w:tabs>
                <w:tab w:val="left" w:pos="495"/>
              </w:tabs>
              <w:adjustRightInd w:val="0"/>
              <w:snapToGrid w:val="0"/>
              <w:spacing w:line="500" w:lineRule="exact"/>
              <w:ind w:firstLine="480" w:firstLineChars="200"/>
              <w:rPr>
                <w:rFonts w:hint="default" w:ascii="Times New Roman" w:hAnsi="Times New Roman" w:cs="Times New Roman"/>
                <w:color w:val="auto"/>
                <w:sz w:val="24"/>
                <w:lang w:val="zh-CN"/>
              </w:rPr>
            </w:pPr>
            <w:r>
              <w:rPr>
                <w:rFonts w:hint="eastAsia" w:ascii="Times New Roman" w:hAnsi="Times New Roman" w:cs="Times New Roman"/>
                <w:bCs/>
                <w:color w:val="auto"/>
                <w:sz w:val="24"/>
                <w:lang w:eastAsia="zh-CN"/>
              </w:rPr>
              <w:t>本项目设置</w:t>
            </w:r>
            <w:r>
              <w:rPr>
                <w:rFonts w:hint="default" w:ascii="Times New Roman" w:hAnsi="Times New Roman" w:cs="Times New Roman"/>
                <w:bCs/>
                <w:color w:val="auto"/>
                <w:sz w:val="24"/>
              </w:rPr>
              <w:t>危废间一座（面积</w:t>
            </w:r>
            <w:r>
              <w:rPr>
                <w:rFonts w:hint="eastAsia" w:ascii="Times New Roman" w:hAnsi="Times New Roman" w:cs="Times New Roman"/>
                <w:bCs/>
                <w:color w:val="auto"/>
                <w:sz w:val="24"/>
                <w:lang w:val="en-US" w:eastAsia="zh-CN"/>
              </w:rPr>
              <w:t>6</w:t>
            </w:r>
            <w:r>
              <w:rPr>
                <w:rFonts w:hint="default" w:ascii="Times New Roman" w:hAnsi="Times New Roman" w:cs="Times New Roman"/>
                <w:bCs/>
                <w:color w:val="auto"/>
                <w:sz w:val="24"/>
              </w:rPr>
              <w:t>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w:t>
            </w:r>
            <w:r>
              <w:rPr>
                <w:rFonts w:hint="default" w:ascii="Times New Roman" w:hAnsi="Times New Roman" w:cs="Times New Roman"/>
                <w:bCs/>
                <w:color w:val="auto"/>
                <w:sz w:val="24"/>
                <w:lang w:eastAsia="zh-CN"/>
              </w:rPr>
              <w:t>。</w:t>
            </w:r>
            <w:r>
              <w:rPr>
                <w:rFonts w:hint="default" w:ascii="Times New Roman" w:hAnsi="Times New Roman" w:cs="Times New Roman"/>
                <w:color w:val="auto"/>
                <w:sz w:val="24"/>
              </w:rPr>
              <w:t>危废间地面及围堰铺设20cm砂石层；砂石层上铺设2mm厚高密度聚乙烯（HDPE）膜防渗层，防渗层上采用抗渗混凝土，混凝土强度等级不低于C25，抗渗等级不低于P6，厚度不小于100mm。等效黏土防渗层Mb≥6.0m，K≤1×10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cm/s，当危险废物发生泄漏时，能有效将其截留，防止其污染土壤、地下水，</w:t>
            </w:r>
            <w:r>
              <w:rPr>
                <w:rFonts w:hint="default" w:ascii="Times New Roman" w:hAnsi="Times New Roman" w:cs="Times New Roman"/>
                <w:color w:val="auto"/>
                <w:sz w:val="24"/>
                <w:lang w:val="zh-CN"/>
              </w:rPr>
              <w:t>按照国家环保总局环发[1999]05号令颁布的《危险废物转移联单管理办法》和《危险废物贮存污染控制标准》（GB</w:t>
            </w:r>
            <w:r>
              <w:rPr>
                <w:rFonts w:hint="default" w:ascii="Times New Roman" w:hAnsi="Times New Roman" w:cs="Times New Roman"/>
                <w:color w:val="auto"/>
                <w:sz w:val="24"/>
              </w:rPr>
              <w:t>1</w:t>
            </w:r>
            <w:r>
              <w:rPr>
                <w:rFonts w:hint="default" w:ascii="Times New Roman" w:hAnsi="Times New Roman" w:cs="Times New Roman"/>
                <w:color w:val="auto"/>
                <w:sz w:val="24"/>
                <w:lang w:val="zh-CN"/>
              </w:rPr>
              <w:t>8597-20</w:t>
            </w:r>
            <w:r>
              <w:rPr>
                <w:rFonts w:hint="default" w:ascii="Times New Roman" w:hAnsi="Times New Roman" w:cs="Times New Roman"/>
                <w:color w:val="auto"/>
                <w:sz w:val="24"/>
              </w:rPr>
              <w:t>23</w:t>
            </w:r>
            <w:r>
              <w:rPr>
                <w:rFonts w:hint="default" w:ascii="Times New Roman" w:hAnsi="Times New Roman" w:cs="Times New Roman"/>
                <w:color w:val="auto"/>
                <w:sz w:val="24"/>
                <w:lang w:val="zh-CN"/>
              </w:rPr>
              <w:t>）中的各项规定执行。</w:t>
            </w:r>
            <w:r>
              <w:rPr>
                <w:rFonts w:hint="default" w:ascii="Times New Roman" w:hAnsi="Times New Roman" w:cs="Times New Roman"/>
                <w:color w:val="auto"/>
                <w:sz w:val="24"/>
              </w:rPr>
              <w:t>同时不同性质危险废物应分区存放，各分区之间设置有挡板隔断；盛放危险废物的容器应按要求设置明显的表明危险废物相关信息的标签，</w:t>
            </w:r>
            <w:r>
              <w:rPr>
                <w:rFonts w:hint="default" w:ascii="Times New Roman" w:hAnsi="Times New Roman" w:cs="Times New Roman"/>
                <w:color w:val="auto"/>
                <w:sz w:val="24"/>
                <w:lang w:val="zh-CN"/>
              </w:rPr>
              <w:t>定期由</w:t>
            </w:r>
            <w:r>
              <w:rPr>
                <w:rFonts w:hint="default" w:ascii="Times New Roman" w:hAnsi="Times New Roman" w:cs="Times New Roman"/>
                <w:color w:val="auto"/>
                <w:sz w:val="24"/>
              </w:rPr>
              <w:t>有资质的危废处理机构进行</w:t>
            </w:r>
            <w:r>
              <w:rPr>
                <w:rFonts w:hint="default" w:ascii="Times New Roman" w:hAnsi="Times New Roman" w:cs="Times New Roman"/>
                <w:color w:val="auto"/>
                <w:sz w:val="24"/>
                <w:lang w:val="zh-CN"/>
              </w:rPr>
              <w:t>处理</w:t>
            </w:r>
            <w:r>
              <w:rPr>
                <w:rFonts w:hint="default" w:ascii="Times New Roman" w:hAnsi="Times New Roman" w:cs="Times New Roman"/>
                <w:color w:val="auto"/>
                <w:sz w:val="24"/>
              </w:rPr>
              <w:t>。</w:t>
            </w:r>
            <w:r>
              <w:rPr>
                <w:rFonts w:hint="default" w:ascii="Times New Roman" w:hAnsi="Times New Roman" w:cs="Times New Roman"/>
                <w:color w:val="auto"/>
                <w:sz w:val="24"/>
                <w:lang w:val="zh-CN"/>
              </w:rPr>
              <w:t>危废转移时由危废处置单位选用符合国家标准的专用容器和运输车辆运走，并上报当地环保局备案。采取以上措施后，危险废物处理符合《危险废物贮存污染控制标准》（GB18597-2</w:t>
            </w:r>
            <w:r>
              <w:rPr>
                <w:rFonts w:hint="default" w:ascii="Times New Roman" w:hAnsi="Times New Roman" w:cs="Times New Roman"/>
                <w:color w:val="auto"/>
                <w:sz w:val="24"/>
              </w:rPr>
              <w:t>023</w:t>
            </w:r>
            <w:r>
              <w:rPr>
                <w:rFonts w:hint="default" w:ascii="Times New Roman" w:hAnsi="Times New Roman" w:cs="Times New Roman"/>
                <w:color w:val="auto"/>
                <w:sz w:val="24"/>
                <w:lang w:val="zh-CN"/>
              </w:rPr>
              <w:t>）</w:t>
            </w:r>
            <w:r>
              <w:rPr>
                <w:rFonts w:hint="default" w:ascii="Times New Roman" w:hAnsi="Times New Roman" w:cs="Times New Roman"/>
                <w:color w:val="auto"/>
                <w:sz w:val="24"/>
              </w:rPr>
              <w:t>中的</w:t>
            </w:r>
            <w:r>
              <w:rPr>
                <w:rFonts w:hint="default" w:ascii="Times New Roman" w:hAnsi="Times New Roman" w:cs="Times New Roman"/>
                <w:color w:val="auto"/>
                <w:sz w:val="24"/>
                <w:lang w:val="zh-CN"/>
              </w:rPr>
              <w:t>有关要求，对环境影响很小。</w:t>
            </w:r>
          </w:p>
          <w:p>
            <w:pPr>
              <w:tabs>
                <w:tab w:val="left" w:pos="495"/>
              </w:tabs>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zh-CN"/>
              </w:rPr>
              <w:t>危险废物处置满足</w:t>
            </w:r>
            <w:r>
              <w:rPr>
                <w:rFonts w:hint="default" w:ascii="Times New Roman" w:hAnsi="Times New Roman" w:cs="Times New Roman"/>
                <w:color w:val="auto"/>
                <w:sz w:val="24"/>
              </w:rPr>
              <w:t>《危险废物贮存污染控制标准》（GB18597-2023）的相关规定：不同类型的危险废物禁止混合或合并存放，不相容的危险废物必须分开存放，并设置挡墙间隔；危险废物贮存间内设有泄漏液体收集装置、气体导出口及堵截泄漏的裙脚；危险废物贮存间应满足防风、防雨、防晒要求；装载液体、固体的危险废物的硬质桶内必须留足够的空间，硬质桶顶部与液体表面之间保留100mm以上的空间；危险废物的贮存要建立台账制度，危险废物的出入库交接记录、危险废物转移电子联单及危险废物产生、贮存、转移和利用处置等数据。危废外运时，公司应当向当地环保局提交下列材料：</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①拟转移危险废物的名称、种类、特性、形态、包装方式、数量、转移时间、主要危险废物成分等基本情况；</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②运输单位具有运输危险货物资格的证明材料；</w:t>
            </w:r>
          </w:p>
          <w:p>
            <w:pPr>
              <w:adjustRightInd w:val="0"/>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③接受单位具有利用和处置危险废物资格及同意接受的证明材料。</w:t>
            </w:r>
          </w:p>
          <w:p>
            <w:pPr>
              <w:adjustRightInd w:val="0"/>
              <w:spacing w:line="500" w:lineRule="exact"/>
              <w:ind w:right="-28" w:firstLine="482" w:firstLineChars="200"/>
              <w:textAlignment w:val="baseline"/>
              <w:rPr>
                <w:rFonts w:hint="default" w:ascii="Times New Roman" w:hAnsi="Times New Roman" w:cs="Times New Roman"/>
                <w:b/>
                <w:bCs/>
                <w:color w:val="auto"/>
                <w:sz w:val="24"/>
              </w:rPr>
            </w:pPr>
            <w:r>
              <w:rPr>
                <w:rFonts w:hint="default" w:ascii="Times New Roman" w:hAnsi="Times New Roman" w:cs="Times New Roman"/>
                <w:b/>
                <w:bCs/>
                <w:color w:val="auto"/>
                <w:sz w:val="24"/>
              </w:rPr>
              <w:t>危险废物贮存管理要求：</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依照《中华人民共和国固体废物污染环境防治法》，对危险废物提出以下要求：</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危险废物贮存按《危险废物贮存污染控制标准》（GB18597-2023）规定进行：</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①必须将危险废物装入容器内，装载危险废物的容器内须留足够空间。</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②盛装危险废物的容器上必须粘贴符合标准要求的标签。</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③装载危险废物的容器及材质要满足相应的强度要求，装载危险废物的容器必须完好无损。</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④作好危险废物情况的记录，记录上须注明危险废物的名称、来源、数量、特性和包装容器的类别、入库日期、存放库位、废物出库日期及接收单位名称。危险废物的记录和货单在危险废物回取后应继续保留</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年。</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⑤根据危废物性质不同，不相容的危险废物分别贮存。</w:t>
            </w:r>
          </w:p>
          <w:p>
            <w:pPr>
              <w:adjustRightInd w:val="0"/>
              <w:spacing w:line="50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⑤必须定期对所贮存的危险废物包装容器及贮存设施进行检查，发现破损，应及时采取措施清理更换。</w:t>
            </w:r>
          </w:p>
          <w:p>
            <w:pPr>
              <w:adjustRightInd w:val="0"/>
              <w:snapToGrid w:val="0"/>
              <w:spacing w:line="500" w:lineRule="exact"/>
              <w:ind w:firstLine="480" w:firstLineChars="200"/>
              <w:rPr>
                <w:rFonts w:hint="default" w:ascii="Times New Roman" w:hAnsi="Times New Roman" w:cs="Times New Roman"/>
                <w:color w:val="auto"/>
                <w:kern w:val="24"/>
                <w:sz w:val="24"/>
                <w:szCs w:val="28"/>
              </w:rPr>
            </w:pPr>
            <w:r>
              <w:rPr>
                <w:rFonts w:hint="default" w:ascii="Times New Roman" w:hAnsi="Times New Roman" w:cs="Times New Roman"/>
                <w:color w:val="auto"/>
                <w:sz w:val="24"/>
              </w:rPr>
              <w:t>本项目所产生的固体废物全部得到综合利用和妥善处置，不会对环境造成影响</w:t>
            </w:r>
            <w:r>
              <w:rPr>
                <w:rFonts w:hint="default" w:ascii="Times New Roman" w:hAnsi="Times New Roman" w:cs="Times New Roman"/>
                <w:color w:val="auto"/>
                <w:kern w:val="24"/>
                <w:sz w:val="24"/>
                <w:szCs w:val="28"/>
              </w:rPr>
              <w:t>。</w:t>
            </w:r>
          </w:p>
          <w:p>
            <w:pPr>
              <w:numPr>
                <w:ilvl w:val="0"/>
                <w:numId w:val="0"/>
              </w:numPr>
              <w:spacing w:line="48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5、地</w:t>
            </w:r>
            <w:r>
              <w:rPr>
                <w:rFonts w:hint="default" w:ascii="Times New Roman" w:hAnsi="Times New Roman" w:cs="Times New Roman"/>
                <w:b/>
                <w:bCs/>
                <w:color w:val="auto"/>
                <w:sz w:val="24"/>
                <w:highlight w:val="none"/>
              </w:rPr>
              <w:t>下水及土壤影响分析</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kern w:val="24"/>
                <w:sz w:val="24"/>
                <w:szCs w:val="24"/>
                <w:highlight w:val="none"/>
                <w:lang w:val="en-US" w:eastAsia="zh-CN"/>
              </w:rPr>
              <w:t>本项目无废水</w:t>
            </w:r>
            <w:r>
              <w:rPr>
                <w:rFonts w:hint="default" w:ascii="Times New Roman" w:hAnsi="Times New Roman" w:eastAsia="宋体" w:cs="Times New Roman"/>
                <w:color w:val="auto"/>
                <w:kern w:val="24"/>
                <w:sz w:val="24"/>
                <w:szCs w:val="24"/>
                <w:highlight w:val="none"/>
                <w:lang w:val="en-US" w:eastAsia="zh-CN"/>
              </w:rPr>
              <w:t>外排</w:t>
            </w:r>
            <w:r>
              <w:rPr>
                <w:rFonts w:hint="default" w:ascii="Times New Roman" w:hAnsi="Times New Roman" w:cs="Times New Roman"/>
                <w:color w:val="auto"/>
                <w:sz w:val="24"/>
                <w:szCs w:val="24"/>
                <w:highlight w:val="none"/>
                <w:lang w:val="en-US" w:eastAsia="zh-CN"/>
              </w:rPr>
              <w:t>。</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本项目建成后对地下水、土壤的污染源主要为</w:t>
            </w:r>
            <w:r>
              <w:rPr>
                <w:rFonts w:hint="default" w:ascii="Times New Roman" w:hAnsi="Times New Roman" w:eastAsia="宋体" w:cs="Times New Roman"/>
                <w:color w:val="auto"/>
                <w:sz w:val="24"/>
                <w:highlight w:val="none"/>
                <w:lang w:eastAsia="zh-CN"/>
              </w:rPr>
              <w:t>废矿物油</w:t>
            </w:r>
            <w:r>
              <w:rPr>
                <w:rFonts w:hint="default" w:ascii="Times New Roman" w:hAnsi="Times New Roman" w:eastAsia="宋体" w:cs="Times New Roman"/>
                <w:color w:val="auto"/>
                <w:sz w:val="24"/>
                <w:highlight w:val="none"/>
              </w:rPr>
              <w:t>可能因泄漏导致垂直入渗污染地下水、土壤，本项目按照“源头控制、分区防治、污染监控、应急响应”相结合的原则，采用源头控制措施、分区防治措施。尽可能从源头上减少污染物的产生，防止环境污染，严格按照国家相关规范要求，对工艺、管道、设备、构建物采取相应措施，以防止和降低污染物的跑、冒、滴、漏，做好防渗措施，避免由于泄漏造成物料下渗污染地下水。</w:t>
            </w:r>
          </w:p>
          <w:p>
            <w:pPr>
              <w:spacing w:line="480" w:lineRule="exact"/>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重点防渗区：</w:t>
            </w:r>
            <w:r>
              <w:rPr>
                <w:rFonts w:hint="default" w:ascii="Times New Roman" w:hAnsi="Times New Roman" w:eastAsia="宋体" w:cs="Times New Roman"/>
                <w:color w:val="auto"/>
                <w:sz w:val="24"/>
                <w:szCs w:val="24"/>
              </w:rPr>
              <w:t>项目于原料区设置油品暂存区，暂存油品下设置钢制接油盘</w:t>
            </w:r>
            <w:r>
              <w:rPr>
                <w:rFonts w:hint="default" w:ascii="Times New Roman" w:hAnsi="Times New Roman" w:cs="Times New Roman"/>
                <w:color w:val="auto"/>
                <w:sz w:val="24"/>
                <w:szCs w:val="24"/>
                <w:lang w:eastAsia="zh-CN"/>
              </w:rPr>
              <w:t>，主要用以储存桶装润滑油</w:t>
            </w:r>
            <w:r>
              <w:rPr>
                <w:rFonts w:hint="default" w:ascii="Times New Roman" w:hAnsi="Times New Roman" w:eastAsia="宋体" w:cs="Times New Roman"/>
                <w:color w:val="auto"/>
                <w:sz w:val="24"/>
                <w:szCs w:val="24"/>
              </w:rPr>
              <w:t>，K≤1×10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cm/s，当</w:t>
            </w:r>
            <w:r>
              <w:rPr>
                <w:rFonts w:hint="default" w:ascii="Times New Roman" w:hAnsi="Times New Roman" w:cs="Times New Roman"/>
                <w:color w:val="auto"/>
                <w:sz w:val="24"/>
                <w:szCs w:val="24"/>
                <w:lang w:eastAsia="zh-CN"/>
              </w:rPr>
              <w:t>油品</w:t>
            </w:r>
            <w:r>
              <w:rPr>
                <w:rFonts w:hint="default" w:ascii="Times New Roman" w:hAnsi="Times New Roman" w:eastAsia="宋体" w:cs="Times New Roman"/>
                <w:color w:val="auto"/>
                <w:sz w:val="24"/>
                <w:szCs w:val="24"/>
              </w:rPr>
              <w:t>发</w:t>
            </w:r>
            <w:r>
              <w:rPr>
                <w:rFonts w:hint="default" w:ascii="Times New Roman" w:hAnsi="Times New Roman" w:cs="Times New Roman"/>
                <w:color w:val="auto"/>
                <w:sz w:val="24"/>
                <w:highlight w:val="none"/>
              </w:rPr>
              <w:t>生泄漏时，能有效将</w:t>
            </w:r>
            <w:r>
              <w:rPr>
                <w:rFonts w:hint="default" w:ascii="Times New Roman" w:hAnsi="Times New Roman" w:cs="Times New Roman"/>
                <w:color w:val="auto"/>
                <w:sz w:val="24"/>
                <w:highlight w:val="none"/>
                <w:lang w:eastAsia="zh-CN"/>
              </w:rPr>
              <w:t>泄露的物质</w:t>
            </w:r>
            <w:r>
              <w:rPr>
                <w:rFonts w:hint="default" w:ascii="Times New Roman" w:hAnsi="Times New Roman" w:cs="Times New Roman"/>
                <w:color w:val="auto"/>
                <w:sz w:val="24"/>
                <w:highlight w:val="none"/>
              </w:rPr>
              <w:t>截留</w:t>
            </w:r>
            <w:r>
              <w:rPr>
                <w:rFonts w:hint="eastAsia" w:cs="Times New Roman"/>
                <w:color w:val="auto"/>
                <w:sz w:val="24"/>
                <w:highlight w:val="none"/>
                <w:lang w:eastAsia="zh-CN"/>
              </w:rPr>
              <w:t>。</w:t>
            </w:r>
            <w:r>
              <w:rPr>
                <w:rFonts w:hint="default" w:ascii="Times New Roman" w:hAnsi="Times New Roman" w:cs="Times New Roman"/>
                <w:color w:val="auto"/>
                <w:sz w:val="24"/>
              </w:rPr>
              <w:t>危废间地面及围堰铺设20cm砂石层；砂石层上铺设2mm厚高密度聚乙烯（HDPE）膜防渗层，防渗层上采用抗渗混凝土，混凝土强度等级不低于C25，抗渗等级不低于P6，厚度不小于100mm。等效黏土防渗层Mb≥6.0m，K≤1×10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cm/s，当危险废物发生泄漏时，能有效将其截留</w:t>
            </w:r>
            <w:r>
              <w:rPr>
                <w:rFonts w:hint="eastAsia" w:ascii="Times New Roman" w:hAnsi="Times New Roman" w:cs="Times New Roman"/>
                <w:color w:val="auto"/>
                <w:sz w:val="24"/>
                <w:lang w:eastAsia="zh-CN"/>
              </w:rPr>
              <w:t>，</w:t>
            </w:r>
            <w:r>
              <w:rPr>
                <w:rFonts w:hint="default" w:ascii="Times New Roman" w:hAnsi="Times New Roman" w:cs="Times New Roman"/>
                <w:color w:val="auto"/>
                <w:sz w:val="24"/>
                <w:highlight w:val="none"/>
              </w:rPr>
              <w:t>防止其污染土壤、地下水。</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（2）一般防渗区：车间其他区域的建设进行基础防渗处理，铺设水泥防渗层，地面作防水防渗处理，渗透系数小于10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w:t>
            </w:r>
          </w:p>
          <w:p>
            <w:pPr>
              <w:spacing w:line="480" w:lineRule="exact"/>
              <w:ind w:left="479" w:leftChars="228"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（3）简单防渗区：厂区地面（除绿化区）、办公区全部进行硬化处理。</w:t>
            </w:r>
          </w:p>
          <w:p>
            <w:pPr>
              <w:spacing w:line="480" w:lineRule="exact"/>
              <w:ind w:left="479" w:leftChars="228"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综上，本项目采取上述防控措施后，对区域地下水、土壤环境影响较小。</w:t>
            </w:r>
          </w:p>
          <w:p>
            <w:pPr>
              <w:spacing w:line="48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6、生态影响分析</w:t>
            </w:r>
          </w:p>
          <w:p>
            <w:pPr>
              <w:pStyle w:val="2"/>
              <w:spacing w:line="480" w:lineRule="exact"/>
              <w:ind w:left="0" w:leftChars="0" w:right="0" w:rightChars="0" w:firstLine="480" w:firstLineChars="200"/>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sz w:val="24"/>
                <w:szCs w:val="24"/>
              </w:rPr>
              <w:t>本项目占地类型为工业用地，不改变土地利用类型和使用功能，占地范围内无动植物及其它生态环境保护目标。本项目实施后，在周边可以绿化的地方进行绿化种植，不会对周边生态环境产生影响</w:t>
            </w:r>
            <w:r>
              <w:rPr>
                <w:rFonts w:hint="default" w:ascii="Times New Roman" w:hAnsi="Times New Roman" w:cs="Times New Roman"/>
                <w:color w:val="auto"/>
                <w:sz w:val="24"/>
                <w:highlight w:val="none"/>
              </w:rPr>
              <w:t>。</w:t>
            </w:r>
          </w:p>
          <w:p>
            <w:pPr>
              <w:spacing w:line="48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7、环境风险</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本项目风险物质为润滑油、废润滑油、</w:t>
            </w:r>
            <w:r>
              <w:rPr>
                <w:rFonts w:hint="default" w:ascii="Times New Roman" w:hAnsi="Times New Roman" w:cs="Times New Roman"/>
                <w:color w:val="auto"/>
                <w:sz w:val="24"/>
                <w:highlight w:val="none"/>
                <w:lang w:val="en-US" w:eastAsia="zh-CN"/>
              </w:rPr>
              <w:t>废油桶</w:t>
            </w:r>
            <w:r>
              <w:rPr>
                <w:rFonts w:hint="default" w:ascii="Times New Roman" w:hAnsi="Times New Roman" w:cs="Times New Roman"/>
                <w:color w:val="auto"/>
                <w:sz w:val="24"/>
              </w:rPr>
              <w:t>。</w:t>
            </w:r>
          </w:p>
          <w:p>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根据《建设项目环境风险评价技术导则》（HJ169-2018）附录B，拟建项目建成后，风险物质存在量与临界量情况见下表。</w:t>
            </w:r>
          </w:p>
          <w:p>
            <w:pPr>
              <w:spacing w:line="240" w:lineRule="auto"/>
              <w:jc w:val="center"/>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表</w:t>
            </w:r>
            <w:r>
              <w:rPr>
                <w:rFonts w:hint="eastAsia" w:cs="Times New Roman"/>
                <w:b/>
                <w:bCs/>
                <w:color w:val="auto"/>
                <w:sz w:val="24"/>
                <w:highlight w:val="none"/>
                <w:lang w:val="en-US" w:eastAsia="zh-CN"/>
              </w:rPr>
              <w:t>34</w:t>
            </w:r>
            <w:r>
              <w:rPr>
                <w:rFonts w:hint="default" w:ascii="Times New Roman" w:hAnsi="Times New Roman" w:eastAsia="宋体" w:cs="Times New Roman"/>
                <w:b/>
                <w:bCs/>
                <w:color w:val="auto"/>
                <w:sz w:val="24"/>
                <w:highlight w:val="none"/>
                <w:lang w:val="zh-CN" w:eastAsia="zh-CN"/>
              </w:rPr>
              <w:t xml:space="preserve">    风险物质储存及分布情况</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2761"/>
              <w:gridCol w:w="1598"/>
              <w:gridCol w:w="1611"/>
              <w:gridCol w:w="1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427"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696"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危险物质名称</w:t>
                  </w:r>
                </w:p>
              </w:tc>
              <w:tc>
                <w:tcPr>
                  <w:tcW w:w="981"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分布情况</w:t>
                  </w:r>
                </w:p>
              </w:tc>
              <w:tc>
                <w:tcPr>
                  <w:tcW w:w="989"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最大存在量（t）</w:t>
                  </w:r>
                </w:p>
              </w:tc>
              <w:tc>
                <w:tcPr>
                  <w:tcW w:w="904"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临界量（t）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427"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696" w:type="pct"/>
                  <w:tcBorders>
                    <w:tl2br w:val="nil"/>
                    <w:tr2bl w:val="nil"/>
                  </w:tcBorders>
                  <w:noWrap w:val="0"/>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润滑油</w:t>
                  </w:r>
                </w:p>
              </w:tc>
              <w:tc>
                <w:tcPr>
                  <w:tcW w:w="981"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原料区</w:t>
                  </w:r>
                </w:p>
              </w:tc>
              <w:tc>
                <w:tcPr>
                  <w:tcW w:w="989" w:type="pct"/>
                  <w:tcBorders>
                    <w:tl2br w:val="nil"/>
                    <w:tr2bl w:val="nil"/>
                  </w:tcBorders>
                  <w:noWrap w:val="0"/>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0.05</w:t>
                  </w:r>
                </w:p>
              </w:tc>
              <w:tc>
                <w:tcPr>
                  <w:tcW w:w="904"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27"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696" w:type="pct"/>
                  <w:tcBorders>
                    <w:tl2br w:val="nil"/>
                    <w:tr2bl w:val="nil"/>
                  </w:tcBorders>
                  <w:noWrap w:val="0"/>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废润滑油</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废油桶</w:t>
                  </w:r>
                </w:p>
              </w:tc>
              <w:tc>
                <w:tcPr>
                  <w:tcW w:w="981" w:type="pct"/>
                  <w:tcBorders>
                    <w:tl2br w:val="nil"/>
                    <w:tr2bl w:val="nil"/>
                  </w:tcBorders>
                  <w:noWrap w:val="0"/>
                  <w:vAlign w:val="center"/>
                </w:tcPr>
                <w:p>
                  <w:pPr>
                    <w:spacing w:line="360" w:lineRule="exact"/>
                    <w:jc w:val="center"/>
                    <w:rPr>
                      <w:rFonts w:hint="default" w:ascii="Times New Roman" w:hAnsi="Times New Roman" w:cs="Times New Roman"/>
                      <w:color w:val="auto"/>
                      <w:szCs w:val="21"/>
                      <w:lang w:eastAsia="zh-CN"/>
                    </w:rPr>
                  </w:pPr>
                  <w:r>
                    <w:rPr>
                      <w:rFonts w:hint="eastAsia" w:cs="Times New Roman"/>
                      <w:color w:val="auto"/>
                      <w:szCs w:val="21"/>
                      <w:lang w:eastAsia="zh-CN"/>
                    </w:rPr>
                    <w:t>危废间</w:t>
                  </w:r>
                </w:p>
              </w:tc>
              <w:tc>
                <w:tcPr>
                  <w:tcW w:w="989" w:type="pct"/>
                  <w:tcBorders>
                    <w:tl2br w:val="nil"/>
                    <w:tr2bl w:val="nil"/>
                  </w:tcBorders>
                  <w:noWrap w:val="0"/>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0.05</w:t>
                  </w:r>
                </w:p>
              </w:tc>
              <w:tc>
                <w:tcPr>
                  <w:tcW w:w="904" w:type="pc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r>
          </w:tbl>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建项目风险物质最大存在量均未超过临界量，因此拟建项目环境风险较小。</w:t>
            </w:r>
          </w:p>
          <w:p>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本项目润滑油、废润滑油、</w:t>
            </w:r>
            <w:r>
              <w:rPr>
                <w:rFonts w:hint="default" w:ascii="Times New Roman" w:hAnsi="Times New Roman" w:eastAsia="宋体" w:cs="Times New Roman"/>
                <w:color w:val="auto"/>
                <w:sz w:val="24"/>
                <w:lang w:val="en-US" w:eastAsia="zh-CN"/>
              </w:rPr>
              <w:t>废油桶</w:t>
            </w:r>
            <w:r>
              <w:rPr>
                <w:rFonts w:hint="default" w:ascii="Times New Roman" w:hAnsi="Times New Roman" w:eastAsia="宋体" w:cs="Times New Roman"/>
                <w:color w:val="auto"/>
                <w:sz w:val="24"/>
              </w:rPr>
              <w:t>在</w:t>
            </w:r>
            <w:r>
              <w:rPr>
                <w:rFonts w:hint="eastAsia" w:ascii="Times New Roman" w:hAnsi="Times New Roman" w:eastAsia="宋体" w:cs="Times New Roman"/>
                <w:color w:val="auto"/>
                <w:sz w:val="24"/>
                <w:lang w:eastAsia="zh-CN"/>
              </w:rPr>
              <w:t>厂区</w:t>
            </w:r>
            <w:r>
              <w:rPr>
                <w:rFonts w:hint="default" w:ascii="Times New Roman" w:hAnsi="Times New Roman" w:eastAsia="宋体" w:cs="Times New Roman"/>
                <w:color w:val="auto"/>
                <w:sz w:val="24"/>
              </w:rPr>
              <w:t>过程中存在泄漏风险</w:t>
            </w:r>
            <w:r>
              <w:rPr>
                <w:rFonts w:hint="default" w:ascii="Times New Roman" w:hAnsi="Times New Roman" w:eastAsia="宋体" w:cs="Times New Roman"/>
                <w:color w:val="auto"/>
                <w:sz w:val="24"/>
                <w:lang w:eastAsia="zh-CN"/>
              </w:rPr>
              <w:t>。</w:t>
            </w:r>
          </w:p>
          <w:p>
            <w:pPr>
              <w:spacing w:line="500" w:lineRule="exact"/>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原料区内润滑油泄漏影响分析及处置</w:t>
            </w:r>
          </w:p>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项目原料区地面采用环氧地坪漆进行防渗，施工厚度不小于2mm，</w:t>
            </w:r>
            <w:r>
              <w:rPr>
                <w:rFonts w:hint="default" w:ascii="Times New Roman" w:hAnsi="Times New Roman" w:eastAsia="宋体" w:cs="Times New Roman"/>
                <w:color w:val="auto"/>
                <w:sz w:val="24"/>
                <w:lang w:val="zh-CN"/>
              </w:rPr>
              <w:t>设置</w:t>
            </w:r>
            <w:r>
              <w:rPr>
                <w:rFonts w:hint="default" w:ascii="Times New Roman" w:hAnsi="Times New Roman" w:eastAsia="宋体" w:cs="Times New Roman"/>
                <w:color w:val="auto"/>
                <w:sz w:val="24"/>
              </w:rPr>
              <w:t>1个</w:t>
            </w:r>
            <w:r>
              <w:rPr>
                <w:rFonts w:hint="default" w:ascii="Times New Roman" w:hAnsi="Times New Roman" w:eastAsia="宋体" w:cs="Times New Roman"/>
                <w:color w:val="auto"/>
                <w:sz w:val="24"/>
                <w:lang w:val="zh-CN"/>
              </w:rPr>
              <w:t>铁托盘，用于存放</w:t>
            </w:r>
            <w:r>
              <w:rPr>
                <w:rFonts w:hint="default" w:ascii="Times New Roman" w:hAnsi="Times New Roman" w:eastAsia="宋体" w:cs="Times New Roman"/>
                <w:color w:val="auto"/>
                <w:sz w:val="24"/>
              </w:rPr>
              <w:t>润滑油，有效防止泄漏对地下水影响。</w:t>
            </w:r>
          </w:p>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eastAsia="zh-CN"/>
              </w:rPr>
              <w:t>危废</w:t>
            </w:r>
            <w:r>
              <w:rPr>
                <w:rFonts w:hint="default" w:ascii="Times New Roman" w:hAnsi="Times New Roman" w:eastAsia="宋体" w:cs="Times New Roman"/>
                <w:color w:val="auto"/>
                <w:sz w:val="24"/>
              </w:rPr>
              <w:t>泄漏影响分析及处置</w:t>
            </w:r>
          </w:p>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eastAsia="zh-CN"/>
              </w:rPr>
              <w:t>危废</w:t>
            </w:r>
            <w:r>
              <w:rPr>
                <w:rFonts w:hint="eastAsia" w:ascii="Times New Roman" w:hAnsi="Times New Roman" w:eastAsia="宋体" w:cs="Times New Roman"/>
                <w:color w:val="auto"/>
                <w:sz w:val="24"/>
                <w:lang w:eastAsia="zh-CN"/>
              </w:rPr>
              <w:t>暂存于危废间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zh-CN"/>
              </w:rPr>
              <w:t>委托有资质单位处理</w:t>
            </w:r>
            <w:r>
              <w:rPr>
                <w:rFonts w:hint="default" w:ascii="Times New Roman" w:hAnsi="Times New Roman" w:eastAsia="宋体" w:cs="Times New Roman"/>
                <w:color w:val="auto"/>
                <w:sz w:val="24"/>
              </w:rPr>
              <w:t>。有效防止泄漏对地下水影响。</w:t>
            </w:r>
          </w:p>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）风险防范措施验收一览表</w:t>
            </w:r>
          </w:p>
          <w:p>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风险防范措施验收一览表见下表。</w:t>
            </w:r>
          </w:p>
          <w:p>
            <w:pPr>
              <w:spacing w:line="240" w:lineRule="auto"/>
              <w:jc w:val="center"/>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表</w:t>
            </w:r>
            <w:r>
              <w:rPr>
                <w:rFonts w:hint="eastAsia" w:cs="Times New Roman"/>
                <w:b/>
                <w:bCs/>
                <w:color w:val="auto"/>
                <w:sz w:val="24"/>
                <w:highlight w:val="none"/>
                <w:lang w:val="en-US" w:eastAsia="zh-CN"/>
              </w:rPr>
              <w:t>35</w:t>
            </w:r>
            <w:r>
              <w:rPr>
                <w:rFonts w:hint="default" w:ascii="Times New Roman" w:hAnsi="Times New Roman" w:eastAsia="宋体" w:cs="Times New Roman"/>
                <w:b/>
                <w:bCs/>
                <w:color w:val="auto"/>
                <w:sz w:val="24"/>
                <w:highlight w:val="none"/>
                <w:lang w:val="zh-CN" w:eastAsia="zh-CN"/>
              </w:rPr>
              <w:t xml:space="preserve">   风险防范措施验收一览表</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6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1760" w:type="dxa"/>
                  <w:noWrap w:val="0"/>
                  <w:vAlign w:val="center"/>
                </w:tcPr>
                <w:p>
                  <w:pPr>
                    <w:pStyle w:val="33"/>
                    <w:spacing w:before="24" w:after="24"/>
                    <w:ind w:firstLine="0"/>
                    <w:jc w:val="both"/>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6542" w:type="dxa"/>
                  <w:noWrap w:val="0"/>
                  <w:vAlign w:val="center"/>
                </w:tcPr>
                <w:p>
                  <w:pPr>
                    <w:pStyle w:val="33"/>
                    <w:spacing w:before="24" w:after="24"/>
                    <w:jc w:val="center"/>
                    <w:rPr>
                      <w:rFonts w:hint="default" w:ascii="Times New Roman" w:hAnsi="Times New Roman" w:cs="Times New Roman"/>
                      <w:color w:val="auto"/>
                      <w:szCs w:val="21"/>
                    </w:rPr>
                  </w:pPr>
                  <w:r>
                    <w:rPr>
                      <w:rFonts w:hint="default" w:ascii="Times New Roman" w:hAnsi="Times New Roman" w:cs="Times New Roman"/>
                      <w:color w:val="auto"/>
                      <w:szCs w:val="21"/>
                    </w:rPr>
                    <w:t>风险防范措施内容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760" w:type="dxa"/>
                  <w:vMerge w:val="restart"/>
                  <w:noWrap w:val="0"/>
                  <w:vAlign w:val="center"/>
                </w:tcPr>
                <w:p>
                  <w:pPr>
                    <w:pStyle w:val="33"/>
                    <w:spacing w:before="24" w:after="24"/>
                    <w:ind w:firstLine="0"/>
                    <w:jc w:val="both"/>
                    <w:rPr>
                      <w:rFonts w:hint="default" w:ascii="Times New Roman" w:hAnsi="Times New Roman" w:cs="Times New Roman"/>
                      <w:color w:val="auto"/>
                      <w:szCs w:val="21"/>
                    </w:rPr>
                  </w:pPr>
                  <w:r>
                    <w:rPr>
                      <w:rFonts w:hint="default" w:ascii="Times New Roman" w:hAnsi="Times New Roman" w:cs="Times New Roman"/>
                      <w:color w:val="auto"/>
                      <w:szCs w:val="21"/>
                    </w:rPr>
                    <w:t>原料区</w:t>
                  </w:r>
                </w:p>
              </w:tc>
              <w:tc>
                <w:tcPr>
                  <w:tcW w:w="6542" w:type="dxa"/>
                  <w:noWrap w:val="0"/>
                  <w:vAlign w:val="center"/>
                </w:tcPr>
                <w:p>
                  <w:pPr>
                    <w:pStyle w:val="33"/>
                    <w:spacing w:before="24" w:after="24"/>
                    <w:ind w:left="0" w:leftChars="0" w:firstLine="0" w:firstLineChars="0"/>
                    <w:jc w:val="both"/>
                    <w:rPr>
                      <w:rFonts w:hint="default" w:ascii="Times New Roman" w:hAnsi="Times New Roman" w:cs="Times New Roman"/>
                      <w:color w:val="auto"/>
                      <w:szCs w:val="21"/>
                      <w:lang w:val="zh-CN"/>
                    </w:rPr>
                  </w:pPr>
                  <w:r>
                    <w:rPr>
                      <w:rFonts w:hint="default" w:ascii="Times New Roman" w:hAnsi="Times New Roman" w:cs="Times New Roman"/>
                      <w:color w:val="auto"/>
                      <w:szCs w:val="21"/>
                    </w:rPr>
                    <w:t>地面采用15cm抗渗混凝土浇筑，设置1m×1m的铁托盘，</w:t>
                  </w:r>
                  <w:r>
                    <w:rPr>
                      <w:rFonts w:hint="default" w:ascii="Times New Roman" w:hAnsi="Times New Roman" w:cs="Times New Roman"/>
                      <w:color w:val="auto"/>
                      <w:szCs w:val="21"/>
                      <w:lang w:eastAsia="zh-CN"/>
                    </w:rPr>
                    <w:t>油类原料</w:t>
                  </w:r>
                  <w:r>
                    <w:rPr>
                      <w:rFonts w:hint="default" w:ascii="Times New Roman" w:hAnsi="Times New Roman" w:cs="Times New Roman"/>
                      <w:color w:val="auto"/>
                      <w:szCs w:val="21"/>
                    </w:rPr>
                    <w:t>置于铁托盘中，渗透系数≤10</w:t>
                  </w:r>
                  <w:r>
                    <w:rPr>
                      <w:rFonts w:hint="default" w:ascii="Times New Roman" w:hAnsi="Times New Roman" w:cs="Times New Roman"/>
                      <w:color w:val="auto"/>
                      <w:szCs w:val="21"/>
                      <w:vertAlign w:val="superscript"/>
                    </w:rPr>
                    <w:t>-10</w:t>
                  </w:r>
                  <w:r>
                    <w:rPr>
                      <w:rFonts w:hint="default" w:ascii="Times New Roman" w:hAnsi="Times New Roman" w:cs="Times New Roman"/>
                      <w:color w:val="auto"/>
                      <w:szCs w:val="21"/>
                    </w:rPr>
                    <w:t>cm/s。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1760" w:type="dxa"/>
                  <w:vMerge w:val="continue"/>
                  <w:noWrap w:val="0"/>
                  <w:vAlign w:val="center"/>
                </w:tcPr>
                <w:p>
                  <w:pPr>
                    <w:pStyle w:val="33"/>
                    <w:spacing w:before="24" w:after="24"/>
                    <w:ind w:firstLine="0"/>
                    <w:jc w:val="center"/>
                    <w:rPr>
                      <w:rFonts w:hint="default" w:ascii="Times New Roman" w:hAnsi="Times New Roman" w:cs="Times New Roman"/>
                      <w:color w:val="auto"/>
                      <w:szCs w:val="21"/>
                    </w:rPr>
                  </w:pPr>
                </w:p>
              </w:tc>
              <w:tc>
                <w:tcPr>
                  <w:tcW w:w="6542" w:type="dxa"/>
                  <w:noWrap w:val="0"/>
                  <w:vAlign w:val="center"/>
                </w:tcPr>
                <w:p>
                  <w:pPr>
                    <w:pStyle w:val="33"/>
                    <w:spacing w:before="24" w:after="24"/>
                    <w:ind w:left="0" w:leftChars="0" w:firstLine="0" w:firstLineChars="0"/>
                    <w:jc w:val="both"/>
                    <w:rPr>
                      <w:rFonts w:hint="default" w:ascii="Times New Roman" w:hAnsi="Times New Roman" w:cs="Times New Roman"/>
                      <w:color w:val="auto"/>
                      <w:szCs w:val="21"/>
                      <w:lang w:val="zh-CN"/>
                    </w:rPr>
                  </w:pPr>
                  <w:r>
                    <w:rPr>
                      <w:rFonts w:hint="default" w:ascii="Times New Roman" w:hAnsi="Times New Roman" w:cs="Times New Roman"/>
                      <w:color w:val="auto"/>
                      <w:szCs w:val="21"/>
                    </w:rPr>
                    <w:t>库房阴凉、通风。储存过程远离火种、热源。包装密封。采用防爆型照明、通风设施。禁止使用易产生火花的机械设备和工具。设置灭火器、消防沙等。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760" w:type="dxa"/>
                  <w:vMerge w:val="restart"/>
                  <w:shd w:val="clear" w:color="auto" w:fill="auto"/>
                  <w:noWrap w:val="0"/>
                  <w:vAlign w:val="center"/>
                </w:tcPr>
                <w:p>
                  <w:pPr>
                    <w:pStyle w:val="33"/>
                    <w:spacing w:before="24" w:after="24"/>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lang w:eastAsia="zh-CN"/>
                    </w:rPr>
                    <w:t>危废间</w:t>
                  </w:r>
                </w:p>
              </w:tc>
              <w:tc>
                <w:tcPr>
                  <w:tcW w:w="6542" w:type="dxa"/>
                  <w:shd w:val="clear" w:color="auto" w:fill="auto"/>
                  <w:noWrap w:val="0"/>
                  <w:vAlign w:val="center"/>
                </w:tcPr>
                <w:p>
                  <w:pPr>
                    <w:pStyle w:val="33"/>
                    <w:spacing w:before="24" w:after="24"/>
                    <w:ind w:left="0" w:leftChars="0" w:firstLine="0" w:firstLineChars="0"/>
                    <w:jc w:val="both"/>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Cs w:val="21"/>
                      <w:lang w:val="zh-CN"/>
                    </w:rPr>
                    <w:t>危废采用耐腐蚀容器收集，危废间进行防渗处理，防渗层渗透系数小于1×10</w:t>
                  </w:r>
                  <w:r>
                    <w:rPr>
                      <w:rFonts w:hint="default" w:ascii="Times New Roman" w:hAnsi="Times New Roman" w:cs="Times New Roman"/>
                      <w:color w:val="auto"/>
                      <w:szCs w:val="21"/>
                      <w:vertAlign w:val="superscript"/>
                      <w:lang w:val="zh-CN"/>
                    </w:rPr>
                    <w:t>-10</w:t>
                  </w:r>
                  <w:r>
                    <w:rPr>
                      <w:rFonts w:hint="default" w:ascii="Times New Roman" w:hAnsi="Times New Roman" w:cs="Times New Roman"/>
                      <w:color w:val="auto"/>
                      <w:szCs w:val="21"/>
                      <w:lang w:val="zh-CN"/>
                    </w:rPr>
                    <w:t>cm/s。设置事故应急砂等隋性材料吸附材料。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60" w:type="dxa"/>
                  <w:vMerge w:val="continue"/>
                  <w:noWrap w:val="0"/>
                  <w:vAlign w:val="center"/>
                </w:tcPr>
                <w:p>
                  <w:pPr>
                    <w:pStyle w:val="33"/>
                    <w:spacing w:before="24" w:after="24"/>
                    <w:ind w:firstLine="0"/>
                    <w:jc w:val="center"/>
                    <w:rPr>
                      <w:rFonts w:hint="default" w:ascii="Times New Roman" w:hAnsi="Times New Roman" w:cs="Times New Roman"/>
                      <w:color w:val="auto"/>
                      <w:szCs w:val="21"/>
                    </w:rPr>
                  </w:pPr>
                </w:p>
              </w:tc>
              <w:tc>
                <w:tcPr>
                  <w:tcW w:w="6542" w:type="dxa"/>
                  <w:shd w:val="clear" w:color="auto" w:fill="auto"/>
                  <w:noWrap w:val="0"/>
                  <w:vAlign w:val="center"/>
                </w:tcPr>
                <w:p>
                  <w:pPr>
                    <w:pStyle w:val="33"/>
                    <w:spacing w:before="24" w:after="24"/>
                    <w:ind w:left="0" w:leftChars="0"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rPr>
                    <w:t>危废间阴凉、通风。储存过程远离火种、热源。包装密封。采用防爆型照明、通风设施。禁止使用易产生火花的机械设备和工具。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760" w:type="dxa"/>
                  <w:noWrap w:val="0"/>
                  <w:vAlign w:val="center"/>
                </w:tcPr>
                <w:p>
                  <w:pPr>
                    <w:pStyle w:val="33"/>
                    <w:spacing w:before="24" w:after="24"/>
                    <w:ind w:left="0" w:leftChars="0" w:firstLine="0" w:firstLineChars="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应急预案</w:t>
                  </w:r>
                </w:p>
              </w:tc>
              <w:tc>
                <w:tcPr>
                  <w:tcW w:w="6542" w:type="dxa"/>
                  <w:noWrap w:val="0"/>
                  <w:vAlign w:val="center"/>
                </w:tcPr>
                <w:p>
                  <w:pPr>
                    <w:pStyle w:val="33"/>
                    <w:spacing w:before="24" w:after="24"/>
                    <w:ind w:left="0" w:leftChars="0" w:firstLine="0" w:firstLineChars="0"/>
                    <w:jc w:val="both"/>
                    <w:rPr>
                      <w:rFonts w:hint="default" w:ascii="Times New Roman" w:hAnsi="Times New Roman" w:cs="Times New Roman"/>
                      <w:color w:val="auto"/>
                      <w:szCs w:val="21"/>
                      <w:lang w:val="en-US" w:eastAsia="zh-CN"/>
                    </w:rPr>
                  </w:pPr>
                  <w:r>
                    <w:rPr>
                      <w:rFonts w:hint="default" w:ascii="Times New Roman" w:hAnsi="Times New Roman" w:cs="Times New Roman"/>
                      <w:snapToGrid w:val="0"/>
                      <w:color w:val="auto"/>
                      <w:szCs w:val="21"/>
                      <w:lang w:eastAsia="zh-CN"/>
                    </w:rPr>
                    <w:t>及时修编应急预案，并完成备案</w:t>
                  </w:r>
                </w:p>
              </w:tc>
            </w:tr>
          </w:tbl>
          <w:p>
            <w:pPr>
              <w:pStyle w:val="4"/>
              <w:rPr>
                <w:rFonts w:hint="default" w:ascii="Times New Roman" w:hAnsi="Times New Roman" w:cs="Times New Roman"/>
                <w:color w:val="auto"/>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highlight w:val="none"/>
        </w:rPr>
        <w:sectPr>
          <w:pgSz w:w="11905" w:h="16838"/>
          <w:pgMar w:top="1134" w:right="1531" w:bottom="1134"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17"/>
        <w:jc w:val="center"/>
        <w:outlineLvl w:val="0"/>
        <w:rPr>
          <w:rFonts w:hint="default" w:ascii="Times New Roman" w:hAnsi="Times New Roman" w:cs="Times New Roman"/>
          <w:b/>
          <w:bCs/>
          <w:snapToGrid w:val="0"/>
          <w:color w:val="auto"/>
          <w:sz w:val="30"/>
          <w:szCs w:val="30"/>
          <w:highlight w:val="none"/>
        </w:rPr>
      </w:pPr>
      <w:bookmarkStart w:id="16" w:name="_Toc3899"/>
      <w:bookmarkStart w:id="17" w:name="_Toc21891"/>
      <w:r>
        <w:rPr>
          <w:rFonts w:hint="default" w:ascii="Times New Roman" w:hAnsi="Times New Roman" w:cs="Times New Roman"/>
          <w:b/>
          <w:bCs/>
          <w:snapToGrid w:val="0"/>
          <w:color w:val="auto"/>
          <w:sz w:val="30"/>
          <w:szCs w:val="30"/>
          <w:highlight w:val="none"/>
        </w:rPr>
        <w:t>五、</w:t>
      </w:r>
      <w:bookmarkStart w:id="18" w:name="_Hlk54167917"/>
      <w:r>
        <w:rPr>
          <w:rFonts w:hint="default" w:ascii="Times New Roman" w:hAnsi="Times New Roman" w:cs="Times New Roman"/>
          <w:b/>
          <w:bCs/>
          <w:snapToGrid w:val="0"/>
          <w:color w:val="auto"/>
          <w:sz w:val="30"/>
          <w:szCs w:val="30"/>
          <w:highlight w:val="none"/>
        </w:rPr>
        <w:t>环境保护措施监督检查清单</w:t>
      </w:r>
      <w:bookmarkEnd w:id="16"/>
      <w:bookmarkEnd w:id="17"/>
      <w:bookmarkEnd w:id="18"/>
    </w:p>
    <w:tbl>
      <w:tblPr>
        <w:tblStyle w:val="20"/>
        <w:tblW w:w="8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84"/>
        <w:gridCol w:w="1462"/>
        <w:gridCol w:w="989"/>
        <w:gridCol w:w="3154"/>
        <w:gridCol w:w="2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084" w:type="dxa"/>
            <w:tcBorders>
              <w:tl2br w:val="single" w:color="auto" w:sz="4" w:space="0"/>
            </w:tcBorders>
            <w:noWrap w:val="0"/>
            <w:vAlign w:val="top"/>
          </w:tcPr>
          <w:p>
            <w:pPr>
              <w:adjustRightInd w:val="0"/>
              <w:snapToGrid w:val="0"/>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内容</w:t>
            </w:r>
          </w:p>
          <w:p>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要素</w:t>
            </w:r>
          </w:p>
        </w:tc>
        <w:tc>
          <w:tcPr>
            <w:tcW w:w="1462"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排放口(编号、</w:t>
            </w:r>
          </w:p>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名称)/污染源</w:t>
            </w:r>
          </w:p>
        </w:tc>
        <w:tc>
          <w:tcPr>
            <w:tcW w:w="989"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污染物项目</w:t>
            </w:r>
          </w:p>
        </w:tc>
        <w:tc>
          <w:tcPr>
            <w:tcW w:w="3154"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环境保护措施</w:t>
            </w:r>
          </w:p>
        </w:tc>
        <w:tc>
          <w:tcPr>
            <w:tcW w:w="2175"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5" w:hRule="atLeast"/>
          <w:jc w:val="center"/>
        </w:trPr>
        <w:tc>
          <w:tcPr>
            <w:tcW w:w="1084" w:type="dxa"/>
            <w:vMerge w:val="restart"/>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大气环境</w:t>
            </w:r>
          </w:p>
        </w:tc>
        <w:tc>
          <w:tcPr>
            <w:tcW w:w="14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上料、</w:t>
            </w:r>
            <w:r>
              <w:rPr>
                <w:rFonts w:hint="eastAsia"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lang w:eastAsia="zh-CN"/>
              </w:rPr>
              <w:t>筛分、色选、包装</w:t>
            </w:r>
            <w:r>
              <w:rPr>
                <w:rFonts w:hint="default" w:ascii="Times New Roman" w:hAnsi="Times New Roman" w:eastAsia="宋体" w:cs="Times New Roman"/>
                <w:color w:val="auto"/>
                <w:sz w:val="24"/>
                <w:szCs w:val="24"/>
                <w:highlight w:val="none"/>
                <w:lang w:val="en-US" w:eastAsia="zh-CN"/>
              </w:rPr>
              <w:t>工序废气排放口（DA00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tc>
        <w:tc>
          <w:tcPr>
            <w:tcW w:w="989" w:type="dxa"/>
            <w:noWrap w:val="0"/>
            <w:vAlign w:val="center"/>
          </w:tcPr>
          <w:p>
            <w:pPr>
              <w:snapToGrid w:val="0"/>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颗粒物</w:t>
            </w:r>
            <w:r>
              <w:rPr>
                <w:rFonts w:hint="default" w:ascii="Times New Roman" w:hAnsi="Times New Roman" w:cs="Times New Roman"/>
                <w:color w:val="auto"/>
                <w:sz w:val="24"/>
                <w:szCs w:val="24"/>
              </w:rPr>
              <w:t>（有组织）</w:t>
            </w:r>
          </w:p>
        </w:tc>
        <w:tc>
          <w:tcPr>
            <w:tcW w:w="3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上料、</w:t>
            </w:r>
            <w:r>
              <w:rPr>
                <w:rFonts w:hint="eastAsia"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lang w:eastAsia="zh-CN"/>
              </w:rPr>
              <w:t>筛分、色选、包装</w:t>
            </w:r>
            <w:r>
              <w:rPr>
                <w:rFonts w:hint="default" w:ascii="Times New Roman" w:hAnsi="Times New Roman" w:cs="Times New Roman"/>
                <w:color w:val="auto"/>
                <w:sz w:val="24"/>
                <w:szCs w:val="24"/>
                <w:lang w:val="en-US" w:eastAsia="zh-CN"/>
              </w:rPr>
              <w:t>过程产生的废气</w:t>
            </w:r>
            <w:r>
              <w:rPr>
                <w:rFonts w:hint="default" w:ascii="Times New Roman" w:hAnsi="Times New Roman" w:cs="Times New Roman"/>
                <w:color w:val="auto"/>
                <w:sz w:val="24"/>
                <w:szCs w:val="24"/>
                <w:lang w:eastAsia="zh-CN"/>
              </w:rPr>
              <w:t>经管道或者集气罩引入</w:t>
            </w:r>
            <w:r>
              <w:rPr>
                <w:rFonts w:hint="eastAsia" w:cs="Times New Roman"/>
                <w:color w:val="auto"/>
                <w:sz w:val="24"/>
                <w:szCs w:val="24"/>
                <w:lang w:val="en-US" w:eastAsia="zh-CN"/>
              </w:rPr>
              <w:t>1</w:t>
            </w:r>
            <w:r>
              <w:rPr>
                <w:rFonts w:hint="default" w:ascii="Times New Roman" w:hAnsi="Times New Roman" w:cs="Times New Roman"/>
                <w:color w:val="auto"/>
                <w:sz w:val="24"/>
                <w:szCs w:val="24"/>
                <w:lang w:eastAsia="zh-CN"/>
              </w:rPr>
              <w:t>#脉冲布袋除尘器处理（风量为</w:t>
            </w:r>
            <w:r>
              <w:rPr>
                <w:rFonts w:hint="eastAsia" w:cs="Times New Roman"/>
                <w:color w:val="auto"/>
                <w:sz w:val="24"/>
                <w:szCs w:val="24"/>
                <w:lang w:val="en-US" w:eastAsia="zh-CN"/>
              </w:rPr>
              <w:t>30</w:t>
            </w:r>
            <w:r>
              <w:rPr>
                <w:rFonts w:hint="default" w:ascii="Times New Roman" w:hAnsi="Times New Roman" w:cs="Times New Roman"/>
                <w:color w:val="auto"/>
                <w:sz w:val="24"/>
                <w:szCs w:val="24"/>
                <w:lang w:val="en-US" w:eastAsia="zh-CN"/>
              </w:rPr>
              <w:t>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/h，过滤材质为</w:t>
            </w:r>
            <w:r>
              <w:rPr>
                <w:rFonts w:hint="default" w:ascii="Times New Roman" w:hAnsi="Times New Roman" w:cs="Times New Roman"/>
                <w:color w:val="auto"/>
                <w:sz w:val="24"/>
                <w:szCs w:val="24"/>
                <w:lang w:eastAsia="zh-CN"/>
              </w:rPr>
              <w:t>覆膜涤纶针刺毡）后经15m高排气筒【DA00</w:t>
            </w:r>
            <w:r>
              <w:rPr>
                <w:rFonts w:hint="eastAsia" w:cs="Times New Roman"/>
                <w:color w:val="auto"/>
                <w:sz w:val="24"/>
                <w:szCs w:val="24"/>
                <w:lang w:val="en-US" w:eastAsia="zh-CN"/>
              </w:rPr>
              <w:t>1</w:t>
            </w:r>
            <w:r>
              <w:rPr>
                <w:rFonts w:hint="default" w:ascii="Times New Roman" w:hAnsi="Times New Roman" w:cs="Times New Roman"/>
                <w:color w:val="auto"/>
                <w:sz w:val="24"/>
                <w:szCs w:val="24"/>
                <w:lang w:eastAsia="zh-CN"/>
              </w:rPr>
              <w:t>】排放</w:t>
            </w:r>
          </w:p>
        </w:tc>
        <w:tc>
          <w:tcPr>
            <w:tcW w:w="2175" w:type="dxa"/>
            <w:noWrap w:val="0"/>
            <w:vAlign w:val="center"/>
          </w:tcPr>
          <w:p>
            <w:pPr>
              <w:adjustRightInd w:val="0"/>
              <w:spacing w:line="240"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0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p>
        </w:tc>
        <w:tc>
          <w:tcPr>
            <w:tcW w:w="14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lang w:eastAsia="zh-CN"/>
              </w:rPr>
              <w:t>碳化机</w:t>
            </w:r>
            <w:r>
              <w:rPr>
                <w:rFonts w:hint="default" w:ascii="Times New Roman" w:hAnsi="Times New Roman" w:cs="Times New Roman"/>
                <w:color w:val="auto"/>
                <w:sz w:val="24"/>
                <w:szCs w:val="24"/>
                <w:highlight w:val="none"/>
                <w:lang w:val="en-US" w:eastAsia="zh-CN"/>
              </w:rPr>
              <w:t>废气排放口（DA00</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w:t>
            </w:r>
          </w:p>
        </w:tc>
        <w:tc>
          <w:tcPr>
            <w:tcW w:w="9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颗粒物、臭气浓度</w:t>
            </w:r>
            <w:r>
              <w:rPr>
                <w:rFonts w:hint="default" w:ascii="Times New Roman" w:hAnsi="Times New Roman" w:cs="Times New Roman"/>
                <w:color w:val="auto"/>
                <w:sz w:val="24"/>
                <w:szCs w:val="24"/>
              </w:rPr>
              <w:t>（有组织）</w:t>
            </w:r>
          </w:p>
        </w:tc>
        <w:tc>
          <w:tcPr>
            <w:tcW w:w="3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lang w:eastAsia="zh-CN"/>
              </w:rPr>
              <w:t>碳化机</w:t>
            </w:r>
            <w:r>
              <w:rPr>
                <w:rFonts w:hint="default" w:ascii="Times New Roman" w:hAnsi="Times New Roman" w:cs="Times New Roman"/>
                <w:color w:val="auto"/>
                <w:sz w:val="24"/>
                <w:szCs w:val="24"/>
              </w:rPr>
              <w:t>废气经</w:t>
            </w:r>
            <w:r>
              <w:rPr>
                <w:rFonts w:hint="default" w:ascii="Times New Roman" w:hAnsi="Times New Roman" w:cs="Times New Roman"/>
                <w:color w:val="auto"/>
                <w:sz w:val="24"/>
                <w:szCs w:val="24"/>
                <w:lang w:eastAsia="zh-CN"/>
              </w:rPr>
              <w:t>烟道</w:t>
            </w:r>
            <w:r>
              <w:rPr>
                <w:rFonts w:hint="default" w:ascii="Times New Roman" w:hAnsi="Times New Roman" w:cs="Times New Roman"/>
                <w:color w:val="auto"/>
                <w:sz w:val="24"/>
                <w:szCs w:val="24"/>
              </w:rPr>
              <w:t>引入</w:t>
            </w:r>
            <w:r>
              <w:rPr>
                <w:rFonts w:hint="eastAsia" w:cs="Times New Roman"/>
                <w:color w:val="auto"/>
                <w:sz w:val="24"/>
                <w:szCs w:val="24"/>
                <w:lang w:val="en-US" w:eastAsia="zh-CN"/>
              </w:rPr>
              <w:t>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旋风除尘</w:t>
            </w:r>
            <w:r>
              <w:rPr>
                <w:rFonts w:hint="default" w:ascii="Times New Roman" w:hAnsi="Times New Roman" w:cs="Times New Roman"/>
                <w:color w:val="auto"/>
                <w:sz w:val="24"/>
                <w:szCs w:val="24"/>
                <w:lang w:val="en-US" w:eastAsia="zh-CN"/>
              </w:rPr>
              <w:t>+水浴除尘+</w:t>
            </w:r>
            <w:r>
              <w:rPr>
                <w:rFonts w:hint="eastAsia" w:cs="Times New Roman"/>
                <w:color w:val="auto"/>
                <w:sz w:val="24"/>
                <w:szCs w:val="24"/>
                <w:lang w:val="en-US" w:eastAsia="zh-CN"/>
              </w:rPr>
              <w:t>湿式静电除尘</w:t>
            </w:r>
            <w:r>
              <w:rPr>
                <w:rFonts w:hint="default" w:ascii="Times New Roman" w:hAnsi="Times New Roman" w:cs="Times New Roman"/>
                <w:color w:val="auto"/>
                <w:sz w:val="24"/>
                <w:szCs w:val="24"/>
                <w:lang w:val="en-US" w:eastAsia="zh-CN"/>
              </w:rPr>
              <w:t>除臭</w:t>
            </w:r>
            <w:r>
              <w:rPr>
                <w:rFonts w:hint="default" w:ascii="Times New Roman" w:hAnsi="Times New Roman" w:cs="Times New Roman"/>
                <w:color w:val="auto"/>
                <w:sz w:val="24"/>
                <w:szCs w:val="24"/>
                <w:lang w:eastAsia="zh-CN"/>
              </w:rPr>
              <w:t>装置</w:t>
            </w:r>
            <w:r>
              <w:rPr>
                <w:rFonts w:hint="default" w:ascii="Times New Roman" w:hAnsi="Times New Roman" w:cs="Times New Roman"/>
                <w:color w:val="auto"/>
                <w:sz w:val="24"/>
                <w:szCs w:val="24"/>
              </w:rPr>
              <w:t>处理</w:t>
            </w:r>
            <w:r>
              <w:rPr>
                <w:rFonts w:hint="default" w:ascii="Times New Roman" w:hAnsi="Times New Roman" w:cs="Times New Roman"/>
                <w:color w:val="auto"/>
                <w:sz w:val="24"/>
                <w:szCs w:val="24"/>
                <w:lang w:eastAsia="zh-CN"/>
              </w:rPr>
              <w:t>（风量为</w:t>
            </w:r>
            <w:r>
              <w:rPr>
                <w:rFonts w:hint="default" w:ascii="Times New Roman" w:hAnsi="Times New Roman" w:cs="Times New Roman"/>
                <w:color w:val="auto"/>
                <w:sz w:val="24"/>
                <w:szCs w:val="24"/>
                <w:lang w:val="en-US" w:eastAsia="zh-CN"/>
              </w:rPr>
              <w:t>10000m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后经15m</w:t>
            </w:r>
            <w:r>
              <w:rPr>
                <w:rFonts w:hint="default" w:ascii="Times New Roman" w:hAnsi="Times New Roman" w:cs="Times New Roman"/>
                <w:color w:val="auto"/>
                <w:sz w:val="24"/>
                <w:szCs w:val="24"/>
                <w:lang w:eastAsia="zh-CN"/>
              </w:rPr>
              <w:t>高</w:t>
            </w:r>
            <w:r>
              <w:rPr>
                <w:rFonts w:hint="default" w:ascii="Times New Roman" w:hAnsi="Times New Roman" w:cs="Times New Roman"/>
                <w:color w:val="auto"/>
                <w:sz w:val="24"/>
                <w:szCs w:val="24"/>
              </w:rPr>
              <w:t>排气筒【DA00</w:t>
            </w:r>
            <w:r>
              <w:rPr>
                <w:rFonts w:hint="eastAsia" w:cs="Times New Roman"/>
                <w:color w:val="auto"/>
                <w:sz w:val="24"/>
                <w:szCs w:val="24"/>
                <w:lang w:val="en-US" w:eastAsia="zh-CN"/>
              </w:rPr>
              <w:t>2</w:t>
            </w:r>
            <w:r>
              <w:rPr>
                <w:rFonts w:hint="default" w:ascii="Times New Roman" w:hAnsi="Times New Roman" w:cs="Times New Roman"/>
                <w:color w:val="auto"/>
                <w:sz w:val="24"/>
                <w:szCs w:val="24"/>
              </w:rPr>
              <w:t>】排放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颗粒物执行</w:t>
            </w:r>
            <w:r>
              <w:rPr>
                <w:rFonts w:hint="eastAsia" w:ascii="Times New Roman" w:hAnsi="Times New Roman" w:cs="Times New Roman"/>
                <w:color w:val="auto"/>
                <w:sz w:val="24"/>
                <w:szCs w:val="24"/>
                <w:highlight w:val="none"/>
                <w:lang w:val="en-US" w:eastAsia="zh-CN"/>
              </w:rPr>
              <w:t>《大气污染物综合排放标准》（GB16297-1996）表2 中有组织颗粒物排放标准120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、排放速率3.5kg/h，</w:t>
            </w:r>
            <w:r>
              <w:rPr>
                <w:rFonts w:hint="default" w:ascii="Times New Roman" w:hAnsi="Times New Roman" w:cs="Times New Roman"/>
                <w:color w:val="auto"/>
                <w:sz w:val="24"/>
                <w:szCs w:val="24"/>
                <w:highlight w:val="none"/>
                <w:lang w:val="en-US" w:eastAsia="zh-CN"/>
              </w:rPr>
              <w:t>排气筒高度不低于15m。</w:t>
            </w:r>
            <w:r>
              <w:rPr>
                <w:rFonts w:hint="eastAsia" w:ascii="Times New Roman" w:hAnsi="Times New Roman" w:cs="Times New Roman"/>
                <w:color w:val="auto"/>
                <w:sz w:val="24"/>
                <w:szCs w:val="24"/>
                <w:highlight w:val="none"/>
                <w:vertAlign w:val="baseline"/>
                <w:lang w:val="en-US" w:eastAsia="zh-CN"/>
              </w:rPr>
              <w:t>同时参照执行</w:t>
            </w:r>
            <w:r>
              <w:rPr>
                <w:rFonts w:hint="eastAsia"/>
                <w:snapToGrid w:val="0"/>
                <w:color w:val="auto"/>
                <w:kern w:val="0"/>
                <w:sz w:val="24"/>
                <w:lang w:eastAsia="zh-CN"/>
              </w:rPr>
              <w:t>关</w:t>
            </w:r>
            <w:r>
              <w:rPr>
                <w:rFonts w:hint="default" w:ascii="Times New Roman" w:hAnsi="Times New Roman" w:cs="Times New Roman"/>
                <w:snapToGrid w:val="0"/>
                <w:color w:val="auto"/>
                <w:kern w:val="0"/>
                <w:sz w:val="24"/>
                <w:lang w:eastAsia="zh-CN"/>
              </w:rPr>
              <w:t>于印发</w:t>
            </w:r>
            <w:r>
              <w:rPr>
                <w:rFonts w:hint="default" w:ascii="Times New Roman" w:hAnsi="Times New Roman" w:cs="Times New Roman"/>
                <w:color w:val="auto"/>
                <w:spacing w:val="6"/>
                <w:sz w:val="24"/>
              </w:rPr>
              <w:t>《2019 年</w:t>
            </w:r>
            <w:r>
              <w:rPr>
                <w:rFonts w:hint="eastAsia" w:ascii="Times New Roman" w:hAnsi="Times New Roman" w:cs="Times New Roman"/>
                <w:color w:val="auto"/>
                <w:spacing w:val="6"/>
                <w:sz w:val="24"/>
                <w:lang w:eastAsia="zh-CN"/>
              </w:rPr>
              <w:t>“</w:t>
            </w:r>
            <w:r>
              <w:rPr>
                <w:rFonts w:hint="default" w:ascii="Times New Roman" w:hAnsi="Times New Roman" w:cs="Times New Roman"/>
                <w:color w:val="auto"/>
                <w:spacing w:val="6"/>
                <w:sz w:val="24"/>
              </w:rPr>
              <w:t>十项</w:t>
            </w:r>
            <w:r>
              <w:rPr>
                <w:color w:val="auto"/>
                <w:spacing w:val="6"/>
                <w:sz w:val="24"/>
              </w:rPr>
              <w:t>重点工作</w:t>
            </w:r>
            <w:r>
              <w:rPr>
                <w:rFonts w:hint="eastAsia" w:ascii="Times New Roman" w:hAnsi="Times New Roman" w:cs="Times New Roman"/>
                <w:color w:val="auto"/>
                <w:spacing w:val="6"/>
                <w:sz w:val="24"/>
                <w:lang w:eastAsia="zh-CN"/>
              </w:rPr>
              <w:t>”</w:t>
            </w:r>
            <w:r>
              <w:rPr>
                <w:color w:val="auto"/>
                <w:spacing w:val="6"/>
                <w:sz w:val="24"/>
              </w:rPr>
              <w:t>工作方案》</w:t>
            </w:r>
            <w:r>
              <w:rPr>
                <w:rFonts w:hint="eastAsia"/>
                <w:color w:val="auto"/>
                <w:spacing w:val="6"/>
                <w:sz w:val="24"/>
                <w:lang w:eastAsia="zh-CN"/>
              </w:rPr>
              <w:t>的通知中陶瓷行业</w:t>
            </w:r>
            <w:r>
              <w:rPr>
                <w:rFonts w:hint="eastAsia" w:ascii="Times New Roman" w:hAnsi="Times New Roman" w:eastAsia="宋体" w:cs="Times New Roman"/>
                <w:color w:val="auto"/>
                <w:sz w:val="24"/>
                <w:szCs w:val="24"/>
                <w:highlight w:val="none"/>
                <w:lang w:val="en-US" w:eastAsia="zh-CN"/>
              </w:rPr>
              <w:t>限值要求</w:t>
            </w:r>
            <w:r>
              <w:rPr>
                <w:rFonts w:hint="eastAsia"/>
                <w:color w:val="auto"/>
                <w:spacing w:val="6"/>
                <w:sz w:val="24"/>
              </w:rPr>
              <w:t>：</w:t>
            </w:r>
            <w:r>
              <w:rPr>
                <w:rFonts w:hint="default" w:ascii="Times New Roman" w:hAnsi="Times New Roman" w:cs="Times New Roman"/>
                <w:color w:val="auto"/>
                <w:sz w:val="24"/>
                <w:szCs w:val="24"/>
                <w:highlight w:val="none"/>
                <w:lang w:val="en-US" w:eastAsia="zh-CN"/>
              </w:rPr>
              <w:t>颗粒物有组织排放限值 10mg/m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。臭气浓度执行</w:t>
            </w:r>
            <w:r>
              <w:rPr>
                <w:rFonts w:hint="default" w:ascii="Times New Roman" w:hAnsi="Times New Roman" w:cs="Times New Roman"/>
                <w:color w:val="auto"/>
                <w:kern w:val="0"/>
                <w:sz w:val="24"/>
                <w:szCs w:val="24"/>
                <w:lang w:eastAsia="zh-CN" w:bidi="ar"/>
              </w:rPr>
              <w:t>《</w:t>
            </w:r>
            <w:r>
              <w:rPr>
                <w:rFonts w:hint="default" w:ascii="Times New Roman" w:hAnsi="Times New Roman" w:cs="Times New Roman"/>
                <w:color w:val="auto"/>
                <w:sz w:val="24"/>
                <w:szCs w:val="24"/>
                <w:lang w:eastAsia="zh-CN"/>
              </w:rPr>
              <w:t>恶臭污染物排放标准</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G</w:t>
            </w:r>
            <w:r>
              <w:rPr>
                <w:rFonts w:hint="default" w:ascii="Times New Roman" w:hAnsi="Times New Roman" w:eastAsia="宋体" w:cs="Times New Roman"/>
                <w:color w:val="auto"/>
                <w:sz w:val="24"/>
                <w:szCs w:val="24"/>
              </w:rPr>
              <w:t>B</w:t>
            </w:r>
            <w:r>
              <w:rPr>
                <w:rFonts w:hint="default" w:ascii="Times New Roman" w:hAnsi="Times New Roman" w:cs="Times New Roman"/>
                <w:color w:val="auto"/>
                <w:sz w:val="24"/>
                <w:szCs w:val="24"/>
                <w:lang w:val="en-US" w:eastAsia="zh-CN"/>
              </w:rPr>
              <w:t>14554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93</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eastAsia="zh-CN"/>
              </w:rPr>
              <w:t>有</w:t>
            </w:r>
            <w:r>
              <w:rPr>
                <w:rFonts w:hint="default" w:ascii="Times New Roman" w:hAnsi="Times New Roman" w:eastAsia="宋体" w:cs="Times New Roman"/>
                <w:color w:val="auto"/>
                <w:sz w:val="24"/>
                <w:szCs w:val="24"/>
                <w:lang w:eastAsia="zh-CN"/>
              </w:rPr>
              <w:t>组织</w:t>
            </w:r>
            <w:r>
              <w:rPr>
                <w:rFonts w:hint="default" w:ascii="Times New Roman" w:hAnsi="Times New Roman" w:cs="Times New Roman"/>
                <w:color w:val="auto"/>
                <w:sz w:val="24"/>
                <w:szCs w:val="24"/>
                <w:lang w:eastAsia="zh-CN"/>
              </w:rPr>
              <w:t>臭气浓度</w:t>
            </w:r>
            <w:r>
              <w:rPr>
                <w:rFonts w:hint="default" w:ascii="Times New Roman" w:hAnsi="Times New Roman" w:cs="Times New Roman"/>
                <w:color w:val="auto"/>
                <w:sz w:val="24"/>
                <w:szCs w:val="24"/>
                <w:lang w:val="en-US" w:eastAsia="zh-CN"/>
              </w:rPr>
              <w:t>2000</w:t>
            </w:r>
            <w:r>
              <w:rPr>
                <w:rFonts w:hint="default" w:ascii="Times New Roman" w:hAnsi="Times New Roman" w:cs="Times New Roman"/>
                <w:color w:val="auto"/>
                <w:kern w:val="0"/>
                <w:sz w:val="24"/>
                <w:szCs w:val="24"/>
                <w:lang w:val="en-US" w:eastAsia="zh-CN" w:bidi="ar"/>
              </w:rPr>
              <w:t>无量纲</w:t>
            </w:r>
            <w:r>
              <w:rPr>
                <w:rFonts w:hint="default" w:ascii="Times New Roman" w:hAnsi="Times New Roman" w:eastAsia="宋体" w:cs="Times New Roman"/>
                <w:color w:val="auto"/>
                <w:sz w:val="24"/>
                <w:szCs w:val="24"/>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084" w:type="dxa"/>
            <w:vMerge w:val="continue"/>
            <w:noWrap w:val="0"/>
            <w:vAlign w:val="center"/>
          </w:tcPr>
          <w:p>
            <w:pPr>
              <w:adjustRightInd w:val="0"/>
              <w:snapToGrid w:val="0"/>
              <w:jc w:val="center"/>
              <w:rPr>
                <w:rFonts w:hint="default" w:ascii="Times New Roman" w:hAnsi="Times New Roman" w:cs="Times New Roman"/>
                <w:color w:val="auto"/>
                <w:sz w:val="24"/>
                <w:szCs w:val="24"/>
                <w:highlight w:val="none"/>
              </w:rPr>
            </w:pPr>
          </w:p>
        </w:tc>
        <w:tc>
          <w:tcPr>
            <w:tcW w:w="1462" w:type="dxa"/>
            <w:tcBorders>
              <w:bottom w:val="single" w:color="auto" w:sz="4" w:space="0"/>
            </w:tcBorders>
            <w:noWrap w:val="0"/>
            <w:vAlign w:val="center"/>
          </w:tcPr>
          <w:p>
            <w:pPr>
              <w:snapToGrid w:val="0"/>
              <w:spacing w:line="240" w:lineRule="auto"/>
              <w:jc w:val="center"/>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上料、</w:t>
            </w:r>
            <w:r>
              <w:rPr>
                <w:rFonts w:hint="eastAsia" w:cs="Times New Roman"/>
                <w:color w:val="auto"/>
                <w:sz w:val="24"/>
                <w:szCs w:val="24"/>
                <w:highlight w:val="none"/>
                <w:lang w:val="en-US" w:eastAsia="zh-CN"/>
              </w:rPr>
              <w:t>皮带运输、</w:t>
            </w:r>
            <w:r>
              <w:rPr>
                <w:rFonts w:hint="default" w:ascii="Times New Roman" w:hAnsi="Times New Roman" w:eastAsia="宋体" w:cs="Times New Roman"/>
                <w:color w:val="auto"/>
                <w:sz w:val="24"/>
                <w:szCs w:val="24"/>
                <w:highlight w:val="none"/>
                <w:lang w:val="en-US" w:eastAsia="zh-CN"/>
              </w:rPr>
              <w:t>布料</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lang w:eastAsia="zh-CN"/>
              </w:rPr>
              <w:t>筛分、色选、包装</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工序</w:t>
            </w:r>
            <w:r>
              <w:rPr>
                <w:rFonts w:hint="default" w:ascii="Times New Roman" w:hAnsi="Times New Roman" w:cs="Times New Roman"/>
                <w:b w:val="0"/>
                <w:bCs w:val="0"/>
                <w:color w:val="auto"/>
                <w:sz w:val="24"/>
                <w:szCs w:val="24"/>
                <w:highlight w:val="none"/>
                <w:lang w:val="en-US" w:eastAsia="zh-CN"/>
              </w:rPr>
              <w:t>未被收集的无组织</w:t>
            </w:r>
            <w:r>
              <w:rPr>
                <w:rFonts w:hint="default" w:ascii="Times New Roman" w:hAnsi="Times New Roman" w:eastAsia="宋体" w:cs="Times New Roman"/>
                <w:b w:val="0"/>
                <w:bCs w:val="0"/>
                <w:color w:val="auto"/>
                <w:sz w:val="24"/>
                <w:szCs w:val="24"/>
                <w:highlight w:val="none"/>
                <w:lang w:val="en-US" w:eastAsia="zh-CN"/>
              </w:rPr>
              <w:t>颗粒物，</w:t>
            </w:r>
            <w:r>
              <w:rPr>
                <w:rFonts w:hint="default" w:ascii="Times New Roman" w:hAnsi="Times New Roman" w:cs="Times New Roman"/>
                <w:b w:val="0"/>
                <w:bCs w:val="0"/>
                <w:color w:val="auto"/>
                <w:sz w:val="24"/>
                <w:szCs w:val="24"/>
                <w:highlight w:val="none"/>
                <w:lang w:val="en-US" w:eastAsia="zh-CN"/>
              </w:rPr>
              <w:t>原料装卸堆存过程产生的颗粒物</w:t>
            </w:r>
          </w:p>
        </w:tc>
        <w:tc>
          <w:tcPr>
            <w:tcW w:w="989" w:type="dxa"/>
            <w:noWrap w:val="0"/>
            <w:vAlign w:val="center"/>
          </w:tcPr>
          <w:p>
            <w:pPr>
              <w:snapToGrid w:val="0"/>
              <w:spacing w:line="240"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颗粒物</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无</w:t>
            </w:r>
            <w:r>
              <w:rPr>
                <w:rFonts w:hint="default" w:ascii="Times New Roman" w:hAnsi="Times New Roman" w:cs="Times New Roman"/>
                <w:color w:val="auto"/>
                <w:sz w:val="24"/>
                <w:szCs w:val="24"/>
              </w:rPr>
              <w:t>组织）</w:t>
            </w:r>
          </w:p>
        </w:tc>
        <w:tc>
          <w:tcPr>
            <w:tcW w:w="3154" w:type="dxa"/>
            <w:noWrap w:val="0"/>
            <w:vAlign w:val="center"/>
          </w:tcPr>
          <w:p>
            <w:pPr>
              <w:adjustRightInd w:val="0"/>
              <w:snapToGrid w:val="0"/>
              <w:spacing w:line="240" w:lineRule="auto"/>
              <w:jc w:val="center"/>
              <w:rPr>
                <w:rFonts w:hint="default" w:ascii="Times New Roman" w:hAnsi="Times New Roman" w:cs="Times New Roman"/>
                <w:snapToGrid w:val="0"/>
                <w:color w:val="auto"/>
                <w:kern w:val="0"/>
                <w:sz w:val="24"/>
                <w:szCs w:val="24"/>
                <w:lang w:val="en-US" w:eastAsia="zh-CN"/>
              </w:rPr>
            </w:pPr>
            <w:r>
              <w:rPr>
                <w:rFonts w:hint="default" w:ascii="Times New Roman" w:hAnsi="Times New Roman" w:cs="Times New Roman"/>
                <w:snapToGrid w:val="0"/>
                <w:color w:val="auto"/>
                <w:kern w:val="0"/>
                <w:sz w:val="24"/>
                <w:szCs w:val="24"/>
                <w:lang w:eastAsia="zh-CN"/>
              </w:rPr>
              <w:t>采取原料车间喷淋降尘、密闭车间沉降</w:t>
            </w:r>
          </w:p>
        </w:tc>
        <w:tc>
          <w:tcPr>
            <w:tcW w:w="2175" w:type="dxa"/>
            <w:noWrap w:val="0"/>
            <w:vAlign w:val="center"/>
          </w:tcPr>
          <w:p>
            <w:pPr>
              <w:adjustRightIn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highlight w:val="none"/>
                <w:lang w:val="en-US" w:eastAsia="zh-CN"/>
              </w:rPr>
              <w:t>执行</w:t>
            </w:r>
            <w:r>
              <w:rPr>
                <w:rFonts w:hint="eastAsia" w:ascii="Times New Roman" w:hAnsi="Times New Roman" w:cs="Times New Roman"/>
                <w:color w:val="auto"/>
                <w:sz w:val="24"/>
                <w:szCs w:val="24"/>
                <w:highlight w:val="none"/>
                <w:lang w:val="en-US" w:eastAsia="zh-CN"/>
              </w:rPr>
              <w:t>《大气污染物综合排放标准》（GB16297-1996）表2 中</w:t>
            </w:r>
            <w:r>
              <w:rPr>
                <w:rFonts w:hint="eastAsia" w:cs="Times New Roman"/>
                <w:color w:val="auto"/>
                <w:sz w:val="24"/>
                <w:szCs w:val="24"/>
                <w:highlight w:val="none"/>
                <w:lang w:val="en-US" w:eastAsia="zh-CN"/>
              </w:rPr>
              <w:t>无</w:t>
            </w:r>
            <w:r>
              <w:rPr>
                <w:rFonts w:hint="eastAsia" w:ascii="Times New Roman" w:hAnsi="Times New Roman" w:cs="Times New Roman"/>
                <w:color w:val="auto"/>
                <w:sz w:val="24"/>
                <w:szCs w:val="24"/>
                <w:highlight w:val="none"/>
                <w:lang w:val="en-US" w:eastAsia="zh-CN"/>
              </w:rPr>
              <w:t>组织颗粒物排放标准1</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mg/m</w:t>
            </w:r>
            <w:r>
              <w:rPr>
                <w:rFonts w:hint="default" w:ascii="Times New Roman" w:hAnsi="Times New Roman" w:cs="Times New Roman"/>
                <w:color w:val="auto"/>
                <w:sz w:val="24"/>
                <w:szCs w:val="24"/>
                <w:highlight w:val="none"/>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084" w:type="dxa"/>
            <w:vMerge w:val="continue"/>
            <w:noWrap w:val="0"/>
            <w:vAlign w:val="center"/>
          </w:tcPr>
          <w:p>
            <w:pPr>
              <w:adjustRightInd w:val="0"/>
              <w:snapToGrid w:val="0"/>
              <w:jc w:val="center"/>
              <w:rPr>
                <w:rFonts w:hint="default" w:ascii="Times New Roman" w:hAnsi="Times New Roman" w:cs="Times New Roman"/>
                <w:color w:val="auto"/>
                <w:sz w:val="24"/>
                <w:szCs w:val="24"/>
                <w:highlight w:val="none"/>
              </w:rPr>
            </w:pPr>
          </w:p>
        </w:tc>
        <w:tc>
          <w:tcPr>
            <w:tcW w:w="1462" w:type="dxa"/>
            <w:tcBorders>
              <w:bottom w:val="single" w:color="auto" w:sz="4" w:space="0"/>
            </w:tcBorders>
            <w:noWrap w:val="0"/>
            <w:vAlign w:val="center"/>
          </w:tcPr>
          <w:p>
            <w:pPr>
              <w:snapToGrid w:val="0"/>
              <w:spacing w:line="240" w:lineRule="auto"/>
              <w:jc w:val="center"/>
              <w:rPr>
                <w:rFonts w:hint="default" w:ascii="Times New Roman" w:hAnsi="Times New Roman" w:cs="Times New Roman"/>
                <w:b w:val="0"/>
                <w:bCs w:val="0"/>
                <w:color w:val="auto"/>
                <w:sz w:val="24"/>
                <w:szCs w:val="24"/>
                <w:highlight w:val="none"/>
                <w:lang w:val="en-US" w:eastAsia="zh-CN"/>
              </w:rPr>
            </w:pPr>
            <w:r>
              <w:rPr>
                <w:rFonts w:hint="eastAsia" w:cs="Times New Roman"/>
                <w:color w:val="auto"/>
                <w:sz w:val="24"/>
                <w:szCs w:val="24"/>
                <w:highlight w:val="none"/>
                <w:lang w:val="en-US" w:eastAsia="zh-CN"/>
              </w:rPr>
              <w:t>碳化</w:t>
            </w:r>
            <w:r>
              <w:rPr>
                <w:rFonts w:hint="default" w:ascii="Times New Roman" w:hAnsi="Times New Roman" w:cs="Times New Roman"/>
                <w:color w:val="auto"/>
                <w:sz w:val="24"/>
                <w:szCs w:val="24"/>
                <w:highlight w:val="none"/>
                <w:lang w:val="en-US" w:eastAsia="zh-CN"/>
              </w:rPr>
              <w:t>工序</w:t>
            </w:r>
            <w:r>
              <w:rPr>
                <w:rFonts w:hint="default" w:ascii="Times New Roman" w:hAnsi="Times New Roman" w:cs="Times New Roman"/>
                <w:b w:val="0"/>
                <w:bCs w:val="0"/>
                <w:color w:val="auto"/>
                <w:sz w:val="24"/>
                <w:szCs w:val="24"/>
                <w:highlight w:val="none"/>
                <w:lang w:val="en-US" w:eastAsia="zh-CN"/>
              </w:rPr>
              <w:t>未被收集的无组织臭气浓度，原料装卸堆存过程产生的</w:t>
            </w:r>
            <w:r>
              <w:rPr>
                <w:rFonts w:hint="eastAsia" w:cs="Times New Roman"/>
                <w:b w:val="0"/>
                <w:bCs w:val="0"/>
                <w:color w:val="auto"/>
                <w:sz w:val="24"/>
                <w:szCs w:val="24"/>
                <w:highlight w:val="none"/>
                <w:lang w:val="en-US" w:eastAsia="zh-CN"/>
              </w:rPr>
              <w:t>无组织</w:t>
            </w:r>
            <w:r>
              <w:rPr>
                <w:rFonts w:hint="default" w:ascii="Times New Roman" w:hAnsi="Times New Roman" w:cs="Times New Roman"/>
                <w:b w:val="0"/>
                <w:bCs w:val="0"/>
                <w:color w:val="auto"/>
                <w:sz w:val="24"/>
                <w:szCs w:val="24"/>
                <w:highlight w:val="none"/>
                <w:lang w:val="en-US" w:eastAsia="zh-CN"/>
              </w:rPr>
              <w:t>臭气浓度</w:t>
            </w:r>
          </w:p>
        </w:tc>
        <w:tc>
          <w:tcPr>
            <w:tcW w:w="989" w:type="dxa"/>
            <w:noWrap w:val="0"/>
            <w:vAlign w:val="center"/>
          </w:tcPr>
          <w:p>
            <w:pPr>
              <w:snapToGrid w:val="0"/>
              <w:spacing w:line="240"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臭气浓度</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无</w:t>
            </w:r>
            <w:r>
              <w:rPr>
                <w:rFonts w:hint="default" w:ascii="Times New Roman" w:hAnsi="Times New Roman" w:cs="Times New Roman"/>
                <w:color w:val="auto"/>
                <w:sz w:val="24"/>
                <w:szCs w:val="24"/>
              </w:rPr>
              <w:t>组织）</w:t>
            </w:r>
          </w:p>
        </w:tc>
        <w:tc>
          <w:tcPr>
            <w:tcW w:w="3154" w:type="dxa"/>
            <w:noWrap w:val="0"/>
            <w:vAlign w:val="center"/>
          </w:tcPr>
          <w:p>
            <w:pPr>
              <w:adjustRightInd w:val="0"/>
              <w:snapToGrid w:val="0"/>
              <w:spacing w:line="240" w:lineRule="auto"/>
              <w:jc w:val="center"/>
              <w:rPr>
                <w:rFonts w:hint="default" w:ascii="Times New Roman" w:hAnsi="Times New Roman" w:cs="Times New Roman"/>
                <w:snapToGrid w:val="0"/>
                <w:color w:val="auto"/>
                <w:kern w:val="0"/>
                <w:sz w:val="24"/>
                <w:szCs w:val="24"/>
                <w:lang w:val="en-US" w:eastAsia="zh-CN"/>
              </w:rPr>
            </w:pPr>
            <w:r>
              <w:rPr>
                <w:rFonts w:hint="default" w:ascii="Times New Roman" w:hAnsi="Times New Roman" w:cs="Times New Roman"/>
                <w:b w:val="0"/>
                <w:bCs w:val="0"/>
                <w:color w:val="auto"/>
                <w:sz w:val="24"/>
                <w:szCs w:val="24"/>
                <w:highlight w:val="none"/>
                <w:lang w:val="en-US" w:eastAsia="zh-CN"/>
              </w:rPr>
              <w:t>定期喷洒生物除臭剂方式处理</w:t>
            </w:r>
          </w:p>
        </w:tc>
        <w:tc>
          <w:tcPr>
            <w:tcW w:w="2175" w:type="dxa"/>
            <w:noWrap w:val="0"/>
            <w:vAlign w:val="center"/>
          </w:tcPr>
          <w:p>
            <w:pPr>
              <w:adjustRightInd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kern w:val="0"/>
                <w:sz w:val="24"/>
                <w:szCs w:val="24"/>
                <w:lang w:eastAsia="zh-CN" w:bidi="ar"/>
              </w:rPr>
              <w:t>《</w:t>
            </w:r>
            <w:r>
              <w:rPr>
                <w:rFonts w:hint="default" w:ascii="Times New Roman" w:hAnsi="Times New Roman" w:cs="Times New Roman"/>
                <w:color w:val="auto"/>
                <w:sz w:val="24"/>
                <w:szCs w:val="24"/>
                <w:lang w:eastAsia="zh-CN"/>
              </w:rPr>
              <w:t>恶臭污染物排放标准</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G</w:t>
            </w:r>
            <w:r>
              <w:rPr>
                <w:rFonts w:hint="default" w:ascii="Times New Roman" w:hAnsi="Times New Roman" w:eastAsia="宋体" w:cs="Times New Roman"/>
                <w:color w:val="auto"/>
                <w:sz w:val="24"/>
                <w:szCs w:val="24"/>
              </w:rPr>
              <w:t>B</w:t>
            </w:r>
            <w:r>
              <w:rPr>
                <w:rFonts w:hint="default" w:ascii="Times New Roman" w:hAnsi="Times New Roman" w:cs="Times New Roman"/>
                <w:color w:val="auto"/>
                <w:sz w:val="24"/>
                <w:szCs w:val="24"/>
                <w:lang w:val="en-US" w:eastAsia="zh-CN"/>
              </w:rPr>
              <w:t>14554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93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无组织</w:t>
            </w:r>
            <w:r>
              <w:rPr>
                <w:rFonts w:hint="default" w:ascii="Times New Roman" w:hAnsi="Times New Roman" w:cs="Times New Roman"/>
                <w:color w:val="auto"/>
                <w:sz w:val="24"/>
                <w:szCs w:val="24"/>
                <w:lang w:eastAsia="zh-CN"/>
              </w:rPr>
              <w:t>臭气浓度</w:t>
            </w: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kern w:val="0"/>
                <w:sz w:val="24"/>
                <w:szCs w:val="24"/>
                <w:lang w:val="en-US" w:eastAsia="zh-CN" w:bidi="ar"/>
              </w:rPr>
              <w:t>无量纲</w:t>
            </w:r>
            <w:r>
              <w:rPr>
                <w:rFonts w:hint="default" w:ascii="Times New Roman" w:hAnsi="Times New Roman" w:eastAsia="宋体" w:cs="Times New Roman"/>
                <w:color w:val="auto"/>
                <w:sz w:val="24"/>
                <w:szCs w:val="24"/>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084"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地表水环境</w:t>
            </w:r>
          </w:p>
        </w:tc>
        <w:tc>
          <w:tcPr>
            <w:tcW w:w="1462"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cs="Times New Roman"/>
                <w:snapToGrid w:val="0"/>
                <w:color w:val="auto"/>
                <w:kern w:val="0"/>
                <w:sz w:val="24"/>
                <w:szCs w:val="24"/>
                <w:lang w:val="en-US" w:eastAsia="zh-CN"/>
              </w:rPr>
              <w:t>/</w:t>
            </w:r>
          </w:p>
        </w:tc>
        <w:tc>
          <w:tcPr>
            <w:tcW w:w="989" w:type="dxa"/>
            <w:noWrap w:val="0"/>
            <w:vAlign w:val="center"/>
          </w:tcPr>
          <w:p>
            <w:pPr>
              <w:adjustRightInd w:val="0"/>
              <w:snapToGrid w:val="0"/>
              <w:jc w:val="center"/>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cs="Times New Roman"/>
                <w:snapToGrid w:val="0"/>
                <w:color w:val="auto"/>
                <w:kern w:val="0"/>
                <w:sz w:val="24"/>
                <w:szCs w:val="24"/>
                <w:lang w:val="en-US" w:eastAsia="zh-CN"/>
              </w:rPr>
              <w:t>/</w:t>
            </w:r>
          </w:p>
        </w:tc>
        <w:tc>
          <w:tcPr>
            <w:tcW w:w="3154" w:type="dxa"/>
            <w:noWrap w:val="0"/>
            <w:vAlign w:val="center"/>
          </w:tcPr>
          <w:p>
            <w:pPr>
              <w:adjustRightInd w:val="0"/>
              <w:snapToGrid w:val="0"/>
              <w:jc w:val="center"/>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cs="Times New Roman"/>
                <w:snapToGrid w:val="0"/>
                <w:color w:val="auto"/>
                <w:kern w:val="0"/>
                <w:sz w:val="24"/>
                <w:szCs w:val="24"/>
                <w:lang w:val="en-US" w:eastAsia="zh-CN"/>
              </w:rPr>
              <w:t>/</w:t>
            </w:r>
          </w:p>
        </w:tc>
        <w:tc>
          <w:tcPr>
            <w:tcW w:w="2175" w:type="dxa"/>
            <w:noWrap w:val="0"/>
            <w:vAlign w:val="center"/>
          </w:tcPr>
          <w:p>
            <w:pPr>
              <w:adjustRightInd w:val="0"/>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1084"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声环境</w:t>
            </w:r>
          </w:p>
        </w:tc>
        <w:tc>
          <w:tcPr>
            <w:tcW w:w="1462" w:type="dxa"/>
            <w:noWrap w:val="0"/>
            <w:vAlign w:val="center"/>
          </w:tcPr>
          <w:p>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设备</w:t>
            </w:r>
            <w:r>
              <w:rPr>
                <w:rFonts w:hint="default" w:ascii="Times New Roman" w:hAnsi="Times New Roman" w:cs="Times New Roman"/>
                <w:color w:val="auto"/>
                <w:sz w:val="24"/>
                <w:szCs w:val="24"/>
                <w:highlight w:val="none"/>
              </w:rPr>
              <w:t>运行产生的噪声</w:t>
            </w:r>
          </w:p>
        </w:tc>
        <w:tc>
          <w:tcPr>
            <w:tcW w:w="989" w:type="dxa"/>
            <w:noWrap w:val="0"/>
            <w:vAlign w:val="center"/>
          </w:tcPr>
          <w:p>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连续等效A声级</w:t>
            </w:r>
          </w:p>
        </w:tc>
        <w:tc>
          <w:tcPr>
            <w:tcW w:w="3154"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采用低噪声设备、</w:t>
            </w:r>
            <w:r>
              <w:rPr>
                <w:rFonts w:hint="default" w:ascii="Times New Roman" w:hAnsi="Times New Roman" w:eastAsia="宋体" w:cs="Times New Roman"/>
                <w:color w:val="auto"/>
                <w:sz w:val="24"/>
                <w:szCs w:val="24"/>
                <w:highlight w:val="none"/>
                <w:lang w:val="en-US" w:eastAsia="zh-CN"/>
              </w:rPr>
              <w:t>基础减震</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建筑隔声、</w:t>
            </w:r>
            <w:r>
              <w:rPr>
                <w:rFonts w:hint="default" w:ascii="Times New Roman" w:hAnsi="Times New Roman" w:eastAsia="宋体" w:cs="Times New Roman"/>
                <w:color w:val="auto"/>
                <w:sz w:val="24"/>
                <w:szCs w:val="24"/>
                <w:highlight w:val="none"/>
              </w:rPr>
              <w:t>距离衰减</w:t>
            </w:r>
            <w:r>
              <w:rPr>
                <w:rFonts w:hint="default" w:ascii="Times New Roman" w:hAnsi="Times New Roman" w:cs="Times New Roman"/>
                <w:color w:val="auto"/>
                <w:sz w:val="24"/>
                <w:szCs w:val="24"/>
                <w:highlight w:val="none"/>
                <w:lang w:eastAsia="zh-CN"/>
              </w:rPr>
              <w:t>等</w:t>
            </w:r>
          </w:p>
        </w:tc>
        <w:tc>
          <w:tcPr>
            <w:tcW w:w="2175" w:type="dxa"/>
            <w:noWrap w:val="0"/>
            <w:vAlign w:val="center"/>
          </w:tcPr>
          <w:p>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《工业企业厂界环境噪声排放标准》（GB12348-2008）</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8" w:hRule="atLeast"/>
          <w:jc w:val="center"/>
        </w:trPr>
        <w:tc>
          <w:tcPr>
            <w:tcW w:w="1084"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固体废物</w:t>
            </w:r>
          </w:p>
        </w:tc>
        <w:tc>
          <w:tcPr>
            <w:tcW w:w="7780" w:type="dxa"/>
            <w:gridSpan w:val="4"/>
            <w:noWrap w:val="0"/>
            <w:vAlign w:val="center"/>
          </w:tcPr>
          <w:p>
            <w:pPr>
              <w:adjustRightInd w:val="0"/>
              <w:snapToGrid w:val="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一般固废；除尘灰</w:t>
            </w:r>
            <w:r>
              <w:rPr>
                <w:rFonts w:hint="eastAsia" w:cs="Times New Roman"/>
                <w:color w:val="auto"/>
                <w:sz w:val="24"/>
                <w:szCs w:val="24"/>
                <w:highlight w:val="none"/>
                <w:lang w:eastAsia="zh-CN"/>
              </w:rPr>
              <w:t>即产即清，</w:t>
            </w:r>
            <w:r>
              <w:rPr>
                <w:rFonts w:hint="default" w:ascii="Times New Roman" w:hAnsi="Times New Roman" w:eastAsia="宋体" w:cs="Times New Roman"/>
                <w:color w:val="auto"/>
                <w:sz w:val="24"/>
                <w:szCs w:val="24"/>
                <w:highlight w:val="none"/>
                <w:lang w:eastAsia="zh-CN"/>
              </w:rPr>
              <w:t>集中收集外售饲料厂</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未</w:t>
            </w:r>
            <w:r>
              <w:rPr>
                <w:rFonts w:hint="eastAsia" w:cs="Times New Roman"/>
                <w:color w:val="auto"/>
                <w:sz w:val="24"/>
                <w:szCs w:val="24"/>
                <w:highlight w:val="none"/>
                <w:lang w:eastAsia="zh-CN"/>
              </w:rPr>
              <w:t>碳化</w:t>
            </w:r>
            <w:r>
              <w:rPr>
                <w:rFonts w:hint="default" w:ascii="Times New Roman" w:hAnsi="Times New Roman" w:eastAsia="宋体" w:cs="Times New Roman"/>
                <w:color w:val="auto"/>
                <w:sz w:val="24"/>
                <w:szCs w:val="24"/>
                <w:highlight w:val="none"/>
                <w:lang w:eastAsia="zh-CN"/>
              </w:rPr>
              <w:t>充分的杂质</w:t>
            </w:r>
            <w:r>
              <w:rPr>
                <w:rFonts w:hint="eastAsia" w:ascii="Times New Roman" w:hAnsi="Times New Roman" w:eastAsia="宋体" w:cs="Times New Roman"/>
                <w:color w:val="auto"/>
                <w:sz w:val="24"/>
                <w:highlight w:val="none"/>
                <w:lang w:val="en-US" w:eastAsia="zh-CN"/>
              </w:rPr>
              <w:t>即产即清，</w:t>
            </w:r>
            <w:r>
              <w:rPr>
                <w:rFonts w:hint="default" w:ascii="Times New Roman" w:hAnsi="Times New Roman" w:eastAsia="宋体" w:cs="Times New Roman"/>
                <w:color w:val="auto"/>
                <w:sz w:val="24"/>
                <w:highlight w:val="none"/>
                <w:lang w:val="en-US" w:eastAsia="zh-CN"/>
              </w:rPr>
              <w:t>集中收集，</w:t>
            </w:r>
            <w:r>
              <w:rPr>
                <w:rFonts w:hint="eastAsia" w:ascii="Times New Roman" w:hAnsi="Times New Roman" w:eastAsia="宋体" w:cs="Times New Roman"/>
                <w:color w:val="auto"/>
                <w:sz w:val="24"/>
                <w:highlight w:val="none"/>
                <w:lang w:val="en-US" w:eastAsia="zh-CN"/>
              </w:rPr>
              <w:t>回用于生产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废布袋</w:t>
            </w:r>
            <w:r>
              <w:rPr>
                <w:rFonts w:hint="eastAsia" w:cs="Times New Roman"/>
                <w:color w:val="auto"/>
                <w:sz w:val="24"/>
                <w:szCs w:val="24"/>
                <w:highlight w:val="none"/>
                <w:lang w:eastAsia="zh-CN"/>
              </w:rPr>
              <w:t>即产即清，</w:t>
            </w:r>
            <w:r>
              <w:rPr>
                <w:rFonts w:hint="default" w:ascii="Times New Roman" w:hAnsi="Times New Roman" w:eastAsia="宋体" w:cs="Times New Roman"/>
                <w:color w:val="auto"/>
                <w:sz w:val="24"/>
                <w:szCs w:val="24"/>
                <w:highlight w:val="none"/>
              </w:rPr>
              <w:t>厂家定期回收</w:t>
            </w:r>
            <w:r>
              <w:rPr>
                <w:rFonts w:hint="eastAsia" w:cs="Times New Roman"/>
                <w:color w:val="auto"/>
                <w:sz w:val="24"/>
                <w:szCs w:val="24"/>
                <w:highlight w:val="none"/>
                <w:lang w:eastAsia="zh-CN"/>
              </w:rPr>
              <w:t>；职工生活垃圾即产即清，交环卫部门统一处理</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危险废物：废润滑油、</w:t>
            </w:r>
            <w:r>
              <w:rPr>
                <w:rFonts w:hint="default" w:ascii="Times New Roman" w:hAnsi="Times New Roman" w:eastAsia="宋体" w:cs="Times New Roman"/>
                <w:color w:val="auto"/>
                <w:sz w:val="24"/>
                <w:szCs w:val="24"/>
                <w:highlight w:val="none"/>
                <w:lang w:eastAsia="zh-CN"/>
              </w:rPr>
              <w:t>废油桶</w:t>
            </w:r>
            <w:r>
              <w:rPr>
                <w:rFonts w:hint="eastAsia" w:cs="Times New Roman"/>
                <w:color w:val="auto"/>
                <w:sz w:val="24"/>
                <w:szCs w:val="24"/>
                <w:highlight w:val="none"/>
                <w:lang w:eastAsia="zh-CN"/>
              </w:rPr>
              <w:t>、湿式静电除尘装置产生的废油即产即清，</w:t>
            </w:r>
            <w:r>
              <w:rPr>
                <w:rFonts w:hint="default" w:ascii="Times New Roman" w:hAnsi="Times New Roman" w:eastAsia="宋体" w:cs="Times New Roman"/>
                <w:color w:val="auto"/>
                <w:sz w:val="24"/>
                <w:szCs w:val="24"/>
                <w:highlight w:val="none"/>
              </w:rPr>
              <w:t>分别集中收集，用耐腐蚀的容器收集后加盖封存，交有资质单位处置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3" w:hRule="atLeast"/>
          <w:jc w:val="center"/>
        </w:trPr>
        <w:tc>
          <w:tcPr>
            <w:tcW w:w="1084" w:type="dxa"/>
            <w:noWrap w:val="0"/>
            <w:vAlign w:val="center"/>
          </w:tcPr>
          <w:p>
            <w:pPr>
              <w:widowControl/>
              <w:jc w:val="center"/>
              <w:textAlignment w:val="center"/>
              <w:rPr>
                <w:rFonts w:hint="default" w:ascii="Times New Roman" w:hAnsi="Times New Roman" w:eastAsia="宋体" w:cs="Times New Roman"/>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土壤及地下水污染防治措施</w:t>
            </w:r>
          </w:p>
        </w:tc>
        <w:tc>
          <w:tcPr>
            <w:tcW w:w="7780" w:type="dxa"/>
            <w:gridSpan w:val="4"/>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主要风险区域均进行防渗处理，防止泄漏污染土壤和地下水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084" w:type="dxa"/>
            <w:noWrap w:val="0"/>
            <w:vAlign w:val="center"/>
          </w:tcPr>
          <w:p>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生态保护措施</w:t>
            </w:r>
          </w:p>
        </w:tc>
        <w:tc>
          <w:tcPr>
            <w:tcW w:w="7780" w:type="dxa"/>
            <w:gridSpan w:val="4"/>
            <w:noWrap w:val="0"/>
            <w:vAlign w:val="center"/>
          </w:tcPr>
          <w:p>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采取地面硬化、绿化</w:t>
            </w:r>
            <w:r>
              <w:rPr>
                <w:rFonts w:hint="default" w:ascii="Times New Roman" w:hAnsi="Times New Roman" w:cs="Times New Roman"/>
                <w:color w:val="auto"/>
                <w:sz w:val="24"/>
                <w:szCs w:val="24"/>
                <w:highlight w:val="none"/>
                <w:lang w:val="en-US" w:eastAsia="zh-CN"/>
              </w:rPr>
              <w:t>进一步完善</w:t>
            </w:r>
            <w:r>
              <w:rPr>
                <w:rFonts w:hint="default" w:ascii="Times New Roman" w:hAnsi="Times New Roman" w:cs="Times New Roman"/>
                <w:color w:val="auto"/>
                <w:sz w:val="24"/>
                <w:szCs w:val="24"/>
                <w:highlight w:val="none"/>
              </w:rPr>
              <w:t>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084" w:type="dxa"/>
            <w:noWrap w:val="0"/>
            <w:vAlign w:val="center"/>
          </w:tcPr>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环境风险</w:t>
            </w:r>
          </w:p>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防范措施</w:t>
            </w:r>
          </w:p>
        </w:tc>
        <w:tc>
          <w:tcPr>
            <w:tcW w:w="7780" w:type="dxa"/>
            <w:gridSpan w:val="4"/>
            <w:noWrap w:val="0"/>
            <w:vAlign w:val="center"/>
          </w:tcPr>
          <w:p>
            <w:pPr>
              <w:spacing w:line="48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lang w:val="zh-CN"/>
              </w:rPr>
              <w:t>润滑油</w:t>
            </w:r>
            <w:r>
              <w:rPr>
                <w:rFonts w:hint="default" w:ascii="Times New Roman" w:hAnsi="Times New Roman" w:cs="Times New Roman"/>
                <w:color w:val="auto"/>
                <w:sz w:val="24"/>
                <w:szCs w:val="24"/>
              </w:rPr>
              <w:t>采用桶包装，并盛放于</w:t>
            </w:r>
            <w:r>
              <w:rPr>
                <w:rFonts w:hint="default" w:ascii="Times New Roman" w:hAnsi="Times New Roman" w:cs="Times New Roman"/>
                <w:color w:val="auto"/>
                <w:sz w:val="24"/>
                <w:szCs w:val="24"/>
                <w:lang w:val="zh-CN"/>
              </w:rPr>
              <w:t>无缝铁质托盘内暂存于库房。设置事故应急砂等隋性材料吸附材料。</w:t>
            </w:r>
            <w:r>
              <w:rPr>
                <w:rFonts w:hint="default" w:ascii="Times New Roman" w:hAnsi="Times New Roman" w:cs="Times New Roman"/>
                <w:color w:val="auto"/>
                <w:sz w:val="24"/>
                <w:szCs w:val="24"/>
              </w:rPr>
              <w:t>库房阴凉、通风。储存过程远离火种、热源。包装密封。采用防爆型照明、通风设施。禁止使用易产生火花的机械设备和工具。设置灭火器、消防沙等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4" w:type="dxa"/>
            <w:noWrap w:val="0"/>
            <w:vAlign w:val="center"/>
          </w:tcPr>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其他环境</w:t>
            </w:r>
          </w:p>
          <w:p>
            <w:pPr>
              <w:adjustRightInd w:val="0"/>
              <w:snapToGrid w:val="0"/>
              <w:jc w:val="center"/>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pacing w:val="-8"/>
                <w:sz w:val="24"/>
                <w:szCs w:val="24"/>
                <w:highlight w:val="none"/>
              </w:rPr>
              <w:t>管理要求</w:t>
            </w:r>
          </w:p>
        </w:tc>
        <w:tc>
          <w:tcPr>
            <w:tcW w:w="7780" w:type="dxa"/>
            <w:gridSpan w:val="4"/>
            <w:noWrap w:val="0"/>
            <w:vAlign w:val="top"/>
          </w:tcPr>
          <w:p>
            <w:pPr>
              <w:adjustRightInd w:val="0"/>
              <w:snapToGrid w:val="0"/>
              <w:spacing w:line="480" w:lineRule="exact"/>
              <w:ind w:firstLine="482" w:firstLineChars="200"/>
              <w:rPr>
                <w:rFonts w:hint="default" w:ascii="Times New Roman" w:hAnsi="Times New Roman" w:cs="Times New Roman"/>
                <w:b/>
                <w:bCs/>
                <w:color w:val="auto"/>
                <w:kern w:val="24"/>
                <w:sz w:val="24"/>
                <w:szCs w:val="24"/>
              </w:rPr>
            </w:pPr>
            <w:r>
              <w:rPr>
                <w:rFonts w:hint="default" w:ascii="Times New Roman" w:hAnsi="Times New Roman" w:cs="Times New Roman"/>
                <w:b/>
                <w:bCs/>
                <w:color w:val="auto"/>
                <w:kern w:val="24"/>
                <w:sz w:val="24"/>
                <w:szCs w:val="24"/>
              </w:rPr>
              <w:t>1、环境质量改善措施</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积极制定和实施环境监测方案，保证所有环保设施的日常运行管理，保障各环保设施的正常运行，积极对环保设施的改进提出积极的建议；在项目建设阶段负责监督环保设施的施工、安装、调试等，确保落实项目的环境保护“环境保护措施监督检查清单”制度；积极对职工环保宣传教育工作及检查、监督各岗位环保制度的执行完成，确保各类污染物稳定达标。</w:t>
            </w:r>
          </w:p>
          <w:p>
            <w:pPr>
              <w:adjustRightInd w:val="0"/>
              <w:snapToGrid w:val="0"/>
              <w:spacing w:line="480" w:lineRule="exact"/>
              <w:ind w:firstLine="482" w:firstLineChars="200"/>
              <w:rPr>
                <w:rFonts w:hint="default" w:ascii="Times New Roman" w:hAnsi="Times New Roman" w:cs="Times New Roman"/>
                <w:b/>
                <w:bCs/>
                <w:color w:val="auto"/>
                <w:kern w:val="24"/>
                <w:sz w:val="24"/>
                <w:szCs w:val="24"/>
              </w:rPr>
            </w:pPr>
            <w:r>
              <w:rPr>
                <w:rFonts w:hint="default" w:ascii="Times New Roman" w:hAnsi="Times New Roman" w:cs="Times New Roman"/>
                <w:b/>
                <w:bCs/>
                <w:color w:val="auto"/>
                <w:kern w:val="24"/>
                <w:sz w:val="24"/>
                <w:szCs w:val="24"/>
              </w:rPr>
              <w:t>2、环境管理</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⑴机构设置</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根据有关环境管理和环境监测的规定，厂区应设立环保管理机构，配备环保管理专业人员1名，负责全场的环境管理、污染源治理及监测管理工作。</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⑵主要职责</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a、贯彻执行《中华人民共和国环境保护法》及其先关法律法规，建立污染控制管理档案。</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b、掌握本企业污染源治理工艺原理，设备运行及运行维修资料，建立污染控制管理档案。</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c、定期检查企业环保设施的运行，及时进行维修，确保环保设施的正常运行，领导和组织本企业的环境监测工作，防止污染事故的发生。</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d、制定生产项目中各污染物的排放指标和各项环保设施的运行指标，定期考核统计。</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e、推广应用先进的污染源治理技术和环保管理经验，定期培训全厂环保专业技术人员。搞好环境保护的宣传工作，提高员工的环境保护意识。</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f、监督项目环保设施的安装调试工作。</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g、搞好场区绿化工作。</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⑶信息公开</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依据《中华人民共和国政府信息公开条例》、《企业事业单位环境信息公开办法》、《环境信息公开办法(试行)》的相关要求，企业应当及时、准确地公开企业环境信息，本项目环境信息公开的内容见下表。</w:t>
            </w:r>
          </w:p>
          <w:p>
            <w:pPr>
              <w:spacing w:line="240" w:lineRule="auto"/>
              <w:jc w:val="center"/>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zh-CN" w:eastAsia="zh-CN"/>
              </w:rPr>
              <w:t>表</w:t>
            </w:r>
            <w:r>
              <w:rPr>
                <w:rFonts w:hint="eastAsia" w:cs="Times New Roman"/>
                <w:b/>
                <w:bCs/>
                <w:color w:val="auto"/>
                <w:sz w:val="24"/>
                <w:szCs w:val="24"/>
                <w:highlight w:val="none"/>
                <w:lang w:val="en-US" w:eastAsia="zh-CN"/>
              </w:rPr>
              <w:t>36</w:t>
            </w:r>
            <w:r>
              <w:rPr>
                <w:rFonts w:hint="default" w:ascii="Times New Roman" w:hAnsi="Times New Roman" w:eastAsia="宋体" w:cs="Times New Roman"/>
                <w:b/>
                <w:bCs/>
                <w:color w:val="auto"/>
                <w:sz w:val="24"/>
                <w:szCs w:val="24"/>
                <w:highlight w:val="none"/>
                <w:lang w:val="zh-CN" w:eastAsia="zh-CN"/>
              </w:rPr>
              <w:t xml:space="preserve">    环境信息公开一览表</w:t>
            </w:r>
          </w:p>
          <w:tbl>
            <w:tblPr>
              <w:tblStyle w:val="20"/>
              <w:tblW w:w="4855" w:type="pct"/>
              <w:tblInd w:w="1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6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noWrap w:val="0"/>
                  <w:vAlign w:val="top"/>
                </w:tcPr>
                <w:p>
                  <w:pPr>
                    <w:adjustRightInd w:val="0"/>
                    <w:snapToGrid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类别</w:t>
                  </w:r>
                </w:p>
              </w:tc>
              <w:tc>
                <w:tcPr>
                  <w:tcW w:w="4507" w:type="pct"/>
                  <w:noWrap w:val="0"/>
                  <w:vAlign w:val="top"/>
                </w:tcPr>
                <w:p>
                  <w:pPr>
                    <w:adjustRightInd w:val="0"/>
                    <w:snapToGrid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公开内容</w:t>
                  </w:r>
                </w:p>
              </w:tc>
              <w:tc>
                <w:tcPr>
                  <w:tcW w:w="4507" w:type="pct"/>
                  <w:noWrap w:val="0"/>
                  <w:vAlign w:val="top"/>
                </w:tcPr>
                <w:p>
                  <w:pPr>
                    <w:widowControl/>
                    <w:adjustRightInd w:val="0"/>
                    <w:snapToGrid w:val="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 xml:space="preserve">1、基础信息，包括单位名称、组织机构代码、法定代表人、生产地址、联系方式，以及生产经营和管理服务的主要内容、产品及规模； </w:t>
                  </w:r>
                </w:p>
                <w:p>
                  <w:pPr>
                    <w:widowControl/>
                    <w:adjustRightInd w:val="0"/>
                    <w:snapToGrid w:val="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2、排污信息，包括主要污染物及特征污染物的名称、排放方式、排放口数量和分布情况、排放浓度和总量、超标情况，以及执行的污染物排放标准、核定的排放总量；</w:t>
                  </w:r>
                </w:p>
                <w:p>
                  <w:pPr>
                    <w:widowControl/>
                    <w:adjustRightInd w:val="0"/>
                    <w:snapToGrid w:val="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 xml:space="preserve">3、环保设施的建设和运行情况； </w:t>
                  </w:r>
                </w:p>
                <w:p>
                  <w:pPr>
                    <w:widowControl/>
                    <w:adjustRightInd w:val="0"/>
                    <w:snapToGrid w:val="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 xml:space="preserve">4、建设项目环境影响评价及其他环境保护行政许可情况； </w:t>
                  </w:r>
                </w:p>
                <w:p>
                  <w:pPr>
                    <w:widowControl/>
                    <w:adjustRightInd w:val="0"/>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5、其他应当公开的环境信息。</w:t>
                  </w:r>
                </w:p>
              </w:tc>
            </w:tr>
          </w:tbl>
          <w:p>
            <w:pPr>
              <w:adjustRightInd w:val="0"/>
              <w:snapToGrid w:val="0"/>
              <w:spacing w:line="480" w:lineRule="exact"/>
              <w:ind w:firstLine="482" w:firstLineChars="200"/>
              <w:rPr>
                <w:rFonts w:hint="default" w:ascii="Times New Roman" w:hAnsi="Times New Roman" w:cs="Times New Roman"/>
                <w:b/>
                <w:bCs/>
                <w:color w:val="auto"/>
                <w:kern w:val="24"/>
                <w:sz w:val="24"/>
                <w:szCs w:val="24"/>
              </w:rPr>
            </w:pPr>
            <w:r>
              <w:rPr>
                <w:rFonts w:hint="default" w:ascii="Times New Roman" w:hAnsi="Times New Roman" w:cs="Times New Roman"/>
                <w:b/>
                <w:bCs/>
                <w:color w:val="auto"/>
                <w:kern w:val="24"/>
                <w:sz w:val="24"/>
                <w:szCs w:val="24"/>
              </w:rPr>
              <w:t>3、环境监测</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根据本建设项目性质与实际情况，建议企业委托当地环境监测部门承担本项目废气和噪声的常规监测和突发性污染事故的应急监测工作，固废的日常分析记录由本单位负责。监测计划见下表。</w:t>
            </w:r>
          </w:p>
          <w:p>
            <w:pPr>
              <w:spacing w:line="240" w:lineRule="auto"/>
              <w:jc w:val="center"/>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zh-CN" w:eastAsia="zh-CN"/>
              </w:rPr>
              <w:t>表</w:t>
            </w:r>
            <w:r>
              <w:rPr>
                <w:rFonts w:hint="eastAsia" w:cs="Times New Roman"/>
                <w:b/>
                <w:bCs/>
                <w:color w:val="auto"/>
                <w:sz w:val="24"/>
                <w:szCs w:val="24"/>
                <w:highlight w:val="none"/>
                <w:lang w:val="en-US" w:eastAsia="zh-CN"/>
              </w:rPr>
              <w:t>37</w:t>
            </w:r>
            <w:r>
              <w:rPr>
                <w:rFonts w:hint="default" w:ascii="Times New Roman" w:hAnsi="Times New Roman" w:eastAsia="宋体" w:cs="Times New Roman"/>
                <w:b/>
                <w:bCs/>
                <w:color w:val="auto"/>
                <w:sz w:val="24"/>
                <w:szCs w:val="24"/>
                <w:highlight w:val="none"/>
                <w:lang w:val="zh-CN" w:eastAsia="zh-CN"/>
              </w:rPr>
              <w:t xml:space="preserve">    环境监测计划一览表</w:t>
            </w:r>
          </w:p>
          <w:tbl>
            <w:tblPr>
              <w:tblStyle w:val="20"/>
              <w:tblW w:w="76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86"/>
              <w:gridCol w:w="3136"/>
              <w:gridCol w:w="2035"/>
              <w:gridCol w:w="1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1" w:hRule="atLeast"/>
                <w:jc w:val="center"/>
              </w:trPr>
              <w:tc>
                <w:tcPr>
                  <w:tcW w:w="98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序号</w:t>
                  </w:r>
                </w:p>
              </w:tc>
              <w:tc>
                <w:tcPr>
                  <w:tcW w:w="313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监测点位</w:t>
                  </w:r>
                </w:p>
              </w:tc>
              <w:tc>
                <w:tcPr>
                  <w:tcW w:w="2035"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监测项目</w:t>
                  </w:r>
                </w:p>
              </w:tc>
              <w:tc>
                <w:tcPr>
                  <w:tcW w:w="1463"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 w:hRule="atLeast"/>
                <w:jc w:val="center"/>
              </w:trPr>
              <w:tc>
                <w:tcPr>
                  <w:tcW w:w="986" w:type="dxa"/>
                  <w:vMerge w:val="restart"/>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废气</w:t>
                  </w:r>
                </w:p>
              </w:tc>
              <w:tc>
                <w:tcPr>
                  <w:tcW w:w="313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DA00</w:t>
                  </w:r>
                  <w:r>
                    <w:rPr>
                      <w:rFonts w:hint="eastAsia" w:cs="Times New Roman"/>
                      <w:snapToGrid w:val="0"/>
                      <w:color w:val="auto"/>
                      <w:kern w:val="0"/>
                      <w:sz w:val="24"/>
                      <w:szCs w:val="24"/>
                      <w:lang w:val="en-US" w:eastAsia="zh-CN"/>
                    </w:rPr>
                    <w:t>1</w:t>
                  </w:r>
                  <w:r>
                    <w:rPr>
                      <w:rFonts w:hint="default" w:ascii="Times New Roman" w:hAnsi="Times New Roman" w:cs="Times New Roman"/>
                      <w:snapToGrid w:val="0"/>
                      <w:color w:val="auto"/>
                      <w:kern w:val="0"/>
                      <w:sz w:val="24"/>
                      <w:szCs w:val="24"/>
                    </w:rPr>
                    <w:t>排气筒</w:t>
                  </w:r>
                </w:p>
              </w:tc>
              <w:tc>
                <w:tcPr>
                  <w:tcW w:w="2035"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snapToGrid w:val="0"/>
                      <w:color w:val="auto"/>
                      <w:kern w:val="0"/>
                      <w:sz w:val="24"/>
                      <w:szCs w:val="24"/>
                    </w:rPr>
                    <w:t>颗粒物</w:t>
                  </w:r>
                </w:p>
              </w:tc>
              <w:tc>
                <w:tcPr>
                  <w:tcW w:w="1463"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1次/a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4" w:hRule="atLeast"/>
                <w:jc w:val="center"/>
              </w:trPr>
              <w:tc>
                <w:tcPr>
                  <w:tcW w:w="986" w:type="dxa"/>
                  <w:vMerge w:val="continue"/>
                  <w:noWrap w:val="0"/>
                  <w:vAlign w:val="center"/>
                </w:tcPr>
                <w:p>
                  <w:pPr>
                    <w:adjustRightInd w:val="0"/>
                    <w:snapToGrid w:val="0"/>
                    <w:jc w:val="center"/>
                    <w:rPr>
                      <w:rFonts w:hint="default" w:ascii="Times New Roman" w:hAnsi="Times New Roman" w:cs="Times New Roman"/>
                      <w:snapToGrid w:val="0"/>
                      <w:color w:val="auto"/>
                      <w:kern w:val="0"/>
                      <w:sz w:val="24"/>
                      <w:szCs w:val="24"/>
                    </w:rPr>
                  </w:pPr>
                </w:p>
              </w:tc>
              <w:tc>
                <w:tcPr>
                  <w:tcW w:w="313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DA00</w:t>
                  </w:r>
                  <w:r>
                    <w:rPr>
                      <w:rFonts w:hint="eastAsia" w:cs="Times New Roman"/>
                      <w:snapToGrid w:val="0"/>
                      <w:color w:val="auto"/>
                      <w:kern w:val="0"/>
                      <w:sz w:val="24"/>
                      <w:szCs w:val="24"/>
                      <w:lang w:val="en-US" w:eastAsia="zh-CN"/>
                    </w:rPr>
                    <w:t>2</w:t>
                  </w:r>
                  <w:r>
                    <w:rPr>
                      <w:rFonts w:hint="default" w:ascii="Times New Roman" w:hAnsi="Times New Roman" w:cs="Times New Roman"/>
                      <w:snapToGrid w:val="0"/>
                      <w:color w:val="auto"/>
                      <w:kern w:val="0"/>
                      <w:sz w:val="24"/>
                      <w:szCs w:val="24"/>
                    </w:rPr>
                    <w:t>排气筒</w:t>
                  </w:r>
                </w:p>
              </w:tc>
              <w:tc>
                <w:tcPr>
                  <w:tcW w:w="2035" w:type="dxa"/>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eastAsia" w:ascii="Times New Roman" w:hAnsi="Times New Roman" w:cs="Times New Roman"/>
                      <w:snapToGrid w:val="0"/>
                      <w:color w:val="auto"/>
                      <w:kern w:val="0"/>
                      <w:sz w:val="24"/>
                      <w:szCs w:val="24"/>
                      <w:lang w:eastAsia="zh-CN"/>
                    </w:rPr>
                    <w:t>颗粒物、臭气浓度</w:t>
                  </w:r>
                </w:p>
              </w:tc>
              <w:tc>
                <w:tcPr>
                  <w:tcW w:w="1463" w:type="dxa"/>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1次/a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 w:hRule="atLeast"/>
                <w:jc w:val="center"/>
              </w:trPr>
              <w:tc>
                <w:tcPr>
                  <w:tcW w:w="986" w:type="dxa"/>
                  <w:vMerge w:val="continue"/>
                  <w:noWrap w:val="0"/>
                  <w:vAlign w:val="center"/>
                </w:tcPr>
                <w:p>
                  <w:pPr>
                    <w:adjustRightInd w:val="0"/>
                    <w:snapToGrid w:val="0"/>
                    <w:jc w:val="center"/>
                    <w:rPr>
                      <w:rFonts w:hint="default" w:ascii="Times New Roman" w:hAnsi="Times New Roman" w:cs="Times New Roman"/>
                      <w:snapToGrid w:val="0"/>
                      <w:color w:val="auto"/>
                      <w:kern w:val="0"/>
                      <w:sz w:val="24"/>
                      <w:szCs w:val="24"/>
                    </w:rPr>
                  </w:pPr>
                </w:p>
              </w:tc>
              <w:tc>
                <w:tcPr>
                  <w:tcW w:w="313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厂界无组织</w:t>
                  </w:r>
                </w:p>
              </w:tc>
              <w:tc>
                <w:tcPr>
                  <w:tcW w:w="2035" w:type="dxa"/>
                  <w:noWrap w:val="0"/>
                  <w:vAlign w:val="center"/>
                </w:tcPr>
                <w:p>
                  <w:pPr>
                    <w:adjustRightInd w:val="0"/>
                    <w:snapToGrid w:val="0"/>
                    <w:jc w:val="center"/>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cs="Times New Roman"/>
                      <w:snapToGrid w:val="0"/>
                      <w:color w:val="auto"/>
                      <w:kern w:val="0"/>
                      <w:sz w:val="24"/>
                      <w:szCs w:val="24"/>
                    </w:rPr>
                    <w:t>颗粒物</w:t>
                  </w:r>
                  <w:r>
                    <w:rPr>
                      <w:rFonts w:hint="default" w:ascii="Times New Roman" w:hAnsi="Times New Roman" w:cs="Times New Roman"/>
                      <w:snapToGrid w:val="0"/>
                      <w:color w:val="auto"/>
                      <w:kern w:val="0"/>
                      <w:sz w:val="24"/>
                      <w:szCs w:val="24"/>
                      <w:lang w:eastAsia="zh-CN"/>
                    </w:rPr>
                    <w:t>、</w:t>
                  </w:r>
                  <w:r>
                    <w:rPr>
                      <w:rFonts w:hint="eastAsia" w:ascii="Times New Roman" w:hAnsi="Times New Roman" w:cs="Times New Roman"/>
                      <w:snapToGrid w:val="0"/>
                      <w:color w:val="auto"/>
                      <w:kern w:val="0"/>
                      <w:sz w:val="24"/>
                      <w:szCs w:val="24"/>
                      <w:lang w:eastAsia="zh-CN"/>
                    </w:rPr>
                    <w:t>臭气浓度</w:t>
                  </w:r>
                </w:p>
              </w:tc>
              <w:tc>
                <w:tcPr>
                  <w:tcW w:w="1463"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color w:val="auto"/>
                      <w:sz w:val="24"/>
                      <w:szCs w:val="24"/>
                    </w:rPr>
                    <w:t>1次/a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2" w:hRule="atLeast"/>
                <w:jc w:val="center"/>
              </w:trPr>
              <w:tc>
                <w:tcPr>
                  <w:tcW w:w="98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噪声</w:t>
                  </w:r>
                </w:p>
              </w:tc>
              <w:tc>
                <w:tcPr>
                  <w:tcW w:w="3136"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东、南、西、北厂界外1m处</w:t>
                  </w:r>
                </w:p>
              </w:tc>
              <w:tc>
                <w:tcPr>
                  <w:tcW w:w="2035"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昼间连续等效A声级</w:t>
                  </w:r>
                </w:p>
              </w:tc>
              <w:tc>
                <w:tcPr>
                  <w:tcW w:w="1463" w:type="dxa"/>
                  <w:noWrap w:val="0"/>
                  <w:vAlign w:val="center"/>
                </w:tcPr>
                <w:p>
                  <w:pPr>
                    <w:adjustRightInd w:val="0"/>
                    <w:snapToGrid w:val="0"/>
                    <w:jc w:val="center"/>
                    <w:rPr>
                      <w:rFonts w:hint="default" w:ascii="Times New Roman" w:hAnsi="Times New Roman" w:cs="Times New Roman"/>
                      <w:snapToGrid w:val="0"/>
                      <w:color w:val="auto"/>
                      <w:kern w:val="0"/>
                      <w:sz w:val="24"/>
                      <w:szCs w:val="24"/>
                    </w:rPr>
                  </w:pPr>
                  <w:r>
                    <w:rPr>
                      <w:rFonts w:hint="default" w:ascii="Times New Roman" w:hAnsi="Times New Roman" w:cs="Times New Roman"/>
                      <w:color w:val="auto"/>
                      <w:sz w:val="24"/>
                      <w:szCs w:val="24"/>
                    </w:rPr>
                    <w:t>1次/季度</w:t>
                  </w:r>
                </w:p>
              </w:tc>
            </w:tr>
          </w:tbl>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⑵排污口规范化管理</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排污口是企业污染物进入受纳环境的通道，做好排污口管理是实施污染物总量控制和达标排放的基础工作之—，必须实行规范化管理。</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a、排污口的设置</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废气：本项目</w:t>
            </w:r>
            <w:r>
              <w:rPr>
                <w:rFonts w:hint="eastAsia" w:cs="Times New Roman"/>
                <w:color w:val="auto"/>
                <w:kern w:val="24"/>
                <w:sz w:val="24"/>
                <w:szCs w:val="24"/>
                <w:lang w:val="en-US" w:eastAsia="zh-CN"/>
              </w:rPr>
              <w:t>2</w:t>
            </w:r>
            <w:r>
              <w:rPr>
                <w:rFonts w:hint="default" w:ascii="Times New Roman" w:hAnsi="Times New Roman" w:cs="Times New Roman"/>
                <w:color w:val="auto"/>
                <w:kern w:val="24"/>
                <w:sz w:val="24"/>
                <w:szCs w:val="24"/>
              </w:rPr>
              <w:t>个废气排放口。</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废水：本项目无废水排放口。</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固废：固体废物贮存场所应按《环境保护图形标志－排污口(源)》（GBl5562.1－1995）规定，设置统一制作的环境保护图形标志牌。</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b、排污口规范化设置要求</w:t>
            </w:r>
          </w:p>
          <w:p>
            <w:pPr>
              <w:adjustRightInd w:val="0"/>
              <w:snapToGrid w:val="0"/>
              <w:spacing w:line="480" w:lineRule="exact"/>
              <w:ind w:firstLine="480" w:firstLineChars="200"/>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cs="Times New Roman"/>
                <w:color w:val="auto"/>
                <w:kern w:val="24"/>
                <w:sz w:val="24"/>
                <w:szCs w:val="24"/>
              </w:rPr>
              <w:t>在厂区的废气排放源、固体废物贮存处置场应设置环境保护图形标志，图形符号分为提示图形和警告图形符号两种，分别按GB15562.1-1995、GB15562.2-1995</w:t>
            </w:r>
            <w:r>
              <w:rPr>
                <w:rFonts w:hint="default" w:ascii="Times New Roman" w:hAnsi="Times New Roman" w:cs="Times New Roman"/>
                <w:color w:val="auto"/>
                <w:kern w:val="24"/>
                <w:sz w:val="24"/>
                <w:szCs w:val="24"/>
                <w:lang w:eastAsia="zh-CN"/>
              </w:rPr>
              <w:t>及其修改单</w:t>
            </w:r>
            <w:r>
              <w:rPr>
                <w:rFonts w:hint="default" w:ascii="Times New Roman" w:hAnsi="Times New Roman" w:cs="Times New Roman"/>
                <w:color w:val="auto"/>
                <w:kern w:val="24"/>
                <w:sz w:val="24"/>
                <w:szCs w:val="24"/>
              </w:rPr>
              <w:t>执行。</w:t>
            </w:r>
          </w:p>
          <w:p>
            <w:pPr>
              <w:rPr>
                <w:rFonts w:hint="default"/>
                <w:color w:val="auto"/>
                <w:lang w:val="zh-CN" w:eastAsia="zh-CN"/>
              </w:rPr>
            </w:pPr>
          </w:p>
          <w:p>
            <w:pPr>
              <w:spacing w:line="240" w:lineRule="auto"/>
              <w:jc w:val="center"/>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zh-CN" w:eastAsia="zh-CN"/>
              </w:rPr>
              <w:t>表</w:t>
            </w:r>
            <w:r>
              <w:rPr>
                <w:rFonts w:hint="eastAsia" w:cs="Times New Roman"/>
                <w:b/>
                <w:bCs/>
                <w:color w:val="auto"/>
                <w:sz w:val="24"/>
                <w:szCs w:val="24"/>
                <w:highlight w:val="none"/>
                <w:lang w:val="en-US" w:eastAsia="zh-CN"/>
              </w:rPr>
              <w:t>38</w:t>
            </w:r>
            <w:r>
              <w:rPr>
                <w:rFonts w:hint="default" w:ascii="Times New Roman" w:hAnsi="Times New Roman" w:eastAsia="宋体" w:cs="Times New Roman"/>
                <w:b/>
                <w:bCs/>
                <w:color w:val="auto"/>
                <w:sz w:val="24"/>
                <w:szCs w:val="24"/>
                <w:highlight w:val="none"/>
                <w:lang w:val="zh-CN" w:eastAsia="zh-CN"/>
              </w:rPr>
              <w:t xml:space="preserve">    排污口规范化要求及环保图形标识</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12"/>
              <w:gridCol w:w="619"/>
              <w:gridCol w:w="3694"/>
              <w:gridCol w:w="2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52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400"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要求</w:t>
                  </w: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环保图形标志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81" w:hRule="atLeast"/>
                <w:jc w:val="center"/>
              </w:trPr>
              <w:tc>
                <w:tcPr>
                  <w:tcW w:w="52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400"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废气</w:t>
                  </w: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排气筒应设置便于采样、监测的采样口，采样口的设置应符合《污染源监测技术规范》要求，采样口位置无法满足“规范要求的”，其监测孔位置由当地环境监测部门确认</w:t>
                  </w: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257300" cy="873125"/>
                        <wp:effectExtent l="0" t="0" r="7620" b="10795"/>
                        <wp:docPr id="9" name="图片 5" descr="废气标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废气标示牌"/>
                                <pic:cNvPicPr>
                                  <a:picLocks noChangeAspect="1"/>
                                </pic:cNvPicPr>
                              </pic:nvPicPr>
                              <pic:blipFill>
                                <a:blip r:embed="rId23"/>
                                <a:stretch>
                                  <a:fillRect/>
                                </a:stretch>
                              </pic:blipFill>
                              <pic:spPr>
                                <a:xfrm>
                                  <a:off x="0" y="0"/>
                                  <a:ext cx="1257300" cy="87312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52" w:hRule="atLeast"/>
                <w:jc w:val="center"/>
              </w:trPr>
              <w:tc>
                <w:tcPr>
                  <w:tcW w:w="52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00"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噪声</w:t>
                  </w: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应按照《工业企业厂界噪声测量方法》（GB12349）的规定，设置环境噪声监测点，并在该处附近醒目位置设置与之相符的环境保护图形标示牌</w:t>
                  </w: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285875" cy="904240"/>
                        <wp:effectExtent l="0" t="0" r="9525" b="10160"/>
                        <wp:docPr id="6" name="图片 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592101_140525028352_2"/>
                                <pic:cNvPicPr>
                                  <a:picLocks noChangeAspect="1"/>
                                </pic:cNvPicPr>
                              </pic:nvPicPr>
                              <pic:blipFill>
                                <a:blip r:embed="rId24"/>
                                <a:stretch>
                                  <a:fillRect/>
                                </a:stretch>
                              </pic:blipFill>
                              <pic:spPr>
                                <a:xfrm>
                                  <a:off x="0" y="0"/>
                                  <a:ext cx="1285875" cy="90424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52" w:hRule="atLeast"/>
                <w:jc w:val="center"/>
              </w:trPr>
              <w:tc>
                <w:tcPr>
                  <w:tcW w:w="52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400"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废水</w:t>
                  </w: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标志的设置应执行《环境保护 </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图形标志排放口（源）》（GB15562.1—1995）</w:t>
                  </w:r>
                </w:p>
                <w:p>
                  <w:pPr>
                    <w:adjustRightInd w:val="0"/>
                    <w:snapToGrid w:val="0"/>
                    <w:jc w:val="center"/>
                    <w:rPr>
                      <w:rFonts w:hint="default" w:ascii="Times New Roman" w:hAnsi="Times New Roman" w:cs="Times New Roman"/>
                      <w:color w:val="auto"/>
                      <w:sz w:val="24"/>
                      <w:szCs w:val="24"/>
                    </w:rPr>
                  </w:pP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250950" cy="797560"/>
                        <wp:effectExtent l="0" t="0" r="13970" b="10160"/>
                        <wp:docPr id="10" name="图片 7" descr="adce568f2000b10925a9257607f4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adce568f2000b10925a9257607f4bda"/>
                                <pic:cNvPicPr>
                                  <a:picLocks noChangeAspect="1"/>
                                </pic:cNvPicPr>
                              </pic:nvPicPr>
                              <pic:blipFill>
                                <a:blip r:embed="rId25"/>
                                <a:srcRect l="8440" t="19586" r="7587" b="56320"/>
                                <a:stretch>
                                  <a:fillRect/>
                                </a:stretch>
                              </pic:blipFill>
                              <pic:spPr>
                                <a:xfrm>
                                  <a:off x="0" y="0"/>
                                  <a:ext cx="1250950" cy="79756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525" w:type="pct"/>
                  <w:vMerge w:val="restar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00" w:type="pct"/>
                  <w:vMerge w:val="restar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w:t>
                  </w:r>
                </w:p>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废物</w:t>
                  </w: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项目一般固体废物应设置专用储存、处置场所。固体废物贮存必须规范化，并设置与之相符的环境保护图形标示牌</w:t>
                  </w: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323975" cy="879475"/>
                        <wp:effectExtent l="0" t="0" r="1905" b="4445"/>
                        <wp:docPr id="11" name="图片 8"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TB2.Mf3g4hmpuFjSZFyXXcLdFXa_!!759074892.png_300x300"/>
                                <pic:cNvPicPr>
                                  <a:picLocks noChangeAspect="1"/>
                                </pic:cNvPicPr>
                              </pic:nvPicPr>
                              <pic:blipFill>
                                <a:blip r:embed="rId26"/>
                                <a:stretch>
                                  <a:fillRect/>
                                </a:stretch>
                              </pic:blipFill>
                              <pic:spPr>
                                <a:xfrm>
                                  <a:off x="0" y="0"/>
                                  <a:ext cx="1323975" cy="87947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67" w:hRule="atLeast"/>
                <w:jc w:val="center"/>
              </w:trPr>
              <w:tc>
                <w:tcPr>
                  <w:tcW w:w="525" w:type="pct"/>
                  <w:vMerge w:val="continue"/>
                  <w:noWrap w:val="0"/>
                  <w:vAlign w:val="center"/>
                </w:tcPr>
                <w:p>
                  <w:pPr>
                    <w:adjustRightInd w:val="0"/>
                    <w:snapToGrid w:val="0"/>
                    <w:jc w:val="center"/>
                    <w:rPr>
                      <w:rFonts w:hint="default" w:ascii="Times New Roman" w:hAnsi="Times New Roman" w:cs="Times New Roman"/>
                      <w:color w:val="auto"/>
                      <w:sz w:val="24"/>
                      <w:szCs w:val="24"/>
                    </w:rPr>
                  </w:pPr>
                </w:p>
              </w:tc>
              <w:tc>
                <w:tcPr>
                  <w:tcW w:w="400" w:type="pct"/>
                  <w:vMerge w:val="continue"/>
                  <w:noWrap w:val="0"/>
                  <w:vAlign w:val="center"/>
                </w:tcPr>
                <w:p>
                  <w:pPr>
                    <w:adjustRightInd w:val="0"/>
                    <w:snapToGrid w:val="0"/>
                    <w:jc w:val="center"/>
                    <w:rPr>
                      <w:rFonts w:hint="default" w:ascii="Times New Roman" w:hAnsi="Times New Roman" w:cs="Times New Roman"/>
                      <w:color w:val="auto"/>
                      <w:sz w:val="24"/>
                      <w:szCs w:val="24"/>
                    </w:rPr>
                  </w:pPr>
                </w:p>
              </w:tc>
              <w:tc>
                <w:tcPr>
                  <w:tcW w:w="2388"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项目危险废物应设置专用储存、处置场所。危险废物贮存必须规范化，并设置与之相符的环境保护图形标示牌</w:t>
                  </w:r>
                </w:p>
              </w:tc>
              <w:tc>
                <w:tcPr>
                  <w:tcW w:w="1685" w:type="pct"/>
                  <w:noWrap w:val="0"/>
                  <w:vAlign w:val="center"/>
                </w:tcPr>
                <w:p>
                  <w:pPr>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249045" cy="1108710"/>
                        <wp:effectExtent l="0" t="0" r="635" b="3810"/>
                        <wp:docPr id="14" name="图片 9" descr="2753ee8f112b3301b5056844170d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2753ee8f112b3301b5056844170d93d"/>
                                <pic:cNvPicPr>
                                  <a:picLocks noChangeAspect="1"/>
                                </pic:cNvPicPr>
                              </pic:nvPicPr>
                              <pic:blipFill>
                                <a:blip r:embed="rId27"/>
                                <a:stretch>
                                  <a:fillRect/>
                                </a:stretch>
                              </pic:blipFill>
                              <pic:spPr>
                                <a:xfrm>
                                  <a:off x="0" y="0"/>
                                  <a:ext cx="1249045" cy="1108710"/>
                                </a:xfrm>
                                <a:prstGeom prst="rect">
                                  <a:avLst/>
                                </a:prstGeom>
                                <a:noFill/>
                                <a:ln>
                                  <a:noFill/>
                                </a:ln>
                              </pic:spPr>
                            </pic:pic>
                          </a:graphicData>
                        </a:graphic>
                      </wp:inline>
                    </w:drawing>
                  </w:r>
                </w:p>
              </w:tc>
            </w:tr>
          </w:tbl>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c、排污口建档管理</w:t>
            </w:r>
          </w:p>
          <w:p>
            <w:pPr>
              <w:adjustRightInd w:val="0"/>
              <w:snapToGrid w:val="0"/>
              <w:spacing w:line="480" w:lineRule="exact"/>
              <w:ind w:firstLine="480" w:firstLineChars="200"/>
              <w:jc w:val="left"/>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使用国家环保局印制的《中华人民共和国规范化排污口标志登记证》，并按要求填写有关内容，项目建成后，应将固体废弃物的种类、数量、处置去向等情况记录于档案</w:t>
            </w:r>
            <w:r>
              <w:rPr>
                <w:rFonts w:hint="default" w:ascii="Times New Roman" w:hAnsi="Times New Roman" w:cs="Times New Roman"/>
                <w:color w:val="auto"/>
                <w:kern w:val="24"/>
                <w:sz w:val="24"/>
                <w:szCs w:val="24"/>
                <w:lang w:eastAsia="zh-CN"/>
              </w:rPr>
              <w:t>。</w:t>
            </w:r>
            <w:r>
              <w:rPr>
                <w:rFonts w:hint="default" w:ascii="Times New Roman" w:hAnsi="Times New Roman" w:cs="Times New Roman"/>
                <w:color w:val="auto"/>
                <w:kern w:val="24"/>
                <w:sz w:val="24"/>
                <w:szCs w:val="24"/>
                <w:lang w:val="en-US" w:eastAsia="zh-CN"/>
              </w:rPr>
              <w:t xml:space="preserve">                                                                                                                                                                                                                                                                                                                                                                                                                                                                                                                                                                                                                                                          </w:t>
            </w:r>
          </w:p>
          <w:p>
            <w:pPr>
              <w:adjustRightInd w:val="0"/>
              <w:snapToGrid w:val="0"/>
              <w:spacing w:line="480" w:lineRule="exact"/>
              <w:ind w:firstLine="482" w:firstLineChars="200"/>
              <w:rPr>
                <w:rFonts w:hint="default" w:ascii="Times New Roman" w:hAnsi="Times New Roman" w:cs="Times New Roman"/>
                <w:b/>
                <w:color w:val="auto"/>
                <w:kern w:val="24"/>
                <w:sz w:val="24"/>
                <w:szCs w:val="24"/>
              </w:rPr>
            </w:pPr>
            <w:r>
              <w:rPr>
                <w:rFonts w:hint="default" w:ascii="Times New Roman" w:hAnsi="Times New Roman" w:cs="Times New Roman"/>
                <w:b/>
                <w:color w:val="auto"/>
                <w:sz w:val="24"/>
                <w:szCs w:val="24"/>
              </w:rPr>
              <w:t>4</w:t>
            </w:r>
            <w:r>
              <w:rPr>
                <w:rFonts w:hint="default" w:ascii="Times New Roman" w:hAnsi="Times New Roman" w:cs="Times New Roman"/>
                <w:b/>
                <w:color w:val="auto"/>
                <w:kern w:val="24"/>
                <w:sz w:val="24"/>
                <w:szCs w:val="24"/>
              </w:rPr>
              <w:t>、环境影响评价制度与排污许可制度衔接</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根据《排污许可管理办法(试行)》(部令第48号)、原环境保护部办公厅《关于做好环境影响评价制度与排污许可制衔接相关工作的通知》( 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本项目</w:t>
            </w:r>
            <w:r>
              <w:rPr>
                <w:rFonts w:hint="eastAsia" w:ascii="Times New Roman" w:hAnsi="Times New Roman" w:cs="Times New Roman"/>
                <w:color w:val="auto"/>
                <w:kern w:val="24"/>
                <w:sz w:val="24"/>
                <w:szCs w:val="24"/>
                <w:lang w:eastAsia="zh-CN"/>
              </w:rPr>
              <w:t>属于</w:t>
            </w:r>
            <w:r>
              <w:rPr>
                <w:rFonts w:hint="default" w:ascii="Times New Roman" w:hAnsi="Times New Roman" w:cs="Times New Roman"/>
                <w:color w:val="auto"/>
                <w:sz w:val="24"/>
                <w:highlight w:val="none"/>
                <w:lang w:val="en-US" w:eastAsia="zh-CN"/>
              </w:rPr>
              <w:t>非金属废料和碎屑加工处理</w:t>
            </w:r>
            <w:r>
              <w:rPr>
                <w:rFonts w:hint="default" w:ascii="Times New Roman" w:hAnsi="Times New Roman" w:cs="Times New Roman"/>
                <w:color w:val="auto"/>
                <w:kern w:val="24"/>
                <w:sz w:val="24"/>
                <w:szCs w:val="24"/>
                <w:lang w:eastAsia="zh-CN"/>
              </w:rPr>
              <w:t>业</w:t>
            </w:r>
            <w:r>
              <w:rPr>
                <w:rFonts w:hint="eastAsia" w:ascii="Times New Roman" w:hAnsi="Times New Roman" w:cs="Times New Roman"/>
                <w:color w:val="auto"/>
                <w:kern w:val="24"/>
                <w:sz w:val="24"/>
                <w:szCs w:val="24"/>
                <w:lang w:eastAsia="zh-CN"/>
              </w:rPr>
              <w:t>中的其他</w:t>
            </w:r>
            <w:r>
              <w:rPr>
                <w:rFonts w:hint="default" w:ascii="Times New Roman" w:hAnsi="Times New Roman" w:cs="Times New Roman"/>
                <w:color w:val="auto"/>
                <w:kern w:val="24"/>
                <w:sz w:val="24"/>
                <w:szCs w:val="24"/>
                <w:lang w:val="en-US" w:eastAsia="zh-CN"/>
              </w:rPr>
              <w:t>，故</w:t>
            </w:r>
            <w:r>
              <w:rPr>
                <w:rFonts w:hint="default" w:ascii="Times New Roman" w:hAnsi="Times New Roman" w:cs="Times New Roman"/>
                <w:color w:val="auto"/>
                <w:kern w:val="24"/>
                <w:sz w:val="24"/>
                <w:szCs w:val="24"/>
              </w:rPr>
              <w:t>排污许可实行</w:t>
            </w:r>
            <w:r>
              <w:rPr>
                <w:rFonts w:hint="default" w:ascii="Times New Roman" w:hAnsi="Times New Roman" w:cs="Times New Roman"/>
                <w:color w:val="auto"/>
                <w:kern w:val="24"/>
                <w:sz w:val="24"/>
                <w:szCs w:val="24"/>
                <w:lang w:eastAsia="zh-CN"/>
              </w:rPr>
              <w:t>登记</w:t>
            </w:r>
            <w:r>
              <w:rPr>
                <w:rFonts w:hint="default" w:ascii="Times New Roman" w:hAnsi="Times New Roman" w:cs="Times New Roman"/>
                <w:color w:val="auto"/>
                <w:kern w:val="24"/>
                <w:sz w:val="24"/>
                <w:szCs w:val="24"/>
              </w:rPr>
              <w:t>管理，故企业应在项目验收前</w:t>
            </w:r>
            <w:r>
              <w:rPr>
                <w:rFonts w:hint="default" w:ascii="Times New Roman" w:hAnsi="Times New Roman" w:cs="Times New Roman"/>
                <w:color w:val="auto"/>
                <w:kern w:val="24"/>
                <w:sz w:val="24"/>
                <w:szCs w:val="24"/>
                <w:lang w:eastAsia="zh-CN"/>
              </w:rPr>
              <w:t>申请变更</w:t>
            </w:r>
            <w:r>
              <w:rPr>
                <w:rFonts w:hint="default" w:ascii="Times New Roman" w:hAnsi="Times New Roman" w:cs="Times New Roman"/>
                <w:color w:val="auto"/>
                <w:kern w:val="24"/>
                <w:sz w:val="24"/>
                <w:szCs w:val="24"/>
              </w:rPr>
              <w:t>排污许可</w:t>
            </w:r>
            <w:r>
              <w:rPr>
                <w:rFonts w:hint="default" w:ascii="Times New Roman" w:hAnsi="Times New Roman" w:cs="Times New Roman"/>
                <w:color w:val="auto"/>
                <w:kern w:val="24"/>
                <w:sz w:val="24"/>
                <w:szCs w:val="24"/>
                <w:lang w:eastAsia="zh-CN"/>
              </w:rPr>
              <w:t>手续</w:t>
            </w:r>
            <w:r>
              <w:rPr>
                <w:rFonts w:hint="default" w:ascii="Times New Roman" w:hAnsi="Times New Roman" w:cs="Times New Roman"/>
                <w:color w:val="auto"/>
                <w:kern w:val="24"/>
                <w:sz w:val="24"/>
                <w:szCs w:val="24"/>
              </w:rPr>
              <w:t>。本项目与排污许可制度衔接工作如下：</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⑴在排污许可管理中，应取得排污证（排污登记）；</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⑵在取得排污许可证（排污登记）时应严格核定排放口数量、位置以及每个排放口的污染物种类、允许排放浓度和允许排放量、排放方式、排放去向、自行监测计划等与污染物排放相关的主要内容；</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⑶项目在发生实际排污行为之前，建设单位应当按照国家环境保护相关法律法规以及排污许可申请与核发技术规范要求申请排污许可，不得无证排污或不按证排污；</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⑷建设项目无证排污或不按证排污的，不得出出具该项目验收合格的意见，验收报告中与污染物排放相关的主要内容应当纳入该项目验收完成当年排污许可执行年报。</w:t>
            </w:r>
          </w:p>
          <w:p>
            <w:pPr>
              <w:adjustRightInd w:val="0"/>
              <w:snapToGrid w:val="0"/>
              <w:spacing w:line="480" w:lineRule="exact"/>
              <w:ind w:firstLine="480" w:firstLineChars="200"/>
              <w:rPr>
                <w:rFonts w:hint="default" w:ascii="Times New Roman" w:hAnsi="Times New Roman" w:cs="Times New Roman"/>
                <w:color w:val="auto"/>
                <w:kern w:val="24"/>
                <w:sz w:val="24"/>
                <w:szCs w:val="24"/>
              </w:rPr>
            </w:pPr>
            <w:r>
              <w:rPr>
                <w:rFonts w:hint="default" w:ascii="Times New Roman" w:hAnsi="Times New Roman" w:cs="Times New Roman"/>
                <w:color w:val="auto"/>
                <w:kern w:val="24"/>
                <w:sz w:val="24"/>
                <w:szCs w:val="24"/>
              </w:rPr>
              <w:t>⑸排污许可执行报告、台账记录以及自行监测执行情况等应作为开展建设项目环境影响后评价的重要依据。</w:t>
            </w:r>
          </w:p>
          <w:p>
            <w:pPr>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kern w:val="24"/>
                <w:sz w:val="24"/>
                <w:szCs w:val="24"/>
              </w:rPr>
              <w:t>⑹排污许可的补办：排污许可发生遗失、损毁的，建设单位应当在三十日内向原核发机关申请补领排污许可，遗失排污许可的还应同时提交遗失声明，损毁排污许可的还应同时交回被损毁的许可。核发机关应当在收到补领申请后十日内补发排污许可，并及时在国家排污许可证管理信息平台上进行公告</w:t>
            </w:r>
            <w:r>
              <w:rPr>
                <w:rFonts w:hint="default" w:ascii="Times New Roman" w:hAnsi="Times New Roman" w:cs="Times New Roman"/>
                <w:color w:val="auto"/>
                <w:sz w:val="24"/>
                <w:szCs w:val="24"/>
                <w:highlight w:val="none"/>
                <w:lang w:val="en-US" w:eastAsia="zh-CN"/>
              </w:rPr>
              <w:t>。</w:t>
            </w:r>
          </w:p>
          <w:p>
            <w:pPr>
              <w:spacing w:line="480" w:lineRule="exact"/>
              <w:ind w:firstLine="480" w:firstLineChars="200"/>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color w:val="auto"/>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pStyle w:val="2"/>
              <w:ind w:left="0" w:leftChars="0" w:firstLine="0" w:firstLineChars="0"/>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pStyle w:val="2"/>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cs="Times New Roman"/>
                <w:color w:val="auto"/>
                <w:sz w:val="24"/>
                <w:szCs w:val="24"/>
                <w:lang w:val="en-US" w:eastAsia="zh-CN"/>
              </w:rPr>
            </w:pPr>
          </w:p>
          <w:p>
            <w:pPr>
              <w:spacing w:line="48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80" w:lineRule="exact"/>
              <w:ind w:firstLine="480" w:firstLineChars="200"/>
              <w:rPr>
                <w:rFonts w:hint="default" w:ascii="Times New Roman" w:hAnsi="Times New Roman" w:eastAsia="宋体" w:cs="Times New Roman"/>
                <w:color w:val="auto"/>
                <w:sz w:val="24"/>
                <w:szCs w:val="24"/>
                <w:highlight w:val="none"/>
                <w:lang w:val="en-US" w:eastAsia="zh-CN"/>
              </w:rPr>
            </w:pPr>
          </w:p>
          <w:p>
            <w:pPr>
              <w:spacing w:line="480" w:lineRule="exact"/>
              <w:ind w:firstLine="480" w:firstLineChars="200"/>
              <w:rPr>
                <w:rFonts w:hint="default" w:ascii="Times New Roman" w:hAnsi="Times New Roman" w:cs="Times New Roman"/>
                <w:color w:val="auto"/>
                <w:sz w:val="24"/>
                <w:szCs w:val="24"/>
                <w:highlight w:val="none"/>
              </w:rPr>
            </w:pPr>
          </w:p>
        </w:tc>
      </w:tr>
    </w:tbl>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default" w:ascii="Times New Roman" w:hAnsi="Times New Roman" w:cs="Times New Roman"/>
          <w:snapToGrid w:val="0"/>
          <w:color w:val="auto"/>
          <w:sz w:val="30"/>
          <w:szCs w:val="30"/>
          <w:highlight w:val="none"/>
        </w:rPr>
      </w:pPr>
      <w:r>
        <w:rPr>
          <w:rFonts w:hint="default" w:ascii="Times New Roman" w:hAnsi="Times New Roman" w:cs="Times New Roman"/>
          <w:snapToGrid w:val="0"/>
          <w:color w:val="auto"/>
          <w:highlight w:val="none"/>
        </w:rPr>
        <w:br w:type="page"/>
      </w:r>
      <w:bookmarkStart w:id="19" w:name="_Toc8535"/>
      <w:bookmarkStart w:id="20" w:name="_Toc11481"/>
      <w:r>
        <w:rPr>
          <w:rFonts w:hint="default" w:ascii="Times New Roman" w:hAnsi="Times New Roman" w:cs="Times New Roman"/>
          <w:snapToGrid w:val="0"/>
          <w:color w:val="auto"/>
          <w:sz w:val="30"/>
          <w:szCs w:val="30"/>
          <w:highlight w:val="none"/>
        </w:rPr>
        <w:t>六、结论</w:t>
      </w:r>
      <w:bookmarkEnd w:id="19"/>
      <w:bookmarkEnd w:id="20"/>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3" w:hRule="atLeast"/>
          <w:jc w:val="center"/>
        </w:trPr>
        <w:tc>
          <w:tcPr>
            <w:tcW w:w="8865" w:type="dxa"/>
            <w:noWrap w:val="0"/>
            <w:vAlign w:val="top"/>
          </w:tcPr>
          <w:p>
            <w:pPr>
              <w:spacing w:line="48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综上所述，本项目在认真落实本报告表中提出的各项污染防治措施的前提下，其所排放的各种污染物可做到达标排放，从环境保护的角度分析，本项目对环境可能造成的污染均得到有效控制，项目建设可行。</w:t>
            </w:r>
          </w:p>
          <w:p>
            <w:pPr>
              <w:spacing w:line="480" w:lineRule="exact"/>
              <w:ind w:firstLine="480" w:firstLineChars="200"/>
              <w:rPr>
                <w:rFonts w:hint="default" w:ascii="Times New Roman" w:hAnsi="Times New Roman" w:eastAsia="宋体" w:cs="Times New Roman"/>
                <w:color w:val="auto"/>
                <w:sz w:val="24"/>
                <w:highlight w:val="none"/>
                <w:lang w:eastAsia="zh-CN"/>
              </w:rPr>
            </w:pPr>
          </w:p>
        </w:tc>
      </w:tr>
    </w:tbl>
    <w:p>
      <w:pPr>
        <w:rPr>
          <w:rFonts w:hint="default" w:ascii="Times New Roman" w:hAnsi="Times New Roman" w:cs="Times New Roman"/>
          <w:color w:val="auto"/>
          <w:highlight w:val="none"/>
        </w:rPr>
        <w:sectPr>
          <w:pgSz w:w="11905" w:h="16838"/>
          <w:pgMar w:top="1134" w:right="1531" w:bottom="1134"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17"/>
        <w:adjustRightInd w:val="0"/>
        <w:snapToGrid w:val="0"/>
        <w:spacing w:before="0" w:beforeAutospacing="0" w:after="0" w:afterAutospacing="0" w:line="600" w:lineRule="exact"/>
        <w:outlineLvl w:val="0"/>
        <w:rPr>
          <w:rFonts w:hint="default" w:ascii="Times New Roman" w:hAnsi="Times New Roman" w:cs="Times New Roman"/>
          <w:snapToGrid w:val="0"/>
          <w:color w:val="auto"/>
          <w:sz w:val="32"/>
          <w:szCs w:val="32"/>
          <w:highlight w:val="none"/>
        </w:rPr>
      </w:pPr>
      <w:bookmarkStart w:id="21" w:name="_Toc30057"/>
      <w:bookmarkStart w:id="22" w:name="_Toc10436"/>
      <w:bookmarkStart w:id="23" w:name="_Toc14822"/>
      <w:r>
        <w:rPr>
          <w:rFonts w:hint="default" w:ascii="Times New Roman" w:hAnsi="Times New Roman" w:cs="Times New Roman"/>
          <w:snapToGrid w:val="0"/>
          <w:color w:val="auto"/>
          <w:sz w:val="32"/>
          <w:szCs w:val="32"/>
          <w:highlight w:val="none"/>
        </w:rPr>
        <w:t>附表</w:t>
      </w:r>
      <w:bookmarkEnd w:id="21"/>
      <w:bookmarkEnd w:id="22"/>
      <w:bookmarkEnd w:id="23"/>
    </w:p>
    <w:p>
      <w:pPr>
        <w:pStyle w:val="17"/>
        <w:adjustRightInd w:val="0"/>
        <w:snapToGrid w:val="0"/>
        <w:spacing w:before="0" w:beforeAutospacing="0" w:after="0" w:afterAutospacing="0" w:line="600" w:lineRule="exact"/>
        <w:jc w:val="center"/>
        <w:outlineLvl w:val="0"/>
        <w:rPr>
          <w:rFonts w:hint="default" w:ascii="Times New Roman" w:hAnsi="Times New Roman" w:cs="Times New Roman"/>
          <w:snapToGrid w:val="0"/>
          <w:color w:val="auto"/>
          <w:sz w:val="32"/>
          <w:szCs w:val="32"/>
          <w:highlight w:val="none"/>
        </w:rPr>
      </w:pPr>
      <w:bookmarkStart w:id="24" w:name="_Toc23936"/>
      <w:bookmarkStart w:id="25" w:name="_Toc9780"/>
      <w:r>
        <w:rPr>
          <w:rFonts w:hint="default" w:ascii="Times New Roman" w:hAnsi="Times New Roman" w:cs="Times New Roman"/>
          <w:snapToGrid w:val="0"/>
          <w:color w:val="auto"/>
          <w:sz w:val="32"/>
          <w:szCs w:val="32"/>
          <w:highlight w:val="none"/>
        </w:rPr>
        <w:t>建设项目污染物排放量汇总表</w:t>
      </w:r>
      <w:bookmarkEnd w:id="24"/>
      <w:bookmarkEnd w:id="25"/>
    </w:p>
    <w:p>
      <w:pPr>
        <w:pStyle w:val="17"/>
        <w:adjustRightInd w:val="0"/>
        <w:snapToGrid w:val="0"/>
        <w:spacing w:before="0" w:beforeAutospacing="0" w:after="0" w:afterAutospacing="0" w:line="240" w:lineRule="auto"/>
        <w:jc w:val="center"/>
        <w:outlineLvl w:val="0"/>
        <w:rPr>
          <w:rFonts w:hint="default" w:ascii="Times New Roman" w:hAnsi="Times New Roman" w:cs="Times New Roman"/>
          <w:snapToGrid w:val="0"/>
          <w:color w:val="auto"/>
          <w:sz w:val="38"/>
          <w:szCs w:val="38"/>
          <w:highlight w:val="none"/>
          <w:lang w:val="en-US"/>
        </w:rPr>
      </w:pPr>
      <w:r>
        <w:rPr>
          <w:rFonts w:hint="default" w:ascii="Times New Roman" w:hAnsi="Times New Roman" w:cs="Times New Roman"/>
          <w:color w:val="auto"/>
          <w:highlight w:val="none"/>
          <w:lang w:val="en-US" w:eastAsia="zh-CN"/>
        </w:rPr>
        <w:t xml:space="preserve">                                                                                       </w:t>
      </w:r>
      <w:bookmarkStart w:id="26" w:name="_Toc26690"/>
      <w:bookmarkStart w:id="27" w:name="_Toc18082"/>
      <w:bookmarkStart w:id="28" w:name="_Toc5349"/>
      <w:r>
        <w:rPr>
          <w:rFonts w:hint="default" w:ascii="Times New Roman" w:hAnsi="Times New Roman" w:cs="Times New Roman"/>
          <w:color w:val="auto"/>
          <w:highlight w:val="none"/>
          <w:lang w:val="en-US" w:eastAsia="zh-CN"/>
        </w:rPr>
        <w:t>单位t/a</w:t>
      </w:r>
      <w:bookmarkEnd w:id="26"/>
      <w:bookmarkEnd w:id="27"/>
      <w:bookmarkEnd w:id="28"/>
    </w:p>
    <w:tbl>
      <w:tblPr>
        <w:tblStyle w:val="20"/>
        <w:tblW w:w="14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886"/>
        <w:gridCol w:w="1668"/>
        <w:gridCol w:w="1360"/>
        <w:gridCol w:w="1813"/>
        <w:gridCol w:w="1661"/>
        <w:gridCol w:w="1632"/>
        <w:gridCol w:w="1875"/>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61" w:type="dxa"/>
            <w:tcBorders>
              <w:tl2br w:val="single" w:color="auto" w:sz="4" w:space="0"/>
            </w:tcBorders>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 xml:space="preserve">       </w:t>
            </w:r>
            <w:r>
              <w:rPr>
                <w:rFonts w:hint="default" w:ascii="Times New Roman" w:hAnsi="Times New Roman" w:eastAsia="宋体" w:cs="Times New Roman"/>
                <w:snapToGrid w:val="0"/>
                <w:color w:val="auto"/>
                <w:spacing w:val="-6"/>
                <w:kern w:val="21"/>
                <w:sz w:val="21"/>
                <w:szCs w:val="21"/>
                <w:highlight w:val="none"/>
              </w:rPr>
              <w:t>项目</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both"/>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分类</w:t>
            </w:r>
          </w:p>
        </w:tc>
        <w:tc>
          <w:tcPr>
            <w:tcW w:w="1886"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污染物名称</w:t>
            </w:r>
          </w:p>
        </w:tc>
        <w:tc>
          <w:tcPr>
            <w:tcW w:w="1668"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p>
        </w:tc>
        <w:tc>
          <w:tcPr>
            <w:tcW w:w="1360"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许可排放量</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②</w:t>
            </w:r>
            <w:r>
              <w:rPr>
                <w:rFonts w:hint="default" w:ascii="Times New Roman" w:hAnsi="Times New Roman" w:eastAsia="宋体" w:cs="Times New Roman"/>
                <w:snapToGrid w:val="0"/>
                <w:color w:val="auto"/>
                <w:spacing w:val="-6"/>
                <w:kern w:val="21"/>
                <w:sz w:val="21"/>
                <w:szCs w:val="21"/>
                <w:highlight w:val="none"/>
              </w:rPr>
              <w:fldChar w:fldCharType="end"/>
            </w:r>
          </w:p>
        </w:tc>
        <w:tc>
          <w:tcPr>
            <w:tcW w:w="1813"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在建工程</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p>
        </w:tc>
        <w:tc>
          <w:tcPr>
            <w:tcW w:w="1661"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p>
        </w:tc>
        <w:tc>
          <w:tcPr>
            <w:tcW w:w="1632"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以新带老削减量</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（新建项目不填）</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⑤</w:t>
            </w:r>
            <w:r>
              <w:rPr>
                <w:rFonts w:hint="default" w:ascii="Times New Roman" w:hAnsi="Times New Roman" w:eastAsia="宋体" w:cs="Times New Roman"/>
                <w:snapToGrid w:val="0"/>
                <w:color w:val="auto"/>
                <w:spacing w:val="-6"/>
                <w:kern w:val="21"/>
                <w:sz w:val="21"/>
                <w:szCs w:val="21"/>
                <w:highlight w:val="none"/>
              </w:rPr>
              <w:fldChar w:fldCharType="end"/>
            </w:r>
          </w:p>
        </w:tc>
        <w:tc>
          <w:tcPr>
            <w:tcW w:w="1875"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本项目建成后</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全厂排放量（固体废物产生量）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⑥</w:t>
            </w:r>
            <w:r>
              <w:rPr>
                <w:rFonts w:hint="default" w:ascii="Times New Roman" w:hAnsi="Times New Roman" w:eastAsia="宋体" w:cs="Times New Roman"/>
                <w:snapToGrid w:val="0"/>
                <w:color w:val="auto"/>
                <w:spacing w:val="-6"/>
                <w:kern w:val="21"/>
                <w:sz w:val="21"/>
                <w:szCs w:val="21"/>
                <w:highlight w:val="none"/>
              </w:rPr>
              <w:fldChar w:fldCharType="end"/>
            </w:r>
          </w:p>
        </w:tc>
        <w:tc>
          <w:tcPr>
            <w:tcW w:w="1339" w:type="dxa"/>
            <w:noWrap w:val="0"/>
            <w:tcMar>
              <w:left w:w="28" w:type="dxa"/>
              <w:right w:w="28" w:type="dxa"/>
            </w:tcMar>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变化量</w:t>
            </w:r>
          </w:p>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1" w:type="dxa"/>
            <w:vMerge w:val="restart"/>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废气</w:t>
            </w:r>
          </w:p>
        </w:tc>
        <w:tc>
          <w:tcPr>
            <w:tcW w:w="1886"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颗粒物</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1661" w:type="dxa"/>
            <w:noWrap w:val="0"/>
            <w:vAlign w:val="center"/>
          </w:tcPr>
          <w:p>
            <w:pPr>
              <w:spacing w:line="28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931</w:t>
            </w:r>
            <w:r>
              <w:rPr>
                <w:rFonts w:hint="default" w:ascii="Times New Roman" w:hAnsi="Times New Roman" w:eastAsia="宋体" w:cs="Times New Roman"/>
                <w:color w:val="auto"/>
                <w:sz w:val="21"/>
                <w:szCs w:val="21"/>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spacing w:line="28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931</w:t>
            </w:r>
            <w:r>
              <w:rPr>
                <w:rFonts w:hint="default" w:ascii="Times New Roman" w:hAnsi="Times New Roman" w:eastAsia="宋体" w:cs="Times New Roman"/>
                <w:color w:val="auto"/>
                <w:sz w:val="21"/>
                <w:szCs w:val="21"/>
                <w:lang w:val="en-US" w:eastAsia="zh-CN"/>
              </w:rPr>
              <w:t>t/a</w:t>
            </w:r>
          </w:p>
        </w:tc>
        <w:tc>
          <w:tcPr>
            <w:tcW w:w="1339" w:type="dxa"/>
            <w:noWrap w:val="0"/>
            <w:vAlign w:val="center"/>
          </w:tcPr>
          <w:p>
            <w:pPr>
              <w:spacing w:line="28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.931</w:t>
            </w:r>
            <w:r>
              <w:rPr>
                <w:rFonts w:hint="default" w:ascii="Times New Roman" w:hAnsi="Times New Roman" w:eastAsia="宋体" w:cs="Times New Roman"/>
                <w:color w:val="auto"/>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p>
        </w:tc>
        <w:tc>
          <w:tcPr>
            <w:tcW w:w="1886"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cs="Times New Roman"/>
                <w:snapToGrid w:val="0"/>
                <w:color w:val="auto"/>
                <w:spacing w:val="-6"/>
                <w:kern w:val="21"/>
                <w:sz w:val="21"/>
                <w:szCs w:val="21"/>
                <w:highlight w:val="none"/>
                <w:lang w:val="en-US" w:eastAsia="zh-CN"/>
              </w:rPr>
            </w:pPr>
            <w:r>
              <w:rPr>
                <w:rFonts w:hint="eastAsia" w:ascii="Times New Roman" w:hAnsi="Times New Roman" w:cs="Times New Roman"/>
                <w:snapToGrid w:val="0"/>
                <w:color w:val="auto"/>
                <w:spacing w:val="-6"/>
                <w:kern w:val="21"/>
                <w:sz w:val="21"/>
                <w:szCs w:val="21"/>
                <w:highlight w:val="none"/>
                <w:lang w:val="en-US" w:eastAsia="zh-CN"/>
              </w:rPr>
              <w:t>臭气浓度</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66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875" w:type="dxa"/>
            <w:noWrap w:val="0"/>
            <w:vAlign w:val="center"/>
          </w:tcPr>
          <w:p>
            <w:pPr>
              <w:spacing w:line="28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3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1"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废水</w:t>
            </w:r>
          </w:p>
        </w:tc>
        <w:tc>
          <w:tcPr>
            <w:tcW w:w="1886"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0t/a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c>
          <w:tcPr>
            <w:tcW w:w="1875" w:type="dxa"/>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eastAsia="宋体" w:cs="Times New Roman"/>
                <w:snapToGrid w:val="0"/>
                <w:color w:val="auto"/>
                <w:spacing w:val="-6"/>
                <w:kern w:val="21"/>
                <w:sz w:val="21"/>
                <w:szCs w:val="21"/>
                <w:highlight w:val="none"/>
                <w:lang w:val="en-US" w:eastAsia="zh-CN"/>
              </w:rPr>
              <w:t>0t/a</w:t>
            </w:r>
          </w:p>
        </w:tc>
        <w:tc>
          <w:tcPr>
            <w:tcW w:w="1339"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1" w:type="dxa"/>
            <w:vMerge w:val="restart"/>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一般工业固体废物</w:t>
            </w:r>
          </w:p>
        </w:tc>
        <w:tc>
          <w:tcPr>
            <w:tcW w:w="1886"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color w:val="auto"/>
                <w:szCs w:val="21"/>
                <w:lang w:bidi="ar"/>
              </w:rPr>
              <w:t>除尘灰</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eastAsia" w:cs="Times New Roman"/>
                <w:color w:val="auto"/>
                <w:szCs w:val="21"/>
                <w:lang w:val="en-US" w:eastAsia="zh-CN" w:bidi="ar"/>
              </w:rPr>
              <w:t>25.676</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cs="Times New Roman"/>
                <w:color w:val="auto"/>
                <w:szCs w:val="21"/>
                <w:lang w:val="en-US" w:eastAsia="zh-CN" w:bidi="ar"/>
              </w:rPr>
              <w:t>25.676</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eastAsia" w:cs="Times New Roman"/>
                <w:color w:val="auto"/>
                <w:szCs w:val="21"/>
                <w:lang w:val="en-US" w:eastAsia="zh-CN" w:bidi="ar"/>
              </w:rPr>
              <w:t>+25.676</w:t>
            </w:r>
            <w:r>
              <w:rPr>
                <w:rFonts w:hint="default" w:ascii="Times New Roman" w:hAnsi="Times New Roman" w:eastAsia="宋体" w:cs="Times New Roman"/>
                <w:snapToGrid w:val="0"/>
                <w:color w:val="auto"/>
                <w:spacing w:val="-6"/>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cs="Times New Roman"/>
                <w:color w:val="auto"/>
                <w:sz w:val="21"/>
                <w:szCs w:val="21"/>
                <w:highlight w:val="none"/>
              </w:rPr>
            </w:pPr>
          </w:p>
        </w:tc>
        <w:tc>
          <w:tcPr>
            <w:tcW w:w="1886"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color w:val="auto"/>
                <w:szCs w:val="21"/>
                <w:lang w:bidi="ar"/>
              </w:rPr>
              <w:t>废布袋</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lang w:bidi="ar"/>
              </w:rPr>
              <w:t>0.</w:t>
            </w:r>
            <w:r>
              <w:rPr>
                <w:rFonts w:hint="default" w:ascii="Times New Roman" w:hAnsi="Times New Roman" w:cs="Times New Roman"/>
                <w:color w:val="auto"/>
                <w:szCs w:val="21"/>
                <w:lang w:val="en-US" w:eastAsia="zh-CN" w:bidi="ar"/>
              </w:rPr>
              <w:t>5</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lang w:bidi="ar"/>
              </w:rPr>
              <w:t>0.</w:t>
            </w:r>
            <w:r>
              <w:rPr>
                <w:rFonts w:hint="default" w:ascii="Times New Roman" w:hAnsi="Times New Roman" w:cs="Times New Roman"/>
                <w:color w:val="auto"/>
                <w:szCs w:val="21"/>
                <w:lang w:val="en-US" w:eastAsia="zh-CN" w:bidi="ar"/>
              </w:rPr>
              <w:t>5</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cs="Times New Roman"/>
                <w:color w:val="auto"/>
                <w:szCs w:val="21"/>
                <w:lang w:val="en-US" w:eastAsia="zh-CN" w:bidi="ar"/>
              </w:rPr>
              <w:t>+</w:t>
            </w:r>
            <w:r>
              <w:rPr>
                <w:rFonts w:hint="default" w:ascii="Times New Roman" w:hAnsi="Times New Roman" w:cs="Times New Roman"/>
                <w:color w:val="auto"/>
                <w:szCs w:val="21"/>
                <w:lang w:bidi="ar"/>
              </w:rPr>
              <w:t>0.</w:t>
            </w:r>
            <w:r>
              <w:rPr>
                <w:rFonts w:hint="default" w:ascii="Times New Roman" w:hAnsi="Times New Roman" w:cs="Times New Roman"/>
                <w:color w:val="auto"/>
                <w:szCs w:val="21"/>
                <w:lang w:val="en-US" w:eastAsia="zh-CN" w:bidi="ar"/>
              </w:rPr>
              <w:t>5</w:t>
            </w:r>
            <w:r>
              <w:rPr>
                <w:rFonts w:hint="default" w:ascii="Times New Roman" w:hAnsi="Times New Roman" w:eastAsia="宋体" w:cs="Times New Roman"/>
                <w:snapToGrid w:val="0"/>
                <w:color w:val="auto"/>
                <w:spacing w:val="-6"/>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cs="Times New Roman"/>
                <w:color w:val="auto"/>
                <w:sz w:val="21"/>
                <w:szCs w:val="21"/>
                <w:highlight w:val="none"/>
              </w:rPr>
            </w:pPr>
          </w:p>
        </w:tc>
        <w:tc>
          <w:tcPr>
            <w:tcW w:w="1886" w:type="dxa"/>
            <w:noWrap w:val="0"/>
            <w:vAlign w:val="center"/>
          </w:tcPr>
          <w:p>
            <w:pPr>
              <w:adjustRightInd w:val="0"/>
              <w:snapToGrid w:val="0"/>
              <w:jc w:val="center"/>
              <w:rPr>
                <w:rFonts w:hint="default" w:ascii="Times New Roman" w:hAnsi="Times New Roman" w:cs="Times New Roman"/>
                <w:snapToGrid w:val="0"/>
                <w:color w:val="auto"/>
                <w:spacing w:val="-6"/>
                <w:kern w:val="21"/>
                <w:sz w:val="21"/>
                <w:szCs w:val="21"/>
                <w:highlight w:val="none"/>
                <w:lang w:val="en-US" w:eastAsia="zh-CN"/>
              </w:rPr>
            </w:pPr>
            <w:r>
              <w:rPr>
                <w:rFonts w:hint="eastAsia" w:cs="Times New Roman"/>
                <w:color w:val="auto"/>
                <w:szCs w:val="21"/>
                <w:lang w:val="en-US" w:eastAsia="zh-CN" w:bidi="ar"/>
              </w:rPr>
              <w:t>碳化</w:t>
            </w:r>
            <w:r>
              <w:rPr>
                <w:rFonts w:hint="default" w:ascii="Times New Roman" w:hAnsi="Times New Roman" w:eastAsia="宋体" w:cs="Times New Roman"/>
                <w:color w:val="auto"/>
                <w:szCs w:val="21"/>
                <w:lang w:val="en-US" w:eastAsia="zh-CN" w:bidi="ar"/>
              </w:rPr>
              <w:t>充分的杂质</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bidi="ar"/>
              </w:rPr>
              <w:t>5</w:t>
            </w:r>
            <w:r>
              <w:rPr>
                <w:rFonts w:hint="eastAsia" w:cs="Times New Roman"/>
                <w:color w:val="auto"/>
                <w:szCs w:val="21"/>
                <w:lang w:val="en-US" w:eastAsia="zh-CN" w:bidi="ar"/>
              </w:rPr>
              <w:t>00</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snapToGrid w:val="0"/>
                <w:color w:val="auto"/>
                <w:spacing w:val="-6"/>
                <w:kern w:val="21"/>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bidi="ar"/>
              </w:rPr>
              <w:t>5</w:t>
            </w:r>
            <w:r>
              <w:rPr>
                <w:rFonts w:hint="eastAsia" w:cs="Times New Roman"/>
                <w:color w:val="auto"/>
                <w:szCs w:val="21"/>
                <w:lang w:val="en-US" w:eastAsia="zh-CN" w:bidi="ar"/>
              </w:rPr>
              <w:t>00</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noWrap w:val="0"/>
            <w:vAlign w:val="center"/>
          </w:tcPr>
          <w:p>
            <w:pPr>
              <w:adjustRightInd w:val="0"/>
              <w:snapToGrid w:val="0"/>
              <w:jc w:val="center"/>
              <w:rPr>
                <w:rFonts w:hint="default" w:ascii="Times New Roman" w:hAnsi="Times New Roman" w:cs="Times New Roman"/>
                <w:snapToGrid w:val="0"/>
                <w:color w:val="auto"/>
                <w:spacing w:val="-6"/>
                <w:kern w:val="21"/>
                <w:sz w:val="21"/>
                <w:szCs w:val="21"/>
                <w:highlight w:val="none"/>
                <w:lang w:val="en-US" w:eastAsia="zh-CN"/>
              </w:rPr>
            </w:pPr>
            <w:r>
              <w:rPr>
                <w:rFonts w:hint="eastAsia" w:cs="Times New Roman"/>
                <w:color w:val="auto"/>
                <w:szCs w:val="21"/>
                <w:lang w:val="en-US" w:eastAsia="zh-CN" w:bidi="ar"/>
              </w:rPr>
              <w:t>+</w:t>
            </w:r>
            <w:r>
              <w:rPr>
                <w:rFonts w:hint="default" w:ascii="Times New Roman" w:hAnsi="Times New Roman" w:eastAsia="宋体" w:cs="Times New Roman"/>
                <w:color w:val="auto"/>
                <w:szCs w:val="21"/>
                <w:lang w:val="en-US" w:eastAsia="zh-CN" w:bidi="ar"/>
              </w:rPr>
              <w:t>5</w:t>
            </w:r>
            <w:r>
              <w:rPr>
                <w:rFonts w:hint="eastAsia" w:cs="Times New Roman"/>
                <w:color w:val="auto"/>
                <w:szCs w:val="21"/>
                <w:lang w:val="en-US" w:eastAsia="zh-CN" w:bidi="ar"/>
              </w:rPr>
              <w:t>00</w:t>
            </w:r>
            <w:r>
              <w:rPr>
                <w:rFonts w:hint="default" w:ascii="Times New Roman" w:hAnsi="Times New Roman" w:eastAsia="宋体" w:cs="Times New Roman"/>
                <w:snapToGrid w:val="0"/>
                <w:color w:val="auto"/>
                <w:spacing w:val="-6"/>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cs="Times New Roman"/>
                <w:color w:val="auto"/>
                <w:sz w:val="21"/>
                <w:szCs w:val="21"/>
                <w:highlight w:val="none"/>
              </w:rPr>
            </w:pPr>
          </w:p>
        </w:tc>
        <w:tc>
          <w:tcPr>
            <w:tcW w:w="1886" w:type="dxa"/>
            <w:noWrap w:val="0"/>
            <w:vAlign w:val="center"/>
          </w:tcPr>
          <w:p>
            <w:pPr>
              <w:adjustRightInd w:val="0"/>
              <w:snapToGrid w:val="0"/>
              <w:jc w:val="center"/>
              <w:rPr>
                <w:rFonts w:hint="default" w:ascii="Times New Roman" w:hAnsi="Times New Roman" w:cs="Times New Roman"/>
                <w:snapToGrid w:val="0"/>
                <w:color w:val="auto"/>
                <w:spacing w:val="-6"/>
                <w:kern w:val="21"/>
                <w:sz w:val="21"/>
                <w:szCs w:val="21"/>
                <w:highlight w:val="none"/>
                <w:lang w:val="en-US" w:eastAsia="zh-CN"/>
              </w:rPr>
            </w:pPr>
            <w:r>
              <w:rPr>
                <w:rFonts w:hint="default" w:ascii="Times New Roman" w:hAnsi="Times New Roman" w:eastAsia="宋体" w:cs="Times New Roman"/>
                <w:color w:val="auto"/>
                <w:szCs w:val="21"/>
                <w:lang w:val="en-US" w:eastAsia="zh-CN" w:bidi="ar"/>
              </w:rPr>
              <w:t>废除臭剂桶</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lang w:val="en-US" w:eastAsia="zh-CN" w:bidi="ar"/>
              </w:rPr>
              <w:t>0.1</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lang w:val="en-US" w:eastAsia="zh-CN" w:bidi="ar"/>
              </w:rPr>
              <w:t>0.1</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noWrap w:val="0"/>
            <w:vAlign w:val="center"/>
          </w:tcPr>
          <w:p>
            <w:pPr>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cs="Times New Roman"/>
                <w:color w:val="auto"/>
                <w:szCs w:val="21"/>
                <w:lang w:val="en-US" w:eastAsia="zh-CN" w:bidi="ar"/>
              </w:rPr>
              <w:t>+</w:t>
            </w:r>
            <w:r>
              <w:rPr>
                <w:rFonts w:hint="default" w:ascii="Times New Roman" w:hAnsi="Times New Roman" w:eastAsia="宋体" w:cs="Times New Roman"/>
                <w:color w:val="auto"/>
                <w:szCs w:val="21"/>
                <w:lang w:val="en-US" w:eastAsia="zh-CN" w:bidi="ar"/>
              </w:rPr>
              <w:t>0.1</w:t>
            </w:r>
            <w:r>
              <w:rPr>
                <w:rFonts w:hint="default" w:ascii="Times New Roman" w:hAnsi="Times New Roman" w:eastAsia="宋体" w:cs="Times New Roman"/>
                <w:snapToGrid w:val="0"/>
                <w:color w:val="auto"/>
                <w:spacing w:val="-6"/>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cs="Times New Roman"/>
                <w:color w:val="auto"/>
                <w:sz w:val="21"/>
                <w:szCs w:val="21"/>
                <w:highlight w:val="none"/>
              </w:rPr>
            </w:pPr>
          </w:p>
        </w:tc>
        <w:tc>
          <w:tcPr>
            <w:tcW w:w="1886" w:type="dxa"/>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生活垃圾</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adjustRightInd w:val="0"/>
              <w:snapToGrid w:val="0"/>
              <w:jc w:val="center"/>
              <w:rPr>
                <w:rFonts w:hint="default" w:ascii="Times New Roman" w:hAnsi="Times New Roman" w:eastAsia="宋体" w:cs="Times New Roman"/>
                <w:color w:val="auto"/>
                <w:szCs w:val="21"/>
                <w:lang w:val="en-US" w:eastAsia="zh-CN" w:bidi="ar"/>
              </w:rPr>
            </w:pPr>
            <w:r>
              <w:rPr>
                <w:rFonts w:hint="eastAsia" w:cs="Times New Roman"/>
                <w:color w:val="auto"/>
                <w:szCs w:val="21"/>
                <w:lang w:val="en-US" w:eastAsia="zh-CN" w:bidi="ar"/>
              </w:rPr>
              <w:t>3</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adjustRightInd w:val="0"/>
              <w:snapToGrid w:val="0"/>
              <w:jc w:val="center"/>
              <w:rPr>
                <w:rFonts w:hint="eastAsia" w:ascii="Times New Roman" w:hAnsi="Times New Roman" w:cs="Times New Roman"/>
                <w:color w:val="auto"/>
                <w:sz w:val="21"/>
                <w:szCs w:val="21"/>
                <w:lang w:val="en-US" w:eastAsia="zh-CN" w:bidi="ar"/>
              </w:rPr>
            </w:pPr>
            <w:r>
              <w:rPr>
                <w:rFonts w:hint="eastAsia" w:cs="Times New Roman"/>
                <w:color w:val="auto"/>
                <w:szCs w:val="21"/>
                <w:lang w:val="en-US" w:eastAsia="zh-CN" w:bidi="ar"/>
              </w:rPr>
              <w:t>3</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noWrap w:val="0"/>
            <w:vAlign w:val="center"/>
          </w:tcPr>
          <w:p>
            <w:pPr>
              <w:adjustRightInd w:val="0"/>
              <w:snapToGrid w:val="0"/>
              <w:jc w:val="center"/>
              <w:rPr>
                <w:rFonts w:hint="eastAsia" w:ascii="Times New Roman" w:hAnsi="Times New Roman" w:eastAsia="宋体" w:cs="Times New Roman"/>
                <w:color w:val="auto"/>
                <w:szCs w:val="21"/>
                <w:lang w:val="en-US" w:eastAsia="zh-CN" w:bidi="ar"/>
              </w:rPr>
            </w:pPr>
            <w:r>
              <w:rPr>
                <w:rFonts w:hint="eastAsia" w:cs="Times New Roman"/>
                <w:color w:val="auto"/>
                <w:szCs w:val="21"/>
                <w:lang w:val="en-US" w:eastAsia="zh-CN" w:bidi="ar"/>
              </w:rPr>
              <w:t>+3</w:t>
            </w:r>
            <w:r>
              <w:rPr>
                <w:rFonts w:hint="default" w:ascii="Times New Roman" w:hAnsi="Times New Roman" w:eastAsia="宋体" w:cs="Times New Roman"/>
                <w:snapToGrid w:val="0"/>
                <w:color w:val="auto"/>
                <w:spacing w:val="-6"/>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1" w:type="dxa"/>
            <w:vMerge w:val="restart"/>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lang w:eastAsia="zh-CN"/>
              </w:rPr>
              <w:t>危险</w:t>
            </w:r>
            <w:r>
              <w:rPr>
                <w:rFonts w:hint="default" w:ascii="Times New Roman" w:hAnsi="Times New Roman" w:eastAsia="宋体" w:cs="Times New Roman"/>
                <w:snapToGrid w:val="0"/>
                <w:color w:val="auto"/>
                <w:spacing w:val="-6"/>
                <w:kern w:val="21"/>
                <w:sz w:val="21"/>
                <w:szCs w:val="21"/>
                <w:highlight w:val="none"/>
              </w:rPr>
              <w:t>废物</w:t>
            </w:r>
          </w:p>
        </w:tc>
        <w:tc>
          <w:tcPr>
            <w:tcW w:w="1886"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kern w:val="0"/>
                <w:sz w:val="21"/>
                <w:szCs w:val="21"/>
              </w:rPr>
              <w:t>废润滑油</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cs="Times New Roman"/>
                <w:snapToGrid w:val="0"/>
                <w:color w:val="auto"/>
                <w:kern w:val="0"/>
                <w:sz w:val="21"/>
                <w:szCs w:val="21"/>
              </w:rPr>
              <w:t>0.</w:t>
            </w:r>
            <w:r>
              <w:rPr>
                <w:rFonts w:hint="default" w:ascii="Times New Roman" w:hAnsi="Times New Roman" w:cs="Times New Roman"/>
                <w:snapToGrid w:val="0"/>
                <w:color w:val="auto"/>
                <w:kern w:val="0"/>
                <w:sz w:val="21"/>
                <w:szCs w:val="21"/>
                <w:lang w:val="en-US" w:eastAsia="zh-CN"/>
              </w:rPr>
              <w:t>05</w:t>
            </w:r>
            <w:r>
              <w:rPr>
                <w:rFonts w:hint="default" w:ascii="Times New Roman" w:hAnsi="Times New Roman" w:cs="Times New Roman"/>
                <w:snapToGrid w:val="0"/>
                <w:color w:val="auto"/>
                <w:kern w:val="0"/>
                <w:sz w:val="21"/>
                <w:szCs w:val="21"/>
              </w:rPr>
              <w:t>t/a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kern w:val="0"/>
                <w:sz w:val="21"/>
                <w:szCs w:val="21"/>
              </w:rPr>
              <w:t>0.</w:t>
            </w:r>
            <w:r>
              <w:rPr>
                <w:rFonts w:hint="default" w:ascii="Times New Roman" w:hAnsi="Times New Roman" w:cs="Times New Roman"/>
                <w:snapToGrid w:val="0"/>
                <w:color w:val="auto"/>
                <w:kern w:val="0"/>
                <w:sz w:val="21"/>
                <w:szCs w:val="21"/>
                <w:lang w:val="en-US" w:eastAsia="zh-CN"/>
              </w:rPr>
              <w:t>05</w:t>
            </w:r>
            <w:r>
              <w:rPr>
                <w:rFonts w:hint="default" w:ascii="Times New Roman" w:hAnsi="Times New Roman" w:cs="Times New Roman"/>
                <w:snapToGrid w:val="0"/>
                <w:color w:val="auto"/>
                <w:kern w:val="0"/>
                <w:sz w:val="21"/>
                <w:szCs w:val="21"/>
              </w:rPr>
              <w:t>t/a</w:t>
            </w:r>
          </w:p>
        </w:tc>
        <w:tc>
          <w:tcPr>
            <w:tcW w:w="1339"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rPr>
            </w:pPr>
            <w:r>
              <w:rPr>
                <w:rFonts w:hint="eastAsia" w:ascii="Times New Roman" w:hAnsi="Times New Roman" w:cs="Times New Roman"/>
                <w:snapToGrid w:val="0"/>
                <w:color w:val="auto"/>
                <w:kern w:val="0"/>
                <w:sz w:val="21"/>
                <w:szCs w:val="21"/>
                <w:lang w:val="en-US" w:eastAsia="zh-CN"/>
              </w:rPr>
              <w:t>+</w:t>
            </w:r>
            <w:r>
              <w:rPr>
                <w:rFonts w:hint="default" w:ascii="Times New Roman" w:hAnsi="Times New Roman" w:cs="Times New Roman"/>
                <w:snapToGrid w:val="0"/>
                <w:color w:val="auto"/>
                <w:kern w:val="0"/>
                <w:sz w:val="21"/>
                <w:szCs w:val="21"/>
              </w:rPr>
              <w:t>0.</w:t>
            </w:r>
            <w:r>
              <w:rPr>
                <w:rFonts w:hint="default" w:ascii="Times New Roman" w:hAnsi="Times New Roman" w:cs="Times New Roman"/>
                <w:snapToGrid w:val="0"/>
                <w:color w:val="auto"/>
                <w:kern w:val="0"/>
                <w:sz w:val="21"/>
                <w:szCs w:val="21"/>
                <w:lang w:val="en-US" w:eastAsia="zh-CN"/>
              </w:rPr>
              <w:t>05</w:t>
            </w:r>
            <w:r>
              <w:rPr>
                <w:rFonts w:hint="default" w:ascii="Times New Roman" w:hAnsi="Times New Roman" w:cs="Times New Roman"/>
                <w:snapToGrid w:val="0"/>
                <w:color w:val="auto"/>
                <w:kern w:val="0"/>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p>
        </w:tc>
        <w:tc>
          <w:tcPr>
            <w:tcW w:w="1886"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kern w:val="0"/>
                <w:sz w:val="21"/>
                <w:szCs w:val="21"/>
              </w:rPr>
              <w:t>废油桶</w:t>
            </w:r>
          </w:p>
        </w:tc>
        <w:tc>
          <w:tcPr>
            <w:tcW w:w="1668"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kern w:val="0"/>
                <w:sz w:val="21"/>
                <w:szCs w:val="21"/>
              </w:rPr>
              <w:t>2个/a</w:t>
            </w:r>
          </w:p>
        </w:tc>
        <w:tc>
          <w:tcPr>
            <w:tcW w:w="1632"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w:t>
            </w:r>
          </w:p>
        </w:tc>
        <w:tc>
          <w:tcPr>
            <w:tcW w:w="1875"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kern w:val="0"/>
                <w:sz w:val="21"/>
                <w:szCs w:val="21"/>
              </w:rPr>
              <w:t>2个/a</w:t>
            </w:r>
          </w:p>
        </w:tc>
        <w:tc>
          <w:tcPr>
            <w:tcW w:w="1339" w:type="dxa"/>
            <w:noWrap w:val="0"/>
            <w:vAlign w:val="center"/>
          </w:tcPr>
          <w:p>
            <w:pPr>
              <w:tabs>
                <w:tab w:val="left" w:pos="360"/>
              </w:tabs>
              <w:adjustRightInd w:val="0"/>
              <w:snapToGrid w:val="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eastAsia" w:ascii="Times New Roman" w:hAnsi="Times New Roman" w:cs="Times New Roman"/>
                <w:snapToGrid w:val="0"/>
                <w:color w:val="auto"/>
                <w:kern w:val="0"/>
                <w:sz w:val="21"/>
                <w:szCs w:val="21"/>
                <w:lang w:val="en-US" w:eastAsia="zh-CN"/>
              </w:rPr>
              <w:t>+</w:t>
            </w:r>
            <w:r>
              <w:rPr>
                <w:rFonts w:hint="default" w:ascii="Times New Roman" w:hAnsi="Times New Roman" w:cs="Times New Roman"/>
                <w:snapToGrid w:val="0"/>
                <w:color w:val="auto"/>
                <w:kern w:val="0"/>
                <w:sz w:val="21"/>
                <w:szCs w:val="21"/>
              </w:rPr>
              <w:t>2个/a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61" w:type="dxa"/>
            <w:vMerge w:val="continue"/>
            <w:noWrap w:val="0"/>
            <w:vAlign w:val="center"/>
          </w:tcPr>
          <w:p>
            <w:pPr>
              <w:pStyle w:val="33"/>
              <w:keepNext w:val="0"/>
              <w:keepLines w:val="0"/>
              <w:pageBreakBefore w:val="0"/>
              <w:kinsoku/>
              <w:wordWrap/>
              <w:overflowPunct/>
              <w:topLinePunct w:val="0"/>
              <w:autoSpaceDE/>
              <w:autoSpaceDN/>
              <w:bidi w:val="0"/>
              <w:spacing w:beforeLines="0" w:after="0" w:afterLines="0"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rPr>
            </w:pPr>
          </w:p>
        </w:tc>
        <w:tc>
          <w:tcPr>
            <w:tcW w:w="1886" w:type="dxa"/>
            <w:noWrap w:val="0"/>
            <w:vAlign w:val="center"/>
          </w:tcPr>
          <w:p>
            <w:pPr>
              <w:tabs>
                <w:tab w:val="left" w:pos="360"/>
              </w:tabs>
              <w:adjustRightInd w:val="0"/>
              <w:snapToGrid w:val="0"/>
              <w:jc w:val="center"/>
              <w:rPr>
                <w:rFonts w:hint="eastAsia" w:ascii="Times New Roman" w:hAnsi="Times New Roman" w:eastAsia="宋体" w:cs="Times New Roman"/>
                <w:snapToGrid w:val="0"/>
                <w:color w:val="auto"/>
                <w:kern w:val="0"/>
                <w:sz w:val="21"/>
                <w:szCs w:val="21"/>
                <w:lang w:eastAsia="zh-CN"/>
              </w:rPr>
            </w:pPr>
            <w:r>
              <w:rPr>
                <w:rFonts w:hint="eastAsia" w:cs="Times New Roman"/>
                <w:snapToGrid w:val="0"/>
                <w:color w:val="auto"/>
                <w:kern w:val="0"/>
                <w:sz w:val="21"/>
                <w:szCs w:val="21"/>
                <w:lang w:eastAsia="zh-CN"/>
              </w:rPr>
              <w:t>湿式静电除尘装置产生的废油</w:t>
            </w:r>
          </w:p>
        </w:tc>
        <w:tc>
          <w:tcPr>
            <w:tcW w:w="1668"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360"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813"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bidi="ar-SA"/>
              </w:rPr>
            </w:pPr>
            <w:r>
              <w:rPr>
                <w:rFonts w:hint="default" w:ascii="Times New Roman" w:hAnsi="Times New Roman" w:cs="Times New Roman"/>
                <w:snapToGrid w:val="0"/>
                <w:color w:val="auto"/>
                <w:spacing w:val="-6"/>
                <w:kern w:val="21"/>
                <w:sz w:val="21"/>
                <w:szCs w:val="21"/>
                <w:highlight w:val="none"/>
                <w:lang w:val="en-US" w:eastAsia="zh-CN"/>
              </w:rPr>
              <w:t>0</w:t>
            </w:r>
          </w:p>
        </w:tc>
        <w:tc>
          <w:tcPr>
            <w:tcW w:w="1661" w:type="dxa"/>
            <w:shd w:val="clear" w:color="auto" w:fill="auto"/>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val="en-US" w:eastAsia="zh-CN" w:bidi="ar"/>
              </w:rPr>
              <w:t>04</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632"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Times New Roman" w:hAnsi="Times New Roman" w:eastAsia="宋体" w:cs="Times New Roman"/>
                <w:snapToGrid w:val="0"/>
                <w:color w:val="auto"/>
                <w:spacing w:val="-6"/>
                <w:kern w:val="21"/>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w:t>
            </w:r>
          </w:p>
        </w:tc>
        <w:tc>
          <w:tcPr>
            <w:tcW w:w="1875" w:type="dxa"/>
            <w:shd w:val="clear" w:color="auto" w:fill="auto"/>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val="en-US" w:eastAsia="zh-CN" w:bidi="ar"/>
              </w:rPr>
              <w:t>04</w:t>
            </w:r>
            <w:r>
              <w:rPr>
                <w:rFonts w:hint="default" w:ascii="Times New Roman" w:hAnsi="Times New Roman" w:eastAsia="宋体" w:cs="Times New Roman"/>
                <w:snapToGrid w:val="0"/>
                <w:color w:val="auto"/>
                <w:spacing w:val="-6"/>
                <w:kern w:val="21"/>
                <w:sz w:val="21"/>
                <w:szCs w:val="21"/>
                <w:highlight w:val="none"/>
                <w:lang w:val="en-US" w:eastAsia="zh-CN"/>
              </w:rPr>
              <w:t>t/a</w:t>
            </w:r>
          </w:p>
        </w:tc>
        <w:tc>
          <w:tcPr>
            <w:tcW w:w="1339" w:type="dxa"/>
            <w:shd w:val="clear" w:color="auto" w:fill="auto"/>
            <w:noWrap w:val="0"/>
            <w:vAlign w:val="center"/>
          </w:tcPr>
          <w:p>
            <w:pPr>
              <w:adjustRightInd w:val="0"/>
              <w:snapToGrid w:val="0"/>
              <w:jc w:val="center"/>
              <w:rPr>
                <w:rFonts w:hint="eastAsia" w:ascii="Times New Roman" w:hAnsi="Times New Roman" w:eastAsia="宋体" w:cs="Times New Roman"/>
                <w:snapToGrid w:val="0"/>
                <w:color w:val="auto"/>
                <w:spacing w:val="-6"/>
                <w:kern w:val="21"/>
                <w:sz w:val="21"/>
                <w:szCs w:val="21"/>
                <w:highlight w:val="none"/>
                <w:lang w:val="en-US" w:eastAsia="zh-CN" w:bidi="ar-SA"/>
              </w:rPr>
            </w:pPr>
            <w:r>
              <w:rPr>
                <w:rFonts w:hint="eastAsia" w:cs="Times New Roman"/>
                <w:color w:val="auto"/>
                <w:szCs w:val="21"/>
                <w:lang w:val="en-US" w:eastAsia="zh-CN" w:bidi="ar"/>
              </w:rPr>
              <w:t>+</w:t>
            </w:r>
            <w:r>
              <w:rPr>
                <w:rFonts w:hint="default"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val="en-US" w:eastAsia="zh-CN" w:bidi="ar"/>
              </w:rPr>
              <w:t>04</w:t>
            </w:r>
            <w:r>
              <w:rPr>
                <w:rFonts w:hint="default" w:ascii="Times New Roman" w:hAnsi="Times New Roman" w:eastAsia="宋体" w:cs="Times New Roman"/>
                <w:snapToGrid w:val="0"/>
                <w:color w:val="auto"/>
                <w:spacing w:val="-6"/>
                <w:kern w:val="21"/>
                <w:sz w:val="21"/>
                <w:szCs w:val="21"/>
                <w:highlight w:val="none"/>
                <w:lang w:val="en-US" w:eastAsia="zh-CN"/>
              </w:rPr>
              <w:t>t/a</w:t>
            </w:r>
          </w:p>
        </w:tc>
      </w:tr>
    </w:tbl>
    <w:p>
      <w:pPr>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sectPr>
      <w:footerReference r:id="rId7" w:type="default"/>
      <w:pgSz w:w="16838" w:h="11905" w:orient="landscape"/>
      <w:pgMar w:top="1531" w:right="1134" w:bottom="1531" w:left="113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0" w:hanging="48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0" w:hanging="48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900" w:hanging="48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ind w:left="900" w:hanging="48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11</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sacg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4S7GnIAQAAmQMAAA4AAAAAAAAAAQAgAAAAHgEAAGRycy9lMm9Eb2Mu&#10;eG1sUEsFBgAAAAAGAAYAWQEAAFgFAAAAAA==&#10;">
              <v:fill on="f" focussize="0,0"/>
              <v:stroke on="f"/>
              <v:imagedata o:title=""/>
              <o:lock v:ext="edit" aspectratio="f"/>
              <v:textbox inset="0mm,0mm,0mm,0mm" style="mso-fit-shape-to-text:t;">
                <w:txbxContent>
                  <w:p>
                    <w:pPr>
                      <w:pStyle w:val="13"/>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11</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2BD8E"/>
    <w:multiLevelType w:val="singleLevel"/>
    <w:tmpl w:val="8952BD8E"/>
    <w:lvl w:ilvl="0" w:tentative="0">
      <w:start w:val="2"/>
      <w:numFmt w:val="decimal"/>
      <w:suff w:val="nothing"/>
      <w:lvlText w:val="%1、"/>
      <w:lvlJc w:val="left"/>
    </w:lvl>
  </w:abstractNum>
  <w:abstractNum w:abstractNumId="1">
    <w:nsid w:val="A0758426"/>
    <w:multiLevelType w:val="singleLevel"/>
    <w:tmpl w:val="A0758426"/>
    <w:lvl w:ilvl="0" w:tentative="0">
      <w:start w:val="1"/>
      <w:numFmt w:val="decimal"/>
      <w:suff w:val="nothing"/>
      <w:lvlText w:val="%1、"/>
      <w:lvlJc w:val="left"/>
    </w:lvl>
  </w:abstractNum>
  <w:abstractNum w:abstractNumId="2">
    <w:nsid w:val="5DB4B7D7"/>
    <w:multiLevelType w:val="singleLevel"/>
    <w:tmpl w:val="5DB4B7D7"/>
    <w:lvl w:ilvl="0" w:tentative="0">
      <w:start w:val="1"/>
      <w:numFmt w:val="decimal"/>
      <w:suff w:val="nothing"/>
      <w:lvlText w:val="%1、"/>
      <w:lvlJc w:val="left"/>
    </w:lvl>
  </w:abstractNum>
  <w:abstractNum w:abstractNumId="3">
    <w:nsid w:val="7ABDCEBE"/>
    <w:multiLevelType w:val="singleLevel"/>
    <w:tmpl w:val="7ABDCEBE"/>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dhZjNkM2ZlNzg4YjFkMDA1YjM2NmMxY2E1MWQifQ=="/>
  </w:docVars>
  <w:rsids>
    <w:rsidRoot w:val="5F63327D"/>
    <w:rsid w:val="00560A50"/>
    <w:rsid w:val="00EA233A"/>
    <w:rsid w:val="0147369A"/>
    <w:rsid w:val="038F5259"/>
    <w:rsid w:val="04040BCD"/>
    <w:rsid w:val="054D5F7C"/>
    <w:rsid w:val="06A74829"/>
    <w:rsid w:val="071D409A"/>
    <w:rsid w:val="08193505"/>
    <w:rsid w:val="08274ECE"/>
    <w:rsid w:val="08602EE2"/>
    <w:rsid w:val="087D1C0C"/>
    <w:rsid w:val="095852FE"/>
    <w:rsid w:val="095D1116"/>
    <w:rsid w:val="0A7163B8"/>
    <w:rsid w:val="0AB53219"/>
    <w:rsid w:val="0B56521B"/>
    <w:rsid w:val="0B572CE2"/>
    <w:rsid w:val="0BA852CC"/>
    <w:rsid w:val="0C645805"/>
    <w:rsid w:val="0CED2697"/>
    <w:rsid w:val="0DA16476"/>
    <w:rsid w:val="0E2914A3"/>
    <w:rsid w:val="0E880D76"/>
    <w:rsid w:val="0F267783"/>
    <w:rsid w:val="0F954EA7"/>
    <w:rsid w:val="0FE9465C"/>
    <w:rsid w:val="11746BE2"/>
    <w:rsid w:val="12481BE9"/>
    <w:rsid w:val="125151F6"/>
    <w:rsid w:val="12634252"/>
    <w:rsid w:val="12970E4F"/>
    <w:rsid w:val="139118AD"/>
    <w:rsid w:val="13BB7B66"/>
    <w:rsid w:val="13E5194E"/>
    <w:rsid w:val="145A2EDB"/>
    <w:rsid w:val="145E0F84"/>
    <w:rsid w:val="15586D6F"/>
    <w:rsid w:val="15FC6607"/>
    <w:rsid w:val="16287E60"/>
    <w:rsid w:val="1803489E"/>
    <w:rsid w:val="18AD4A8D"/>
    <w:rsid w:val="19600F94"/>
    <w:rsid w:val="1A6515CA"/>
    <w:rsid w:val="1B3A110F"/>
    <w:rsid w:val="1D105E35"/>
    <w:rsid w:val="1D436C02"/>
    <w:rsid w:val="1EA815CE"/>
    <w:rsid w:val="1EB10BC6"/>
    <w:rsid w:val="1F43106C"/>
    <w:rsid w:val="20784E15"/>
    <w:rsid w:val="211231FE"/>
    <w:rsid w:val="217B5AE4"/>
    <w:rsid w:val="218E2416"/>
    <w:rsid w:val="2200346C"/>
    <w:rsid w:val="227F6238"/>
    <w:rsid w:val="228F28EA"/>
    <w:rsid w:val="229A2A9C"/>
    <w:rsid w:val="23DD4EB7"/>
    <w:rsid w:val="23E35B0A"/>
    <w:rsid w:val="247E1839"/>
    <w:rsid w:val="24D11354"/>
    <w:rsid w:val="251175E6"/>
    <w:rsid w:val="25AF4051"/>
    <w:rsid w:val="268C62B0"/>
    <w:rsid w:val="26C7413F"/>
    <w:rsid w:val="2760353D"/>
    <w:rsid w:val="28EF4CB6"/>
    <w:rsid w:val="29442880"/>
    <w:rsid w:val="29F276FB"/>
    <w:rsid w:val="2A692D69"/>
    <w:rsid w:val="2B4941C6"/>
    <w:rsid w:val="2B53566A"/>
    <w:rsid w:val="2C7029AF"/>
    <w:rsid w:val="2CF3012F"/>
    <w:rsid w:val="2D6B37C7"/>
    <w:rsid w:val="2DB346A7"/>
    <w:rsid w:val="2DC433F0"/>
    <w:rsid w:val="2E0C1A77"/>
    <w:rsid w:val="2E500FB8"/>
    <w:rsid w:val="2F005FDC"/>
    <w:rsid w:val="2F522ABC"/>
    <w:rsid w:val="2F6C1D8B"/>
    <w:rsid w:val="2FC80BAE"/>
    <w:rsid w:val="307D672E"/>
    <w:rsid w:val="311F752F"/>
    <w:rsid w:val="32405C72"/>
    <w:rsid w:val="32694A3E"/>
    <w:rsid w:val="33010158"/>
    <w:rsid w:val="3401138E"/>
    <w:rsid w:val="34557490"/>
    <w:rsid w:val="35AA145A"/>
    <w:rsid w:val="36B6362C"/>
    <w:rsid w:val="36CA2B6C"/>
    <w:rsid w:val="36DC12A2"/>
    <w:rsid w:val="36DC4984"/>
    <w:rsid w:val="36F90142"/>
    <w:rsid w:val="37110B74"/>
    <w:rsid w:val="380B4626"/>
    <w:rsid w:val="384D4981"/>
    <w:rsid w:val="3852694C"/>
    <w:rsid w:val="38585A94"/>
    <w:rsid w:val="39515D96"/>
    <w:rsid w:val="3A542CC7"/>
    <w:rsid w:val="3B2A1845"/>
    <w:rsid w:val="3B456C0E"/>
    <w:rsid w:val="3BD73028"/>
    <w:rsid w:val="3C492074"/>
    <w:rsid w:val="3C4F4769"/>
    <w:rsid w:val="3C810E3F"/>
    <w:rsid w:val="3CB15A50"/>
    <w:rsid w:val="3CB251D6"/>
    <w:rsid w:val="3CEE336C"/>
    <w:rsid w:val="3D38321D"/>
    <w:rsid w:val="3D791616"/>
    <w:rsid w:val="3D8806B8"/>
    <w:rsid w:val="3E6E6475"/>
    <w:rsid w:val="3F752BAC"/>
    <w:rsid w:val="3FD5734F"/>
    <w:rsid w:val="3FD95008"/>
    <w:rsid w:val="405B49F2"/>
    <w:rsid w:val="41505AD1"/>
    <w:rsid w:val="41F77869"/>
    <w:rsid w:val="42CC557C"/>
    <w:rsid w:val="42DD308E"/>
    <w:rsid w:val="439F3501"/>
    <w:rsid w:val="440B30A8"/>
    <w:rsid w:val="448C1E5D"/>
    <w:rsid w:val="45AD6B91"/>
    <w:rsid w:val="469A30E0"/>
    <w:rsid w:val="46A2233C"/>
    <w:rsid w:val="46C12DF7"/>
    <w:rsid w:val="476C1214"/>
    <w:rsid w:val="477C51CC"/>
    <w:rsid w:val="48462DDB"/>
    <w:rsid w:val="48CA45DA"/>
    <w:rsid w:val="48DD58AD"/>
    <w:rsid w:val="492C046A"/>
    <w:rsid w:val="4AEC52F9"/>
    <w:rsid w:val="4C8449BE"/>
    <w:rsid w:val="4D2E72D9"/>
    <w:rsid w:val="4DC95151"/>
    <w:rsid w:val="4DF50848"/>
    <w:rsid w:val="4E1D3E7D"/>
    <w:rsid w:val="4E930C33"/>
    <w:rsid w:val="4EB557B6"/>
    <w:rsid w:val="4F66240E"/>
    <w:rsid w:val="501107B5"/>
    <w:rsid w:val="50C979E9"/>
    <w:rsid w:val="50CE6C82"/>
    <w:rsid w:val="50DC6067"/>
    <w:rsid w:val="50DE0560"/>
    <w:rsid w:val="51206ED5"/>
    <w:rsid w:val="51402306"/>
    <w:rsid w:val="518965D2"/>
    <w:rsid w:val="51926BF3"/>
    <w:rsid w:val="51DA6E2E"/>
    <w:rsid w:val="52521ADE"/>
    <w:rsid w:val="52703494"/>
    <w:rsid w:val="52D4387D"/>
    <w:rsid w:val="530A57FC"/>
    <w:rsid w:val="534D1D39"/>
    <w:rsid w:val="5394305F"/>
    <w:rsid w:val="53FA2A94"/>
    <w:rsid w:val="54F13DE7"/>
    <w:rsid w:val="54F20DF2"/>
    <w:rsid w:val="553079A4"/>
    <w:rsid w:val="5579695E"/>
    <w:rsid w:val="568C2C88"/>
    <w:rsid w:val="56B52F4A"/>
    <w:rsid w:val="572A7F10"/>
    <w:rsid w:val="576C07EE"/>
    <w:rsid w:val="577638DD"/>
    <w:rsid w:val="580A1AEF"/>
    <w:rsid w:val="596478C2"/>
    <w:rsid w:val="597436C4"/>
    <w:rsid w:val="5B01542B"/>
    <w:rsid w:val="5B084168"/>
    <w:rsid w:val="5BCC6A4F"/>
    <w:rsid w:val="5D0B79EE"/>
    <w:rsid w:val="5D653600"/>
    <w:rsid w:val="5F163CE0"/>
    <w:rsid w:val="5F36141C"/>
    <w:rsid w:val="5F63327D"/>
    <w:rsid w:val="5FD9100F"/>
    <w:rsid w:val="603D3126"/>
    <w:rsid w:val="60480329"/>
    <w:rsid w:val="604C1425"/>
    <w:rsid w:val="60B054F6"/>
    <w:rsid w:val="6157370D"/>
    <w:rsid w:val="615846A1"/>
    <w:rsid w:val="61F47ADD"/>
    <w:rsid w:val="62AF7E63"/>
    <w:rsid w:val="63B463D4"/>
    <w:rsid w:val="64617369"/>
    <w:rsid w:val="64B9186C"/>
    <w:rsid w:val="65953D05"/>
    <w:rsid w:val="65DC4E82"/>
    <w:rsid w:val="676104F0"/>
    <w:rsid w:val="67852F40"/>
    <w:rsid w:val="68457FB5"/>
    <w:rsid w:val="68564699"/>
    <w:rsid w:val="694112CC"/>
    <w:rsid w:val="6A0B5C2D"/>
    <w:rsid w:val="6AA83639"/>
    <w:rsid w:val="6AF90CEF"/>
    <w:rsid w:val="6C087C65"/>
    <w:rsid w:val="6C0D0834"/>
    <w:rsid w:val="6C522926"/>
    <w:rsid w:val="6D4930F5"/>
    <w:rsid w:val="6DB235A2"/>
    <w:rsid w:val="6DD906A4"/>
    <w:rsid w:val="6F0772F7"/>
    <w:rsid w:val="6FE5439F"/>
    <w:rsid w:val="6FEC2B20"/>
    <w:rsid w:val="701C7BB0"/>
    <w:rsid w:val="70BC4D03"/>
    <w:rsid w:val="70CE5958"/>
    <w:rsid w:val="70D67F0C"/>
    <w:rsid w:val="713E7A6F"/>
    <w:rsid w:val="71752277"/>
    <w:rsid w:val="71B06E9F"/>
    <w:rsid w:val="728D1C0C"/>
    <w:rsid w:val="72D07765"/>
    <w:rsid w:val="73B00816"/>
    <w:rsid w:val="74D16941"/>
    <w:rsid w:val="75565F5C"/>
    <w:rsid w:val="75D330BD"/>
    <w:rsid w:val="75E12BAC"/>
    <w:rsid w:val="75E84C30"/>
    <w:rsid w:val="76505916"/>
    <w:rsid w:val="77387FCF"/>
    <w:rsid w:val="777610E2"/>
    <w:rsid w:val="780E468C"/>
    <w:rsid w:val="78484242"/>
    <w:rsid w:val="79443BEC"/>
    <w:rsid w:val="79693D9E"/>
    <w:rsid w:val="7A721EC3"/>
    <w:rsid w:val="7D1C4A0A"/>
    <w:rsid w:val="7E124D58"/>
    <w:rsid w:val="7E7C479D"/>
    <w:rsid w:val="7EF50554"/>
    <w:rsid w:val="7F2B697D"/>
    <w:rsid w:val="7F686F78"/>
    <w:rsid w:val="7F970ED2"/>
    <w:rsid w:val="7FBE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47"/>
      <w:ind w:left="1532"/>
      <w:outlineLvl w:val="2"/>
    </w:pPr>
    <w:rPr>
      <w:rFonts w:ascii="宋体" w:hAnsi="宋体" w:eastAsia="宋体" w:cs="宋体"/>
      <w:b/>
      <w:bCs/>
      <w:sz w:val="24"/>
      <w:szCs w:val="2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5">
    <w:name w:val="heading 5"/>
    <w:basedOn w:val="1"/>
    <w:next w:val="1"/>
    <w:qFormat/>
    <w:uiPriority w:val="0"/>
    <w:pPr>
      <w:keepNext w:val="0"/>
      <w:keepLines w:val="0"/>
      <w:adjustRightInd w:val="0"/>
      <w:snapToGrid w:val="0"/>
      <w:spacing w:beforeLines="0" w:beforeAutospacing="0" w:afterLines="0" w:afterAutospacing="0" w:line="240" w:lineRule="auto"/>
      <w:ind w:firstLine="0" w:firstLineChars="0"/>
      <w:jc w:val="center"/>
      <w:outlineLvl w:val="4"/>
    </w:pPr>
    <w:rPr>
      <w:rFonts w:ascii="Times New Roman" w:hAnsi="Times New Roman"/>
      <w:b/>
      <w:sz w:val="21"/>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ind w:left="1440" w:leftChars="700" w:right="700" w:rightChars="700"/>
    </w:pPr>
  </w:style>
  <w:style w:type="paragraph" w:styleId="6">
    <w:name w:val="Normal Indent"/>
    <w:basedOn w:val="1"/>
    <w:next w:val="4"/>
    <w:qFormat/>
    <w:uiPriority w:val="0"/>
    <w:pPr>
      <w:ind w:firstLine="420" w:firstLineChars="200"/>
    </w:pPr>
    <w:rPr>
      <w:rFonts w:ascii="Times New Roman" w:hAnsi="Times New Roman" w:eastAsia="宋体"/>
    </w:rPr>
  </w:style>
  <w:style w:type="paragraph" w:styleId="7">
    <w:name w:val="caption"/>
    <w:basedOn w:val="1"/>
    <w:next w:val="1"/>
    <w:qFormat/>
    <w:uiPriority w:val="0"/>
    <w:pPr>
      <w:keepNext/>
      <w:tabs>
        <w:tab w:val="left" w:pos="2445"/>
        <w:tab w:val="center" w:pos="4156"/>
      </w:tabs>
      <w:spacing w:beforeLines="50"/>
      <w:jc w:val="center"/>
    </w:pPr>
    <w:rPr>
      <w:b/>
      <w:snapToGrid w:val="0"/>
    </w:rPr>
  </w:style>
  <w:style w:type="paragraph" w:styleId="8">
    <w:name w:val="index 5"/>
    <w:basedOn w:val="1"/>
    <w:next w:val="1"/>
    <w:qFormat/>
    <w:uiPriority w:val="0"/>
    <w:pPr>
      <w:ind w:left="800" w:leftChars="800"/>
    </w:pPr>
  </w:style>
  <w:style w:type="paragraph" w:styleId="9">
    <w:name w:val="annotation text"/>
    <w:basedOn w:val="1"/>
    <w:semiHidden/>
    <w:qFormat/>
    <w:uiPriority w:val="0"/>
    <w:pPr>
      <w:jc w:val="left"/>
    </w:pPr>
    <w:rPr>
      <w:kern w:val="0"/>
      <w:sz w:val="24"/>
      <w:szCs w:val="20"/>
    </w:rPr>
  </w:style>
  <w:style w:type="paragraph" w:styleId="10">
    <w:name w:val="Body Text"/>
    <w:basedOn w:val="1"/>
    <w:qFormat/>
    <w:uiPriority w:val="0"/>
    <w:pPr>
      <w:widowControl/>
      <w:snapToGrid w:val="0"/>
      <w:spacing w:before="60" w:after="160" w:line="259" w:lineRule="auto"/>
      <w:ind w:right="113"/>
    </w:pPr>
    <w:rPr>
      <w:kern w:val="0"/>
      <w:sz w:val="18"/>
      <w:szCs w:val="20"/>
    </w:rPr>
  </w:style>
  <w:style w:type="paragraph" w:styleId="11">
    <w:name w:val="Body Text Indent"/>
    <w:basedOn w:val="1"/>
    <w:next w:val="7"/>
    <w:qFormat/>
    <w:uiPriority w:val="0"/>
    <w:pPr>
      <w:spacing w:after="120"/>
      <w:ind w:left="420" w:leftChars="200"/>
    </w:pPr>
    <w:rPr>
      <w:kern w:val="0"/>
      <w:sz w:val="24"/>
      <w:szCs w:val="20"/>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240" w:lineRule="exact"/>
      <w:jc w:val="center"/>
    </w:pPr>
    <w:rPr>
      <w:kern w:val="0"/>
      <w:sz w:val="18"/>
      <w:szCs w:val="18"/>
    </w:rPr>
  </w:style>
  <w:style w:type="paragraph" w:styleId="16">
    <w:name w:val="List"/>
    <w:basedOn w:val="1"/>
    <w:qFormat/>
    <w:uiPriority w:val="0"/>
    <w:pPr>
      <w:spacing w:line="400" w:lineRule="atLeast"/>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2"/>
    <w:basedOn w:val="11"/>
    <w:qFormat/>
    <w:uiPriority w:val="0"/>
    <w:pPr>
      <w:spacing w:after="120" w:line="240" w:lineRule="auto"/>
      <w:ind w:left="420" w:leftChars="200" w:firstLine="420" w:firstLineChars="200"/>
    </w:pPr>
    <w:rPr>
      <w:rFonts w:ascii="Times New Roman" w:hAnsi="Times New Roman" w:cs="Times New Roman"/>
      <w:sz w:val="21"/>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qFormat/>
    <w:uiPriority w:val="0"/>
    <w:rPr>
      <w:color w:val="0000FF"/>
      <w:u w:val="single"/>
    </w:rPr>
  </w:style>
  <w:style w:type="character" w:styleId="25">
    <w:name w:val="annotation reference"/>
    <w:semiHidden/>
    <w:qFormat/>
    <w:uiPriority w:val="0"/>
    <w:rPr>
      <w:sz w:val="21"/>
    </w:rPr>
  </w:style>
  <w:style w:type="paragraph" w:customStyle="1" w:styleId="26">
    <w:name w:val="正文部分 Char Char Char"/>
    <w:basedOn w:val="10"/>
    <w:next w:val="27"/>
    <w:qFormat/>
    <w:uiPriority w:val="0"/>
    <w:pPr>
      <w:adjustRightInd w:val="0"/>
      <w:spacing w:line="460" w:lineRule="exact"/>
      <w:textAlignment w:val="baseline"/>
    </w:pPr>
    <w:rPr>
      <w:rFonts w:hAnsi="Calibri"/>
      <w:sz w:val="24"/>
    </w:rPr>
  </w:style>
  <w:style w:type="paragraph" w:customStyle="1" w:styleId="27">
    <w:name w:val="章标题"/>
    <w:basedOn w:val="18"/>
    <w:qFormat/>
    <w:uiPriority w:val="0"/>
    <w:pPr>
      <w:spacing w:line="360" w:lineRule="auto"/>
    </w:pPr>
  </w:style>
  <w:style w:type="paragraph" w:customStyle="1" w:styleId="28">
    <w:name w:val="正文缩进1"/>
    <w:basedOn w:val="1"/>
    <w:qFormat/>
    <w:uiPriority w:val="0"/>
    <w:pPr>
      <w:ind w:firstLine="420"/>
    </w:pPr>
    <w:rPr>
      <w:szCs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Default"/>
    <w:basedOn w:val="31"/>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31">
    <w:name w:val="纯文本1"/>
    <w:basedOn w:val="1"/>
    <w:qFormat/>
    <w:uiPriority w:val="0"/>
    <w:pPr>
      <w:autoSpaceDE w:val="0"/>
      <w:autoSpaceDN w:val="0"/>
      <w:adjustRightInd w:val="0"/>
      <w:ind w:firstLine="480" w:firstLineChars="200"/>
      <w:textAlignment w:val="baseline"/>
    </w:pPr>
    <w:rPr>
      <w:rFonts w:ascii="宋体" w:hAnsi="宋体"/>
    </w:rPr>
  </w:style>
  <w:style w:type="paragraph" w:customStyle="1" w:styleId="32">
    <w:name w:val="表格内容"/>
    <w:basedOn w:val="33"/>
    <w:qFormat/>
    <w:uiPriority w:val="0"/>
    <w:pPr>
      <w:spacing w:line="280" w:lineRule="exact"/>
      <w:jc w:val="center"/>
    </w:pPr>
    <w:rPr>
      <w:rFonts w:ascii="font404" w:hAnsi="font404" w:eastAsia="font404"/>
      <w:kern w:val="0"/>
      <w:sz w:val="18"/>
      <w:szCs w:val="18"/>
    </w:rPr>
  </w:style>
  <w:style w:type="paragraph" w:customStyle="1" w:styleId="33">
    <w:name w:val="表格"/>
    <w:basedOn w:val="6"/>
    <w:next w:val="1"/>
    <w:qFormat/>
    <w:uiPriority w:val="0"/>
    <w:pPr>
      <w:adjustRightInd w:val="0"/>
      <w:snapToGrid w:val="0"/>
      <w:spacing w:beforeLines="10" w:afterLines="10" w:line="259" w:lineRule="auto"/>
      <w:jc w:val="center"/>
    </w:pPr>
    <w:rPr>
      <w:rFonts w:ascii="宋体"/>
      <w:kern w:val="0"/>
      <w:szCs w:val="20"/>
    </w:rPr>
  </w:style>
  <w:style w:type="paragraph" w:customStyle="1" w:styleId="34">
    <w:name w:val="新格式表"/>
    <w:basedOn w:val="1"/>
    <w:qFormat/>
    <w:uiPriority w:val="0"/>
    <w:pPr>
      <w:adjustRightInd w:val="0"/>
      <w:snapToGrid w:val="0"/>
      <w:spacing w:line="0" w:lineRule="atLeast"/>
      <w:jc w:val="center"/>
    </w:pPr>
    <w:rPr>
      <w:color w:val="000000"/>
      <w:kern w:val="0"/>
      <w:szCs w:val="21"/>
    </w:rPr>
  </w:style>
  <w:style w:type="paragraph" w:customStyle="1" w:styleId="35">
    <w:name w:val="Table Paragraph"/>
    <w:basedOn w:val="1"/>
    <w:qFormat/>
    <w:uiPriority w:val="1"/>
    <w:pPr>
      <w:autoSpaceDE w:val="0"/>
      <w:autoSpaceDN w:val="0"/>
      <w:adjustRightInd w:val="0"/>
      <w:jc w:val="left"/>
    </w:pPr>
    <w:rPr>
      <w:kern w:val="0"/>
      <w:sz w:val="24"/>
    </w:rPr>
  </w:style>
  <w:style w:type="paragraph" w:customStyle="1" w:styleId="36">
    <w:name w:val="报告正文"/>
    <w:basedOn w:val="1"/>
    <w:qFormat/>
    <w:uiPriority w:val="99"/>
    <w:pPr>
      <w:spacing w:line="480" w:lineRule="exact"/>
      <w:ind w:firstLine="200" w:firstLineChars="200"/>
    </w:pPr>
    <w:rPr>
      <w:color w:val="000000"/>
      <w:sz w:val="24"/>
      <w:szCs w:val="24"/>
    </w:rPr>
  </w:style>
  <w:style w:type="paragraph" w:customStyle="1" w:styleId="37">
    <w:name w:val="样式 小四 行距: 固定值 24 磅 首行缩进:  2 字符"/>
    <w:basedOn w:val="1"/>
    <w:qFormat/>
    <w:uiPriority w:val="0"/>
    <w:pPr>
      <w:spacing w:line="440" w:lineRule="exact"/>
      <w:ind w:firstLine="200"/>
    </w:pPr>
    <w:rPr>
      <w:szCs w:val="24"/>
    </w:rPr>
  </w:style>
  <w:style w:type="paragraph" w:customStyle="1" w:styleId="38">
    <w:name w:val="样式 样式 样式 首行缩进:  1 字符 + 首行缩进:  2 字符1 + 首行缩进:  2 字符2"/>
    <w:basedOn w:val="1"/>
    <w:qFormat/>
    <w:uiPriority w:val="0"/>
    <w:pPr>
      <w:spacing w:line="360" w:lineRule="auto"/>
      <w:ind w:firstLine="480" w:firstLineChars="200"/>
    </w:pPr>
    <w:rPr>
      <w:rFonts w:cs="宋体"/>
      <w:sz w:val="24"/>
    </w:rPr>
  </w:style>
  <w:style w:type="paragraph" w:customStyle="1" w:styleId="39">
    <w:name w:val="正文1"/>
    <w:basedOn w:val="1"/>
    <w:next w:val="1"/>
    <w:qFormat/>
    <w:uiPriority w:val="0"/>
    <w:pPr>
      <w:spacing w:line="360" w:lineRule="auto"/>
      <w:ind w:firstLine="480" w:firstLineChars="200"/>
    </w:pPr>
    <w:rPr>
      <w:snapToGrid w:val="0"/>
      <w:kern w:val="0"/>
      <w:sz w:val="24"/>
    </w:rPr>
  </w:style>
  <w:style w:type="paragraph" w:customStyle="1" w:styleId="40">
    <w:name w:val="我的表格"/>
    <w:basedOn w:val="1"/>
    <w:qFormat/>
    <w:uiPriority w:val="0"/>
    <w:pPr>
      <w:spacing w:line="240" w:lineRule="auto"/>
      <w:ind w:firstLine="0" w:firstLineChars="0"/>
      <w:jc w:val="center"/>
    </w:pPr>
    <w:rPr>
      <w:rFonts w:ascii="Times New Roman" w:hAnsi="Times New Roman"/>
      <w:sz w:val="21"/>
      <w:szCs w:val="21"/>
    </w:rPr>
  </w:style>
  <w:style w:type="paragraph" w:customStyle="1" w:styleId="41">
    <w:name w:val="正常格式"/>
    <w:basedOn w:val="42"/>
    <w:qFormat/>
    <w:uiPriority w:val="0"/>
    <w:pPr>
      <w:snapToGrid w:val="0"/>
      <w:spacing w:line="480" w:lineRule="exact"/>
      <w:ind w:firstLine="600"/>
    </w:pPr>
    <w:rPr>
      <w:rFonts w:ascii="Times New Roman" w:hAnsi="Times New Roman" w:eastAsia="宋体"/>
      <w:kern w:val="0"/>
      <w:sz w:val="20"/>
      <w:szCs w:val="24"/>
    </w:rPr>
  </w:style>
  <w:style w:type="paragraph" w:customStyle="1" w:styleId="42">
    <w:name w:val="正文2"/>
    <w:basedOn w:val="43"/>
    <w:qFormat/>
    <w:uiPriority w:val="0"/>
    <w:pPr>
      <w:spacing w:line="360" w:lineRule="auto"/>
      <w:ind w:firstLine="480" w:firstLineChars="200"/>
    </w:pPr>
    <w:rPr>
      <w:rFonts w:ascii="宋体" w:hAnsi="宋体"/>
      <w:sz w:val="24"/>
    </w:rPr>
  </w:style>
  <w:style w:type="paragraph" w:customStyle="1" w:styleId="43">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44">
    <w:name w:val="图图"/>
    <w:basedOn w:val="1"/>
    <w:qFormat/>
    <w:uiPriority w:val="0"/>
    <w:pPr>
      <w:jc w:val="center"/>
    </w:pPr>
    <w:rPr>
      <w:szCs w:val="24"/>
    </w:rPr>
  </w:style>
  <w:style w:type="paragraph" w:customStyle="1" w:styleId="45">
    <w:name w:val="aaa正兴泰表格"/>
    <w:basedOn w:val="46"/>
    <w:qFormat/>
    <w:uiPriority w:val="0"/>
  </w:style>
  <w:style w:type="paragraph" w:customStyle="1" w:styleId="46">
    <w:name w:val="表格文字"/>
    <w:basedOn w:val="47"/>
    <w:qFormat/>
    <w:uiPriority w:val="0"/>
    <w:pPr>
      <w:snapToGrid w:val="0"/>
      <w:spacing w:line="360" w:lineRule="exact"/>
      <w:ind w:firstLine="0" w:firstLineChars="0"/>
      <w:jc w:val="center"/>
    </w:pPr>
    <w:rPr>
      <w:rFonts w:ascii="Times New Roman" w:hAnsi="Times New Roman" w:eastAsia="宋体" w:cs="Times New Roman"/>
      <w:snapToGrid w:val="0"/>
      <w:color w:val="auto"/>
      <w:sz w:val="21"/>
      <w:szCs w:val="20"/>
    </w:rPr>
  </w:style>
  <w:style w:type="paragraph" w:customStyle="1" w:styleId="47">
    <w:name w:val="正文11"/>
    <w:basedOn w:val="30"/>
    <w:qFormat/>
    <w:uiPriority w:val="0"/>
    <w:pPr>
      <w:adjustRightInd w:val="0"/>
      <w:spacing w:line="360" w:lineRule="auto"/>
      <w:ind w:firstLine="200" w:firstLineChars="200"/>
      <w:jc w:val="both"/>
    </w:pPr>
    <w:rPr>
      <w:rFonts w:hint="default" w:ascii="宋体" w:hAnsi="宋体" w:cs="宋体"/>
      <w:kern w:val="2"/>
      <w:szCs w:val="24"/>
    </w:rPr>
  </w:style>
  <w:style w:type="paragraph" w:customStyle="1" w:styleId="48">
    <w:name w:val="表标题"/>
    <w:basedOn w:val="7"/>
    <w:next w:val="1"/>
    <w:qFormat/>
    <w:uiPriority w:val="0"/>
    <w:pPr>
      <w:spacing w:line="500" w:lineRule="exact"/>
      <w:ind w:firstLine="200"/>
      <w:jc w:val="center"/>
    </w:pPr>
  </w:style>
  <w:style w:type="paragraph" w:customStyle="1" w:styleId="49">
    <w:name w:val="正文 首行缩进:  2 字符"/>
    <w:basedOn w:val="1"/>
    <w:semiHidden/>
    <w:qFormat/>
    <w:uiPriority w:val="0"/>
    <w:pPr>
      <w:spacing w:line="520" w:lineRule="exact"/>
      <w:ind w:firstLine="480" w:firstLineChars="200"/>
    </w:pPr>
    <w:rPr>
      <w:kern w:val="44"/>
      <w:sz w:val="24"/>
    </w:rPr>
  </w:style>
  <w:style w:type="paragraph" w:customStyle="1" w:styleId="50">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
    <w:basedOn w:val="1"/>
    <w:qFormat/>
    <w:uiPriority w:val="0"/>
    <w:pPr>
      <w:spacing w:line="500" w:lineRule="exact"/>
      <w:ind w:firstLine="480"/>
      <w:jc w:val="both"/>
    </w:pPr>
  </w:style>
  <w:style w:type="paragraph" w:customStyle="1" w:styleId="52">
    <w:name w:val="Other|1"/>
    <w:basedOn w:val="1"/>
    <w:qFormat/>
    <w:uiPriority w:val="0"/>
    <w:pPr>
      <w:jc w:val="center"/>
    </w:pPr>
    <w:rPr>
      <w:rFonts w:ascii="宋体" w:hAnsi="宋体" w:cs="宋体"/>
      <w:sz w:val="20"/>
      <w:szCs w:val="20"/>
      <w:lang w:val="zh-TW" w:eastAsia="zh-TW" w:bidi="zh-TW"/>
    </w:rPr>
  </w:style>
  <w:style w:type="paragraph" w:customStyle="1" w:styleId="53">
    <w:name w:val="(.a表格内容"/>
    <w:basedOn w:val="54"/>
    <w:qFormat/>
    <w:uiPriority w:val="0"/>
    <w:pPr>
      <w:spacing w:line="0" w:lineRule="atLeast"/>
      <w:ind w:firstLine="0" w:firstLineChars="0"/>
      <w:jc w:val="center"/>
    </w:pPr>
    <w:rPr>
      <w:rFonts w:eastAsia="宋体"/>
      <w:sz w:val="21"/>
    </w:rPr>
  </w:style>
  <w:style w:type="paragraph" w:customStyle="1" w:styleId="54">
    <w:name w:val="（.a正文"/>
    <w:qFormat/>
    <w:uiPriority w:val="0"/>
    <w:pPr>
      <w:adjustRightInd w:val="0"/>
      <w:spacing w:line="480" w:lineRule="exact"/>
      <w:ind w:firstLine="200" w:firstLineChars="200"/>
      <w:jc w:val="both"/>
    </w:pPr>
    <w:rPr>
      <w:rFonts w:ascii="Times New Roman" w:hAnsi="Times New Roman" w:eastAsia="Times New Roman" w:cs="Arial"/>
      <w:bCs/>
      <w:kern w:val="2"/>
      <w:sz w:val="24"/>
      <w:szCs w:val="24"/>
      <w:lang w:val="en-US" w:eastAsia="zh-CN" w:bidi="ar-SA"/>
    </w:rPr>
  </w:style>
  <w:style w:type="paragraph" w:customStyle="1" w:styleId="55">
    <w:name w:val="报告书正文 Char"/>
    <w:basedOn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kern w:val="1"/>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3.jpeg"/><Relationship Id="rId26" Type="http://schemas.openxmlformats.org/officeDocument/2006/relationships/image" Target="media/image12.pn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199</Words>
  <Characters>211</Characters>
  <Lines>0</Lines>
  <Paragraphs>0</Paragraphs>
  <TotalTime>316</TotalTime>
  <ScaleCrop>false</ScaleCrop>
  <LinksUpToDate>false</LinksUpToDate>
  <CharactersWithSpaces>294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2023-06-25T06:48:00Z</dcterms:created>
  <dc:creator>小熊很乖哦</dc:creator>
  <cp:lastModifiedBy>ゞǒ坏の坏</cp:lastModifiedBy>
  <cp:lastPrinted>2024-02-29T01:13:00Z</cp:lastPrinted>
  <dcterms:modified xsi:type="dcterms:W3CDTF">2025-02-24T06:05:46Z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21AF6A8480684B58BAECBD18B114E32B_11</vt:lpwstr>
  </property>
  <property fmtid="{D5CDD505-2E9C-101B-9397-08002B2CF9AE}" pid="4" name="KSOTemplateDocerSaveRecord">
    <vt:lpwstr>eyJoZGlkIjoiM2YxZTdhZjNkM2ZlNzg4YjFkMDA1YjM2NmMxY2E1MWQiLCJ1c2VySWQiOiIzMDE2ODI4MzgifQ==</vt:lpwstr>
  </property>
</Properties>
</file>