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20" w:lineRule="exact"/>
        <w:jc w:val="center"/>
        <w:rPr>
          <w:rFonts w:hint="eastAsia" w:ascii="宋体" w:hAnsi="宋体" w:eastAsia="宋体" w:cs="宋体"/>
          <w:b/>
          <w:bCs/>
          <w:kern w:val="0"/>
          <w:sz w:val="32"/>
          <w:szCs w:val="32"/>
          <w:lang w:eastAsia="zh-CN"/>
        </w:rPr>
      </w:pPr>
      <w:r>
        <w:rPr>
          <w:rFonts w:hint="eastAsia" w:ascii="宋体" w:hAnsi="宋体" w:cs="宋体"/>
          <w:b/>
          <w:bCs/>
          <w:kern w:val="0"/>
          <w:sz w:val="32"/>
          <w:szCs w:val="32"/>
        </w:rPr>
        <w:t>本级</w:t>
      </w:r>
      <w:r>
        <w:rPr>
          <w:rFonts w:hint="eastAsia" w:ascii="宋体" w:hAnsi="宋体" w:cs="宋体"/>
          <w:b/>
          <w:bCs/>
          <w:kern w:val="0"/>
          <w:sz w:val="32"/>
          <w:szCs w:val="32"/>
          <w:lang w:eastAsia="zh-CN"/>
        </w:rPr>
        <w:t>房管小区运行</w:t>
      </w:r>
    </w:p>
    <w:p>
      <w:pPr>
        <w:widowControl/>
        <w:spacing w:line="320" w:lineRule="exact"/>
        <w:jc w:val="center"/>
        <w:rPr>
          <w:rFonts w:ascii="宋体" w:hAnsi="宋体" w:cs="宋体"/>
          <w:b/>
          <w:bCs/>
          <w:kern w:val="0"/>
          <w:sz w:val="32"/>
          <w:szCs w:val="32"/>
        </w:rPr>
      </w:pPr>
      <w:r>
        <w:rPr>
          <w:rFonts w:hint="eastAsia" w:ascii="宋体" w:hAnsi="宋体" w:cs="宋体"/>
          <w:b/>
          <w:bCs/>
          <w:kern w:val="0"/>
          <w:sz w:val="32"/>
          <w:szCs w:val="32"/>
        </w:rPr>
        <w:t>项目支出绩效评价报告</w:t>
      </w:r>
    </w:p>
    <w:p>
      <w:pPr>
        <w:spacing w:line="580" w:lineRule="exact"/>
        <w:rPr>
          <w:rFonts w:ascii="仿宋_GB2312" w:eastAsia="仿宋_GB2312"/>
          <w:sz w:val="28"/>
          <w:szCs w:val="28"/>
        </w:rPr>
      </w:pPr>
    </w:p>
    <w:p>
      <w:pPr>
        <w:spacing w:line="600" w:lineRule="exact"/>
        <w:ind w:firstLine="560" w:firstLineChars="200"/>
        <w:rPr>
          <w:rFonts w:ascii="黑体" w:hAnsi="黑体" w:eastAsia="黑体"/>
          <w:sz w:val="28"/>
          <w:szCs w:val="28"/>
        </w:rPr>
      </w:pPr>
      <w:r>
        <w:rPr>
          <w:rFonts w:hint="eastAsia" w:ascii="黑体" w:hAnsi="黑体" w:eastAsia="黑体"/>
          <w:sz w:val="28"/>
          <w:szCs w:val="28"/>
        </w:rPr>
        <w:t>一、基本情况</w:t>
      </w:r>
    </w:p>
    <w:p>
      <w:pPr>
        <w:spacing w:line="60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（一）项目概况。</w:t>
      </w:r>
    </w:p>
    <w:p>
      <w:p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按照区委、区政府的的指示，我单位自管小区要“三年大变样”。小区的环境卫生直接体现了城区的形象和风貌，展示一个区域的发展水平，投资环境和综合竞争力。为了全面改善小区环境卫生状况，加大对小区环境卫生的资金投入，在资金得到保障的基础上，实行科学创新管理理念，提升小区环卫水平。</w:t>
      </w:r>
    </w:p>
    <w:p>
      <w:pPr>
        <w:spacing w:line="60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2023年度房管小区运行项目预算资金共计500万元,全年执行数333.28万元，预算完成率67%。</w:t>
      </w:r>
    </w:p>
    <w:p>
      <w:pPr>
        <w:numPr>
          <w:ilvl w:val="0"/>
          <w:numId w:val="1"/>
        </w:num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项目绩效目标。</w:t>
      </w:r>
    </w:p>
    <w:p>
      <w:pPr>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val="en-US" w:eastAsia="zh-CN"/>
        </w:rPr>
        <w:t>项目总体目标：改善城区环境卫生，提高</w:t>
      </w:r>
      <w:bookmarkStart w:id="0" w:name="_GoBack"/>
      <w:bookmarkEnd w:id="0"/>
      <w:r>
        <w:rPr>
          <w:rFonts w:hint="eastAsia" w:ascii="仿宋" w:hAnsi="仿宋" w:eastAsia="仿宋" w:cs="仿宋"/>
          <w:sz w:val="30"/>
          <w:szCs w:val="30"/>
          <w:lang w:val="en-US" w:eastAsia="zh-CN"/>
        </w:rPr>
        <w:t>人民生活质量，优化环境，提高房管小区整体管理水平</w:t>
      </w:r>
      <w:r>
        <w:rPr>
          <w:rFonts w:hint="eastAsia" w:ascii="仿宋" w:hAnsi="仿宋" w:eastAsia="仿宋" w:cs="仿宋"/>
          <w:sz w:val="30"/>
          <w:szCs w:val="30"/>
          <w:lang w:eastAsia="zh-CN"/>
        </w:rPr>
        <w:t>。</w:t>
      </w:r>
    </w:p>
    <w:p>
      <w:pPr>
        <w:spacing w:line="600" w:lineRule="exact"/>
        <w:ind w:firstLine="600" w:firstLineChars="200"/>
        <w:rPr>
          <w:rFonts w:hint="eastAsia" w:ascii="仿宋" w:hAnsi="仿宋" w:eastAsia="仿宋" w:cs="仿宋"/>
          <w:sz w:val="30"/>
          <w:szCs w:val="30"/>
          <w:highlight w:val="yellow"/>
          <w:lang w:eastAsia="zh-CN"/>
        </w:rPr>
      </w:pPr>
      <w:r>
        <w:rPr>
          <w:rFonts w:hint="eastAsia" w:ascii="仿宋" w:hAnsi="仿宋" w:eastAsia="仿宋" w:cs="仿宋"/>
          <w:sz w:val="30"/>
          <w:szCs w:val="30"/>
          <w:highlight w:val="none"/>
          <w:lang w:eastAsia="zh-CN"/>
        </w:rPr>
        <w:t>项目阶段性目标：</w:t>
      </w:r>
      <w:r>
        <w:rPr>
          <w:rFonts w:hint="eastAsia" w:ascii="仿宋" w:hAnsi="仿宋" w:eastAsia="仿宋" w:cs="仿宋"/>
          <w:color w:val="333333"/>
          <w:sz w:val="30"/>
          <w:szCs w:val="30"/>
        </w:rPr>
        <w:t>一季度，完成发放25%；二季度，完成发放50%；三季度，完成发放75%；四季度，完成发放100%。</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二、绩效评价工作开展情况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（一）绩效评价目的、对象和范围。</w:t>
      </w:r>
    </w:p>
    <w:p>
      <w:pPr>
        <w:spacing w:line="60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lang w:eastAsia="zh-CN"/>
        </w:rPr>
        <w:t>根据上级部门的工作部署和要求，运用科学、规范的绩效评价方法，客观、公正地对房管小区运行项目支出进行评价，以反映项目资金的绩效，通过绩效评价，树立绩效管理理念，做好预算绩效管理，提高财政资金效益。</w:t>
      </w:r>
    </w:p>
    <w:p>
      <w:pPr>
        <w:spacing w:line="600" w:lineRule="exact"/>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eastAsia="zh-CN"/>
        </w:rPr>
        <w:t>本次项目绩效评价对象和范围是唐山市开平区住房和城乡建设局</w:t>
      </w:r>
      <w:r>
        <w:rPr>
          <w:rFonts w:hint="eastAsia" w:ascii="仿宋" w:hAnsi="仿宋" w:eastAsia="仿宋" w:cs="仿宋"/>
          <w:sz w:val="30"/>
          <w:szCs w:val="30"/>
          <w:lang w:val="en-US" w:eastAsia="zh-CN"/>
        </w:rPr>
        <w:t>2023年度财政拨付的</w:t>
      </w:r>
      <w:r>
        <w:rPr>
          <w:rFonts w:hint="eastAsia" w:ascii="仿宋" w:hAnsi="仿宋" w:eastAsia="仿宋" w:cs="仿宋"/>
          <w:sz w:val="30"/>
          <w:szCs w:val="30"/>
          <w:lang w:eastAsia="zh-CN"/>
        </w:rPr>
        <w:t>房管小区运行项目。</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（二）绩效评价原则、评价指标体系（附表说明）、评价方法、评价标准。</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本着客观公正和有效性原则，按照设定的指标体系，单位中层以上干部参与评价，并从各科室抽选人员进行打分，由项目负责人进行梳理并整改。</w:t>
      </w:r>
    </w:p>
    <w:p>
      <w:pPr>
        <w:spacing w:line="600" w:lineRule="exact"/>
        <w:ind w:firstLine="560" w:firstLineChars="200"/>
        <w:rPr>
          <w:rFonts w:ascii="仿宋" w:hAnsi="仿宋" w:eastAsia="仿宋" w:cs="仿宋"/>
          <w:color w:val="333333"/>
          <w:sz w:val="28"/>
          <w:szCs w:val="28"/>
        </w:rPr>
      </w:pPr>
    </w:p>
    <w:tbl>
      <w:tblPr>
        <w:tblStyle w:val="2"/>
        <w:tblW w:w="8781" w:type="dxa"/>
        <w:jc w:val="center"/>
        <w:tblLayout w:type="fixed"/>
        <w:tblCellMar>
          <w:top w:w="0" w:type="dxa"/>
          <w:left w:w="108" w:type="dxa"/>
          <w:bottom w:w="0" w:type="dxa"/>
          <w:right w:w="108" w:type="dxa"/>
        </w:tblCellMar>
      </w:tblPr>
      <w:tblGrid>
        <w:gridCol w:w="902"/>
        <w:gridCol w:w="1125"/>
        <w:gridCol w:w="1376"/>
        <w:gridCol w:w="1501"/>
        <w:gridCol w:w="750"/>
        <w:gridCol w:w="751"/>
        <w:gridCol w:w="875"/>
        <w:gridCol w:w="1501"/>
      </w:tblGrid>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一级指标</w:t>
            </w:r>
          </w:p>
        </w:tc>
        <w:tc>
          <w:tcPr>
            <w:tcW w:w="1125"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二级指标</w:t>
            </w:r>
          </w:p>
        </w:tc>
        <w:tc>
          <w:tcPr>
            <w:tcW w:w="1376"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三级指标</w:t>
            </w:r>
          </w:p>
        </w:tc>
        <w:tc>
          <w:tcPr>
            <w:tcW w:w="1501"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绩效指标描述</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符号</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值</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单位</w:t>
            </w:r>
          </w:p>
        </w:tc>
        <w:tc>
          <w:tcPr>
            <w:tcW w:w="1501" w:type="dxa"/>
            <w:tcBorders>
              <w:top w:val="single" w:color="auto" w:sz="6" w:space="0"/>
              <w:left w:val="single" w:color="auto" w:sz="6" w:space="0"/>
              <w:bottom w:val="nil"/>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指标确定依据</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数量指标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服务小区数量</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服务小区数量</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default" w:ascii="Calibri" w:hAnsi="Calibri" w:eastAsia="DengXian" w:cs="Calibri"/>
                <w:color w:val="000000"/>
                <w:kern w:val="0"/>
                <w:sz w:val="16"/>
                <w:szCs w:val="16"/>
                <w:lang w:val="en-US" w:eastAsia="zh-CN"/>
              </w:rPr>
            </w:pPr>
            <w:r>
              <w:rPr>
                <w:rFonts w:hint="eastAsia" w:ascii="Calibri" w:hAnsi="Calibri" w:eastAsia="DengXian" w:cs="Calibri"/>
                <w:color w:val="000000"/>
                <w:kern w:val="0"/>
                <w:sz w:val="16"/>
                <w:szCs w:val="16"/>
                <w:lang w:val="en-US" w:eastAsia="zh-CN"/>
              </w:rPr>
              <w:t>17</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Calibri" w:hAnsi="Calibri" w:eastAsia="DengXian" w:cs="Calibri"/>
                <w:color w:val="000000"/>
                <w:kern w:val="0"/>
                <w:sz w:val="16"/>
                <w:szCs w:val="16"/>
                <w:lang w:eastAsia="zh-CN"/>
              </w:rPr>
            </w:pPr>
            <w:r>
              <w:rPr>
                <w:rFonts w:hint="eastAsia" w:ascii="Calibri" w:hAnsi="Calibri" w:eastAsia="DengXian" w:cs="Calibri"/>
                <w:color w:val="000000"/>
                <w:kern w:val="0"/>
                <w:sz w:val="16"/>
                <w:szCs w:val="16"/>
                <w:lang w:eastAsia="zh-CN"/>
              </w:rPr>
              <w:t>个</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服务小区数量</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质量指标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验收合格率</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验收合格率</w:t>
            </w:r>
          </w:p>
        </w:tc>
        <w:tc>
          <w:tcPr>
            <w:tcW w:w="75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95</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验收合格率</w:t>
            </w:r>
          </w:p>
        </w:tc>
      </w:tr>
      <w:tr>
        <w:tblPrEx>
          <w:tblCellMar>
            <w:top w:w="0" w:type="dxa"/>
            <w:left w:w="108" w:type="dxa"/>
            <w:bottom w:w="0" w:type="dxa"/>
            <w:right w:w="108" w:type="dxa"/>
          </w:tblCellMar>
        </w:tblPrEx>
        <w:trPr>
          <w:trHeight w:val="83"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时效指标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付款及时率</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付款及时率</w:t>
            </w:r>
          </w:p>
        </w:tc>
        <w:tc>
          <w:tcPr>
            <w:tcW w:w="75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95</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付款及时率</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产出指标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成本指标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成本控制</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成本控制</w:t>
            </w:r>
          </w:p>
        </w:tc>
        <w:tc>
          <w:tcPr>
            <w:tcW w:w="750"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hint="default" w:ascii="Calibri" w:hAnsi="Calibri" w:eastAsia="DengXian" w:cs="Calibri"/>
                <w:color w:val="000000"/>
                <w:kern w:val="0"/>
                <w:sz w:val="16"/>
                <w:szCs w:val="16"/>
                <w:lang w:val="en-US" w:eastAsia="zh-CN"/>
              </w:rPr>
            </w:pPr>
            <w:r>
              <w:rPr>
                <w:rFonts w:hint="eastAsia" w:ascii="Calibri" w:hAnsi="Calibri" w:eastAsia="DengXian" w:cs="Calibri"/>
                <w:color w:val="000000"/>
                <w:kern w:val="0"/>
                <w:sz w:val="16"/>
                <w:szCs w:val="16"/>
                <w:lang w:val="en-US" w:eastAsia="zh-CN"/>
              </w:rPr>
              <w:t>500</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hint="eastAsia" w:ascii="Calibri" w:hAnsi="Calibri" w:eastAsia="DengXian" w:cs="Calibri"/>
                <w:color w:val="000000"/>
                <w:kern w:val="0"/>
                <w:sz w:val="16"/>
                <w:szCs w:val="16"/>
                <w:lang w:eastAsia="zh-CN"/>
              </w:rPr>
            </w:pPr>
            <w:r>
              <w:rPr>
                <w:rFonts w:hint="eastAsia" w:ascii="Calibri" w:hAnsi="Calibri" w:eastAsia="DengXian" w:cs="Calibri"/>
                <w:color w:val="000000"/>
                <w:kern w:val="0"/>
                <w:sz w:val="16"/>
                <w:szCs w:val="16"/>
                <w:lang w:eastAsia="zh-CN"/>
              </w:rPr>
              <w:t>万元</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成本控制</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社会效益指标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提高百姓幸福指数</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提高百姓幸福指数</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文字描述</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提高百姓幸福指数</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提高百姓幸福指数</w:t>
            </w:r>
          </w:p>
        </w:tc>
      </w:tr>
      <w:tr>
        <w:tblPrEx>
          <w:tblCellMar>
            <w:top w:w="0" w:type="dxa"/>
            <w:left w:w="108" w:type="dxa"/>
            <w:bottom w:w="0" w:type="dxa"/>
            <w:right w:w="108" w:type="dxa"/>
          </w:tblCellMar>
        </w:tblPrEx>
        <w:trPr>
          <w:trHeight w:val="150"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效益指标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可持续影响指标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持续发生影响</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持续发生影响</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文字描述</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持续发生影响</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持续发生影响</w:t>
            </w:r>
          </w:p>
        </w:tc>
      </w:tr>
      <w:tr>
        <w:tblPrEx>
          <w:tblCellMar>
            <w:top w:w="0" w:type="dxa"/>
            <w:left w:w="108" w:type="dxa"/>
            <w:bottom w:w="0" w:type="dxa"/>
            <w:right w:w="108" w:type="dxa"/>
          </w:tblCellMar>
        </w:tblPrEx>
        <w:trPr>
          <w:trHeight w:val="345" w:hRule="atLeast"/>
          <w:jc w:val="center"/>
        </w:trPr>
        <w:tc>
          <w:tcPr>
            <w:tcW w:w="902"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满意度指标</w:t>
            </w:r>
          </w:p>
        </w:tc>
        <w:tc>
          <w:tcPr>
            <w:tcW w:w="112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DengXian" w:hAnsi="Calibri" w:eastAsia="DengXian" w:cs="DengXian"/>
                <w:color w:val="000000"/>
                <w:kern w:val="0"/>
                <w:sz w:val="16"/>
                <w:szCs w:val="16"/>
              </w:rPr>
            </w:pPr>
            <w:r>
              <w:rPr>
                <w:rFonts w:hint="eastAsia" w:ascii="DengXian" w:hAnsi="Calibri" w:eastAsia="DengXian" w:cs="DengXian"/>
                <w:color w:val="000000"/>
                <w:kern w:val="0"/>
                <w:sz w:val="16"/>
                <w:szCs w:val="16"/>
              </w:rPr>
              <w:t>服务对象满意度指标</w:t>
            </w:r>
          </w:p>
        </w:tc>
        <w:tc>
          <w:tcPr>
            <w:tcW w:w="1376"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满意人数占调查人数比例</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满意人数占调查人数比例</w:t>
            </w:r>
          </w:p>
        </w:tc>
        <w:tc>
          <w:tcPr>
            <w:tcW w:w="750"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751"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95</w:t>
            </w:r>
          </w:p>
        </w:tc>
        <w:tc>
          <w:tcPr>
            <w:tcW w:w="875" w:type="dxa"/>
            <w:tcBorders>
              <w:top w:val="single" w:color="auto" w:sz="6" w:space="0"/>
              <w:left w:val="single" w:color="auto" w:sz="6" w:space="0"/>
              <w:bottom w:val="single" w:color="auto" w:sz="6" w:space="0"/>
              <w:right w:val="single" w:color="auto" w:sz="6" w:space="0"/>
            </w:tcBorders>
          </w:tcPr>
          <w:p>
            <w:pPr>
              <w:autoSpaceDE w:val="0"/>
              <w:autoSpaceDN w:val="0"/>
              <w:adjustRightInd w:val="0"/>
              <w:jc w:val="center"/>
              <w:rPr>
                <w:rFonts w:ascii="Calibri" w:hAnsi="Calibri" w:eastAsia="DengXian" w:cs="Calibri"/>
                <w:color w:val="000000"/>
                <w:kern w:val="0"/>
                <w:sz w:val="16"/>
                <w:szCs w:val="16"/>
              </w:rPr>
            </w:pPr>
            <w:r>
              <w:rPr>
                <w:rFonts w:ascii="Calibri" w:hAnsi="Calibri" w:eastAsia="DengXian" w:cs="Calibri"/>
                <w:color w:val="000000"/>
                <w:kern w:val="0"/>
                <w:sz w:val="16"/>
                <w:szCs w:val="16"/>
              </w:rPr>
              <w:t>%</w:t>
            </w:r>
          </w:p>
        </w:tc>
        <w:tc>
          <w:tcPr>
            <w:tcW w:w="1501" w:type="dxa"/>
            <w:tcBorders>
              <w:top w:val="single" w:color="auto" w:sz="6" w:space="0"/>
              <w:left w:val="single" w:color="auto" w:sz="6" w:space="0"/>
              <w:bottom w:val="single" w:color="auto" w:sz="6" w:space="0"/>
              <w:right w:val="single" w:color="auto" w:sz="6" w:space="0"/>
            </w:tcBorders>
            <w:vAlign w:val="top"/>
          </w:tcPr>
          <w:p>
            <w:pPr>
              <w:autoSpaceDE w:val="0"/>
              <w:autoSpaceDN w:val="0"/>
              <w:adjustRightInd w:val="0"/>
              <w:jc w:val="center"/>
              <w:rPr>
                <w:rFonts w:ascii="Calibri" w:hAnsi="Calibri" w:eastAsia="DengXian" w:cs="Calibri"/>
                <w:color w:val="000000"/>
                <w:kern w:val="0"/>
                <w:sz w:val="16"/>
                <w:szCs w:val="16"/>
              </w:rPr>
            </w:pPr>
            <w:r>
              <w:rPr>
                <w:rFonts w:hint="eastAsia" w:ascii="Calibri" w:hAnsi="Calibri" w:eastAsia="DengXian" w:cs="Calibri"/>
                <w:color w:val="000000"/>
                <w:kern w:val="0"/>
                <w:sz w:val="16"/>
                <w:szCs w:val="16"/>
              </w:rPr>
              <w:t>满意人数占调查人数比例</w:t>
            </w:r>
          </w:p>
        </w:tc>
      </w:tr>
    </w:tbl>
    <w:p>
      <w:pPr>
        <w:spacing w:line="600" w:lineRule="exact"/>
        <w:ind w:firstLine="560" w:firstLineChars="200"/>
        <w:rPr>
          <w:rFonts w:ascii="仿宋" w:hAnsi="仿宋" w:eastAsia="仿宋" w:cs="仿宋"/>
          <w:color w:val="333333"/>
          <w:sz w:val="28"/>
          <w:szCs w:val="28"/>
        </w:rPr>
      </w:pP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（三）绩效评价工作过程。</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1.前期准备。成立绩效评价小组</w:t>
      </w:r>
      <w:r>
        <w:rPr>
          <w:rFonts w:hint="eastAsia" w:ascii="仿宋" w:hAnsi="仿宋" w:eastAsia="仿宋" w:cs="仿宋"/>
          <w:sz w:val="30"/>
          <w:szCs w:val="30"/>
          <w:lang w:eastAsia="zh-CN"/>
        </w:rPr>
        <w:t>开展调查研究、分析讨论并形成绩效评价工作方案</w:t>
      </w:r>
      <w:r>
        <w:rPr>
          <w:rFonts w:hint="eastAsia" w:ascii="仿宋" w:hAnsi="仿宋" w:eastAsia="仿宋" w:cs="仿宋"/>
          <w:sz w:val="30"/>
          <w:szCs w:val="30"/>
        </w:rPr>
        <w:t>，学习评价指标体系和绩效相关文件通知。</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2.组织实施。</w:t>
      </w:r>
      <w:r>
        <w:rPr>
          <w:rFonts w:hint="eastAsia" w:ascii="仿宋" w:hAnsi="仿宋" w:eastAsia="仿宋" w:cs="仿宋"/>
          <w:sz w:val="30"/>
          <w:szCs w:val="30"/>
          <w:lang w:eastAsia="zh-CN"/>
        </w:rPr>
        <w:t>通过座谈、到实地核查等方式了解项目实施情况，整理项目相关资料，设计绩效评价指标体系。</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3.分析评价。</w:t>
      </w:r>
      <w:r>
        <w:rPr>
          <w:rFonts w:hint="eastAsia" w:ascii="仿宋" w:hAnsi="仿宋" w:eastAsia="仿宋" w:cs="仿宋"/>
          <w:sz w:val="30"/>
          <w:szCs w:val="30"/>
          <w:lang w:eastAsia="zh-CN"/>
        </w:rPr>
        <w:t>整理分析获取的基础数据等资料，依据制定的评价标准进行评价指标打分，根据结果提出建议并完成绩效评价报告。</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三、综合评价情况及评价结论</w:t>
      </w:r>
    </w:p>
    <w:p>
      <w:pPr>
        <w:spacing w:line="600" w:lineRule="exact"/>
        <w:ind w:firstLine="600" w:firstLineChars="200"/>
        <w:rPr>
          <w:rFonts w:ascii="黑体" w:hAnsi="黑体" w:eastAsia="黑体"/>
          <w:sz w:val="30"/>
          <w:szCs w:val="30"/>
        </w:rPr>
      </w:pPr>
      <w:r>
        <w:rPr>
          <w:rFonts w:hint="eastAsia" w:ascii="仿宋" w:hAnsi="仿宋" w:eastAsia="仿宋" w:cs="仿宋"/>
          <w:sz w:val="30"/>
          <w:szCs w:val="30"/>
        </w:rPr>
        <w:t>项目综合评价优。绩效目标设定清晰准确、绩效标准恰当适宜。</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四、绩效评价指标分析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（一）项目决策情况。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该项目立项符合国家法律法规、国民经济发展规划，符合行业发展规划和正常要求，项目目标设立与单位履职相适应，符合部门年度工作计划，项目决策过程合法合规</w:t>
      </w:r>
      <w:r>
        <w:rPr>
          <w:rFonts w:hint="eastAsia" w:ascii="仿宋" w:hAnsi="仿宋" w:eastAsia="仿宋" w:cs="仿宋"/>
          <w:sz w:val="30"/>
          <w:szCs w:val="30"/>
        </w:rPr>
        <w:t>。</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（二）项目过程情况。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val="en-US" w:eastAsia="zh-CN"/>
        </w:rPr>
        <w:t>2023年度房管小区运行项目资金支出严格遵守国家财经法规和财务管理制度以及相关专项资金管理办法的规定，项目资金的拨付与预算批复一致。按合同规定的用途使用资金，不存在截留、挤占、挪用等情况。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（三）项目产出情况。</w:t>
      </w:r>
    </w:p>
    <w:p>
      <w:pPr>
        <w:spacing w:line="600" w:lineRule="exact"/>
        <w:ind w:firstLine="600" w:firstLineChars="200"/>
        <w:rPr>
          <w:rFonts w:hint="default" w:ascii="仿宋" w:hAnsi="仿宋" w:eastAsia="仿宋" w:cs="仿宋"/>
          <w:sz w:val="30"/>
          <w:szCs w:val="30"/>
          <w:lang w:val="en-US" w:eastAsia="zh-CN"/>
        </w:rPr>
      </w:pPr>
      <w:r>
        <w:rPr>
          <w:rFonts w:hint="eastAsia" w:ascii="仿宋" w:hAnsi="仿宋" w:eastAsia="仿宋" w:cs="仿宋"/>
          <w:sz w:val="30"/>
          <w:szCs w:val="30"/>
          <w:lang w:val="en-US" w:eastAsia="zh-CN"/>
        </w:rPr>
        <w:t>2023年度该项目大部分都在计划完成时间内完成各项工作。</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（四）项目效益情况。</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提高房管小区整体管理水平，提高百姓幸福指</w:t>
      </w:r>
      <w:r>
        <w:rPr>
          <w:rFonts w:hint="eastAsia" w:ascii="仿宋" w:hAnsi="仿宋" w:eastAsia="仿宋" w:cs="仿宋"/>
          <w:sz w:val="30"/>
          <w:szCs w:val="30"/>
          <w:lang w:eastAsia="zh-CN"/>
        </w:rPr>
        <w:t>数，</w:t>
      </w:r>
      <w:r>
        <w:rPr>
          <w:rFonts w:hint="eastAsia" w:ascii="仿宋" w:hAnsi="仿宋" w:eastAsia="仿宋" w:cs="仿宋"/>
          <w:sz w:val="30"/>
          <w:szCs w:val="30"/>
        </w:rPr>
        <w:t>群众满意度高。</w:t>
      </w:r>
    </w:p>
    <w:p>
      <w:pPr>
        <w:spacing w:line="600" w:lineRule="exact"/>
        <w:ind w:firstLine="560" w:firstLineChars="200"/>
        <w:rPr>
          <w:rFonts w:ascii="黑体" w:hAnsi="黑体" w:eastAsia="黑体"/>
          <w:sz w:val="28"/>
          <w:szCs w:val="28"/>
        </w:rPr>
      </w:pPr>
      <w:r>
        <w:rPr>
          <w:rFonts w:hint="eastAsia" w:ascii="黑体" w:hAnsi="黑体" w:eastAsia="黑体"/>
          <w:sz w:val="28"/>
          <w:szCs w:val="28"/>
        </w:rPr>
        <w:t>五、主要经验及做法、存在的问题及原因分析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（一）主要经验及做法</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1、加强领导、增强责任意识。</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2、加强项目资金管理、提前谋划、确保使用高效。</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3、对项目的预算编制、预算执行、预算绩效进行监督管理，确保各项工作运行到位。</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（二）存在的问题及原因分析</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rPr>
        <w:t>绩效自评工作还需进一步规范，绩效管理工作还有待提高。另外绩效评价指标体系有待进一步完善。</w:t>
      </w:r>
    </w:p>
    <w:p>
      <w:pPr>
        <w:numPr>
          <w:ilvl w:val="0"/>
          <w:numId w:val="2"/>
        </w:numPr>
        <w:spacing w:line="600" w:lineRule="exact"/>
        <w:ind w:firstLine="560" w:firstLineChars="200"/>
        <w:rPr>
          <w:rFonts w:ascii="黑体" w:hAnsi="黑体" w:eastAsia="黑体"/>
          <w:sz w:val="28"/>
          <w:szCs w:val="28"/>
        </w:rPr>
      </w:pPr>
      <w:r>
        <w:rPr>
          <w:rFonts w:hint="eastAsia" w:ascii="黑体" w:hAnsi="黑体" w:eastAsia="黑体"/>
          <w:sz w:val="28"/>
          <w:szCs w:val="28"/>
        </w:rPr>
        <w:t>有关建议</w:t>
      </w:r>
    </w:p>
    <w:p>
      <w:pPr>
        <w:spacing w:line="600" w:lineRule="exact"/>
        <w:ind w:firstLine="600" w:firstLineChars="200"/>
        <w:rPr>
          <w:rFonts w:ascii="仿宋" w:hAnsi="仿宋" w:eastAsia="仿宋" w:cs="仿宋"/>
          <w:sz w:val="30"/>
          <w:szCs w:val="30"/>
        </w:rPr>
      </w:pPr>
      <w:r>
        <w:rPr>
          <w:rFonts w:hint="eastAsia" w:ascii="仿宋" w:hAnsi="仿宋" w:eastAsia="仿宋" w:cs="仿宋"/>
          <w:sz w:val="30"/>
          <w:szCs w:val="30"/>
          <w:lang w:eastAsia="zh-CN"/>
        </w:rPr>
        <w:t>进一步</w:t>
      </w:r>
      <w:r>
        <w:rPr>
          <w:rFonts w:hint="eastAsia" w:ascii="仿宋" w:hAnsi="仿宋" w:eastAsia="仿宋" w:cs="仿宋"/>
          <w:sz w:val="30"/>
          <w:szCs w:val="30"/>
        </w:rPr>
        <w:t>加强预算管理</w:t>
      </w:r>
      <w:r>
        <w:rPr>
          <w:rFonts w:hint="eastAsia" w:ascii="仿宋" w:hAnsi="仿宋" w:eastAsia="仿宋" w:cs="仿宋"/>
          <w:sz w:val="30"/>
          <w:szCs w:val="30"/>
          <w:lang w:eastAsia="zh-CN"/>
        </w:rPr>
        <w:t>工作</w:t>
      </w:r>
      <w:r>
        <w:rPr>
          <w:rFonts w:hint="eastAsia" w:ascii="仿宋" w:hAnsi="仿宋" w:eastAsia="仿宋" w:cs="仿宋"/>
          <w:sz w:val="30"/>
          <w:szCs w:val="30"/>
        </w:rPr>
        <w:t>，</w:t>
      </w:r>
      <w:r>
        <w:rPr>
          <w:rFonts w:hint="eastAsia" w:ascii="仿宋" w:hAnsi="仿宋" w:eastAsia="仿宋" w:cs="仿宋"/>
          <w:sz w:val="30"/>
          <w:szCs w:val="30"/>
          <w:lang w:eastAsia="zh-CN"/>
        </w:rPr>
        <w:t>参考上一年度绩效评价结果科学预测下一年度收支情况，</w:t>
      </w:r>
      <w:r>
        <w:rPr>
          <w:rFonts w:hint="eastAsia" w:ascii="仿宋" w:hAnsi="仿宋" w:eastAsia="仿宋" w:cs="仿宋"/>
          <w:sz w:val="30"/>
          <w:szCs w:val="30"/>
        </w:rPr>
        <w:t>提高预算编制的科学性和准确性，使预算编制更加符合项目实际情况。同时支出应严格执行预算规定，合理安排使用资金。</w:t>
      </w:r>
    </w:p>
    <w:p>
      <w:pPr>
        <w:numPr>
          <w:ilvl w:val="0"/>
          <w:numId w:val="2"/>
        </w:numPr>
        <w:spacing w:line="600" w:lineRule="exact"/>
        <w:ind w:firstLine="560" w:firstLineChars="200"/>
        <w:rPr>
          <w:rFonts w:ascii="黑体" w:hAnsi="黑体" w:eastAsia="黑体"/>
          <w:sz w:val="28"/>
          <w:szCs w:val="28"/>
        </w:rPr>
      </w:pPr>
      <w:r>
        <w:rPr>
          <w:rFonts w:hint="eastAsia" w:ascii="黑体" w:hAnsi="黑体" w:eastAsia="黑体"/>
          <w:sz w:val="28"/>
          <w:szCs w:val="28"/>
        </w:rPr>
        <w:t>其他需要说明的问题</w:t>
      </w:r>
    </w:p>
    <w:p>
      <w:pPr>
        <w:spacing w:line="600" w:lineRule="exact"/>
        <w:ind w:firstLine="600" w:firstLineChars="200"/>
        <w:outlineLvl w:val="0"/>
        <w:rPr>
          <w:sz w:val="28"/>
          <w:szCs w:val="28"/>
        </w:rPr>
      </w:pPr>
      <w:r>
        <w:rPr>
          <w:rFonts w:hint="eastAsia" w:ascii="仿宋" w:hAnsi="仿宋" w:eastAsia="仿宋" w:cs="仿宋"/>
          <w:sz w:val="30"/>
          <w:szCs w:val="30"/>
        </w:rPr>
        <w:t>无</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DengXian">
    <w:altName w:val="宋体"/>
    <w:panose1 w:val="02010600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72F72B"/>
    <w:multiLevelType w:val="singleLevel"/>
    <w:tmpl w:val="D472F72B"/>
    <w:lvl w:ilvl="0" w:tentative="0">
      <w:start w:val="2"/>
      <w:numFmt w:val="chineseCounting"/>
      <w:suff w:val="nothing"/>
      <w:lvlText w:val="（%1）"/>
      <w:lvlJc w:val="left"/>
      <w:rPr>
        <w:rFonts w:hint="eastAsia"/>
      </w:rPr>
    </w:lvl>
  </w:abstractNum>
  <w:abstractNum w:abstractNumId="1">
    <w:nsid w:val="2F6FC845"/>
    <w:multiLevelType w:val="singleLevel"/>
    <w:tmpl w:val="2F6FC845"/>
    <w:lvl w:ilvl="0" w:tentative="0">
      <w:start w:val="6"/>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CC59F9"/>
    <w:rsid w:val="000D6F9B"/>
    <w:rsid w:val="00686D98"/>
    <w:rsid w:val="007C5415"/>
    <w:rsid w:val="008F6012"/>
    <w:rsid w:val="00991C47"/>
    <w:rsid w:val="00B32613"/>
    <w:rsid w:val="00F91B40"/>
    <w:rsid w:val="047B6B6A"/>
    <w:rsid w:val="074037D3"/>
    <w:rsid w:val="0EBA4AC1"/>
    <w:rsid w:val="10314324"/>
    <w:rsid w:val="14B20AF8"/>
    <w:rsid w:val="15DE303C"/>
    <w:rsid w:val="1856775F"/>
    <w:rsid w:val="1B814F0D"/>
    <w:rsid w:val="1C7003B4"/>
    <w:rsid w:val="2180100D"/>
    <w:rsid w:val="220E543C"/>
    <w:rsid w:val="22166460"/>
    <w:rsid w:val="22383893"/>
    <w:rsid w:val="226E68B0"/>
    <w:rsid w:val="246226A7"/>
    <w:rsid w:val="2A2A5910"/>
    <w:rsid w:val="2CE60EE1"/>
    <w:rsid w:val="2F4C18C2"/>
    <w:rsid w:val="30160784"/>
    <w:rsid w:val="320C1ED6"/>
    <w:rsid w:val="329E526C"/>
    <w:rsid w:val="37FD0F66"/>
    <w:rsid w:val="3D82659B"/>
    <w:rsid w:val="484D0DD9"/>
    <w:rsid w:val="4C9C7B51"/>
    <w:rsid w:val="4FB40D1C"/>
    <w:rsid w:val="507C094E"/>
    <w:rsid w:val="52A62319"/>
    <w:rsid w:val="56271FE1"/>
    <w:rsid w:val="56CC59F9"/>
    <w:rsid w:val="56F3328D"/>
    <w:rsid w:val="59D07008"/>
    <w:rsid w:val="5B2B3C66"/>
    <w:rsid w:val="5C525A36"/>
    <w:rsid w:val="5C690CF5"/>
    <w:rsid w:val="5D501207"/>
    <w:rsid w:val="5EEE3923"/>
    <w:rsid w:val="60CD516F"/>
    <w:rsid w:val="66FD1638"/>
    <w:rsid w:val="68583474"/>
    <w:rsid w:val="6AB83749"/>
    <w:rsid w:val="6ACF6802"/>
    <w:rsid w:val="6C9A6560"/>
    <w:rsid w:val="6E9210C8"/>
    <w:rsid w:val="6EBA7BFB"/>
    <w:rsid w:val="6EF76162"/>
    <w:rsid w:val="70EC0C11"/>
    <w:rsid w:val="753C765F"/>
    <w:rsid w:val="787B1B09"/>
    <w:rsid w:val="789D5A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235</Words>
  <Characters>1344</Characters>
  <Lines>11</Lines>
  <Paragraphs>3</Paragraphs>
  <TotalTime>2</TotalTime>
  <ScaleCrop>false</ScaleCrop>
  <LinksUpToDate>false</LinksUpToDate>
  <CharactersWithSpaces>1576</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2021-08-18T08:26:00Z</dcterms:created>
  <dc:creator>lenovo</dc:creator>
  <cp:lastModifiedBy>Administrator</cp:lastModifiedBy>
  <dcterms:modified xsi:type="dcterms:W3CDTF">2024-03-29T01:22:30Z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D68EAAA8686A4A67B10E76A7BD1A5CAA</vt:lpwstr>
  </property>
</Properties>
</file>