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Cs w:val="32"/>
        </w:rPr>
      </w:pPr>
      <w:r>
        <w:rPr>
          <w:rFonts w:hint="eastAsia" w:ascii="黑体" w:hAnsi="黑体" w:eastAsia="黑体"/>
          <w:szCs w:val="32"/>
        </w:rPr>
        <w:drawing>
          <wp:anchor distT="0" distB="0" distL="114300" distR="114300" simplePos="0" relativeHeight="251659264" behindDoc="0" locked="0" layoutInCell="1" allowOverlap="1">
            <wp:simplePos x="0" y="0"/>
            <wp:positionH relativeFrom="column">
              <wp:posOffset>-102235</wp:posOffset>
            </wp:positionH>
            <wp:positionV relativeFrom="paragraph">
              <wp:posOffset>-124460</wp:posOffset>
            </wp:positionV>
            <wp:extent cx="1827530" cy="1766570"/>
            <wp:effectExtent l="0" t="0" r="0" b="0"/>
            <wp:wrapNone/>
            <wp:docPr id="1" name="图片 1" descr="334de40ee69d4441b11358789065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34de40ee69d4441b11358789065de2"/>
                    <pic:cNvPicPr>
                      <a:picLocks noChangeAspect="1"/>
                    </pic:cNvPicPr>
                  </pic:nvPicPr>
                  <pic:blipFill>
                    <a:blip r:embed="rId4">
                      <a:clrChange>
                        <a:clrFrom>
                          <a:srgbClr val="FFFFFF">
                            <a:alpha val="100000"/>
                          </a:srgbClr>
                        </a:clrFrom>
                        <a:clrTo>
                          <a:srgbClr val="FFFFFF">
                            <a:alpha val="100000"/>
                            <a:alpha val="0"/>
                          </a:srgbClr>
                        </a:clrTo>
                      </a:clrChange>
                    </a:blip>
                    <a:stretch>
                      <a:fillRect/>
                    </a:stretch>
                  </pic:blipFill>
                  <pic:spPr>
                    <a:xfrm>
                      <a:off x="0" y="0"/>
                      <a:ext cx="1827530" cy="1766570"/>
                    </a:xfrm>
                    <a:prstGeom prst="rect">
                      <a:avLst/>
                    </a:prstGeom>
                  </pic:spPr>
                </pic:pic>
              </a:graphicData>
            </a:graphic>
          </wp:anchor>
        </w:drawing>
      </w:r>
      <w:r>
        <w:rPr>
          <w:rFonts w:hint="eastAsia" w:ascii="黑体" w:hAnsi="黑体" w:eastAsia="黑体"/>
          <w:szCs w:val="32"/>
        </w:rPr>
        <w:t>附件2</w:t>
      </w:r>
    </w:p>
    <w:tbl>
      <w:tblPr>
        <w:tblStyle w:val="7"/>
        <w:tblW w:w="9714"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1342"/>
      </w:tblGrid>
      <w:tr>
        <w:tblPrEx>
          <w:tblCellMar>
            <w:top w:w="0" w:type="dxa"/>
            <w:left w:w="108" w:type="dxa"/>
            <w:bottom w:w="0" w:type="dxa"/>
            <w:right w:w="108" w:type="dxa"/>
          </w:tblCellMar>
        </w:tblPrEx>
        <w:trPr>
          <w:trHeight w:val="454" w:hRule="exact"/>
          <w:jc w:val="center"/>
        </w:trPr>
        <w:tc>
          <w:tcPr>
            <w:tcW w:w="9714" w:type="dxa"/>
            <w:gridSpan w:val="14"/>
            <w:tcBorders>
              <w:top w:val="nil"/>
              <w:left w:val="nil"/>
              <w:bottom w:val="nil"/>
              <w:right w:val="nil"/>
            </w:tcBorders>
            <w:vAlign w:val="center"/>
          </w:tcPr>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项目支出绩效自评表</w:t>
            </w:r>
          </w:p>
        </w:tc>
      </w:tr>
      <w:tr>
        <w:tblPrEx>
          <w:tblCellMar>
            <w:top w:w="0" w:type="dxa"/>
            <w:left w:w="108" w:type="dxa"/>
            <w:bottom w:w="0" w:type="dxa"/>
            <w:right w:w="108" w:type="dxa"/>
          </w:tblCellMar>
        </w:tblPrEx>
        <w:trPr>
          <w:trHeight w:val="201" w:hRule="atLeast"/>
          <w:jc w:val="center"/>
        </w:trPr>
        <w:tc>
          <w:tcPr>
            <w:tcW w:w="9714" w:type="dxa"/>
            <w:gridSpan w:val="14"/>
            <w:tcBorders>
              <w:top w:val="nil"/>
              <w:left w:val="nil"/>
              <w:bottom w:val="nil"/>
              <w:right w:val="nil"/>
            </w:tcBorders>
          </w:tcPr>
          <w:p>
            <w:pPr>
              <w:widowControl/>
              <w:jc w:val="center"/>
              <w:rPr>
                <w:rFonts w:ascii="宋体" w:hAnsi="宋体" w:cs="宋体"/>
                <w:kern w:val="0"/>
                <w:sz w:val="22"/>
                <w:szCs w:val="22"/>
              </w:rPr>
            </w:pPr>
            <w:r>
              <w:rPr>
                <w:rFonts w:hint="eastAsia" w:ascii="宋体" w:hAnsi="宋体" w:cs="宋体"/>
                <w:kern w:val="0"/>
                <w:sz w:val="22"/>
                <w:szCs w:val="22"/>
              </w:rPr>
              <w:t>（202</w:t>
            </w:r>
            <w:r>
              <w:rPr>
                <w:rFonts w:hint="eastAsia" w:ascii="宋体" w:hAnsi="宋体" w:cs="宋体"/>
                <w:kern w:val="0"/>
                <w:sz w:val="22"/>
                <w:szCs w:val="22"/>
                <w:lang w:val="en-US" w:eastAsia="zh-CN"/>
              </w:rPr>
              <w:t>3</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146"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default" w:ascii="宋体" w:hAnsi="宋体" w:eastAsia="宋体" w:cs="宋体"/>
                <w:kern w:val="0"/>
                <w:sz w:val="18"/>
                <w:szCs w:val="18"/>
                <w:lang w:val="en-US" w:eastAsia="zh-CN"/>
              </w:rPr>
              <w:t>区级唐财债（2022）21号开平区疫情防控驿站项目6500万（2022年第九批债券）</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唐山市开平区住房和城乡建设局</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902"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开平区市政工程服务中心</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6500</w:t>
            </w:r>
          </w:p>
        </w:tc>
        <w:tc>
          <w:tcPr>
            <w:tcW w:w="1134" w:type="dxa"/>
            <w:gridSpan w:val="2"/>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6500</w:t>
            </w:r>
          </w:p>
        </w:tc>
        <w:tc>
          <w:tcPr>
            <w:tcW w:w="1134" w:type="dxa"/>
            <w:gridSpan w:val="2"/>
            <w:tcBorders>
              <w:top w:val="nil"/>
              <w:left w:val="nil"/>
              <w:bottom w:val="single" w:color="auto" w:sz="4" w:space="0"/>
              <w:right w:val="single" w:color="auto" w:sz="4" w:space="0"/>
            </w:tcBorders>
            <w:vAlign w:val="center"/>
          </w:tcPr>
          <w:p>
            <w:pPr>
              <w:widowControl/>
              <w:spacing w:line="240" w:lineRule="exact"/>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6500</w:t>
            </w: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100%</w:t>
            </w: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vAlign w:val="center"/>
          </w:tcPr>
          <w:p>
            <w:pPr>
              <w:widowControl/>
              <w:spacing w:line="240" w:lineRule="exact"/>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bookmarkStart w:id="0" w:name="_GoBack"/>
            <w:bookmarkEnd w:id="0"/>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275"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34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40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07" w:hRule="exact"/>
          <w:jc w:val="center"/>
        </w:trPr>
        <w:tc>
          <w:tcPr>
            <w:tcW w:w="588"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完成项目全部改造内容</w:t>
            </w:r>
          </w:p>
        </w:tc>
        <w:tc>
          <w:tcPr>
            <w:tcW w:w="4036"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按时保质保量完成改造任务</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工程项目数量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完工率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改造项目完成时限</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改造成本</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1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方正仿宋_GBK" w:hAnsi="方正仿宋_GBK" w:eastAsia="方正仿宋_GBK" w:cs="方正仿宋_GBK"/>
                <w:i w:val="0"/>
                <w:color w:val="000000"/>
                <w:kern w:val="0"/>
                <w:sz w:val="21"/>
                <w:szCs w:val="21"/>
                <w:u w:val="none"/>
                <w:lang w:val="en-US" w:eastAsia="zh-CN" w:bidi="ar"/>
              </w:rPr>
              <w:t>疾病预防控制能力是否提升</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tbl>
            <w:tblPr>
              <w:tblStyle w:val="7"/>
              <w:tblW w:w="9800" w:type="dxa"/>
              <w:jc w:val="center"/>
              <w:tblLayout w:type="fixed"/>
              <w:tblCellMar>
                <w:top w:w="0" w:type="dxa"/>
                <w:left w:w="108" w:type="dxa"/>
                <w:bottom w:w="0" w:type="dxa"/>
                <w:right w:w="108" w:type="dxa"/>
              </w:tblCellMar>
            </w:tblPr>
            <w:tblGrid>
              <w:gridCol w:w="9800"/>
            </w:tblGrid>
            <w:tr>
              <w:tblPrEx>
                <w:tblCellMar>
                  <w:top w:w="0" w:type="dxa"/>
                  <w:left w:w="108" w:type="dxa"/>
                  <w:bottom w:w="0" w:type="dxa"/>
                  <w:right w:w="108" w:type="dxa"/>
                </w:tblCellMar>
              </w:tblPrEx>
              <w:trPr>
                <w:trHeight w:val="300" w:hRule="exact"/>
                <w:jc w:val="center"/>
              </w:trPr>
              <w:tc>
                <w:tcPr>
                  <w:tcW w:w="21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bl>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tbl>
            <w:tblPr>
              <w:tblStyle w:val="7"/>
              <w:tblW w:w="9800" w:type="dxa"/>
              <w:jc w:val="center"/>
              <w:tblLayout w:type="fixed"/>
              <w:tblCellMar>
                <w:top w:w="0" w:type="dxa"/>
                <w:left w:w="108" w:type="dxa"/>
                <w:bottom w:w="0" w:type="dxa"/>
                <w:right w:w="108" w:type="dxa"/>
              </w:tblCellMar>
            </w:tblPr>
            <w:tblGrid>
              <w:gridCol w:w="9800"/>
            </w:tblGrid>
            <w:tr>
              <w:tblPrEx>
                <w:tblCellMar>
                  <w:top w:w="0" w:type="dxa"/>
                  <w:left w:w="108" w:type="dxa"/>
                  <w:bottom w:w="0" w:type="dxa"/>
                  <w:right w:w="108" w:type="dxa"/>
                </w:tblCellMar>
              </w:tblPrEx>
              <w:trPr>
                <w:trHeight w:val="300" w:hRule="exact"/>
                <w:jc w:val="center"/>
              </w:trPr>
              <w:tc>
                <w:tcPr>
                  <w:tcW w:w="21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bl>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长期使用</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指标1：</w:t>
            </w:r>
            <w:r>
              <w:rPr>
                <w:rFonts w:hint="eastAsia" w:ascii="宋体" w:hAnsi="宋体" w:cs="宋体"/>
                <w:color w:val="000000"/>
                <w:kern w:val="0"/>
                <w:sz w:val="18"/>
                <w:szCs w:val="18"/>
                <w:lang w:eastAsia="zh-CN"/>
              </w:rPr>
              <w:t>受益群众满意</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≥90%</w:t>
            </w: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r>
              <w:rPr>
                <w:rFonts w:hint="eastAsia" w:ascii="宋体" w:hAnsi="宋体" w:cs="宋体"/>
                <w:kern w:val="0"/>
                <w:sz w:val="18"/>
                <w:szCs w:val="18"/>
              </w:rPr>
              <w:t>10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完成年度指标</w:t>
            </w: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指标2：</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宋体" w:hAnsi="宋体" w:eastAsia="宋体" w:cs="宋体"/>
                <w:color w:val="000000"/>
                <w:kern w:val="0"/>
                <w:sz w:val="18"/>
                <w:szCs w:val="18"/>
                <w:lang w:val="en-US" w:eastAsia="zh-CN" w:bidi="ar-SA"/>
              </w:rPr>
            </w:pPr>
            <w:r>
              <w:rPr>
                <w:rFonts w:hint="eastAsia" w:ascii="宋体" w:hAnsi="宋体" w:cs="宋体"/>
                <w:color w:val="000000"/>
                <w:kern w:val="0"/>
                <w:sz w:val="18"/>
                <w:szCs w:val="18"/>
              </w:rPr>
              <w:t>……</w:t>
            </w:r>
          </w:p>
        </w:tc>
        <w:tc>
          <w:tcPr>
            <w:tcW w:w="850"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851" w:type="dxa"/>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eastAsia="宋体" w:cs="宋体"/>
                <w:kern w:val="0"/>
                <w:sz w:val="18"/>
                <w:szCs w:val="18"/>
                <w:lang w:val="en-US" w:eastAsia="zh-CN" w:bidi="ar-SA"/>
              </w:rPr>
            </w:pP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205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ascii="黑体" w:hAnsi="黑体" w:eastAsia="黑体"/>
          <w:szCs w:val="32"/>
        </w:rPr>
      </w:pPr>
    </w:p>
    <w:p>
      <w:pPr>
        <w:widowControl/>
        <w:jc w:val="left"/>
      </w:pPr>
    </w:p>
    <w:p>
      <w:pPr>
        <w:spacing w:line="300" w:lineRule="exact"/>
        <w:rPr>
          <w:rFonts w:ascii="黑体" w:hAnsi="黑体" w:eastAsia="黑体"/>
          <w:szCs w:val="32"/>
        </w:rPr>
      </w:pPr>
      <w:r>
        <w:rPr>
          <w:rFonts w:hint="eastAsia" w:ascii="黑体" w:hAnsi="黑体" w:eastAsia="黑体"/>
          <w:szCs w:val="32"/>
        </w:rPr>
        <w:t>附件3</w:t>
      </w:r>
    </w:p>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项目支出绩效评价报告文本格式</w:t>
      </w:r>
    </w:p>
    <w:p>
      <w:pPr>
        <w:spacing w:line="580" w:lineRule="exact"/>
        <w:rPr>
          <w:rFonts w:ascii="仿宋_GB2312" w:eastAsia="仿宋_GB2312"/>
          <w:szCs w:val="32"/>
        </w:rPr>
      </w:pPr>
    </w:p>
    <w:p>
      <w:pPr>
        <w:spacing w:line="600" w:lineRule="exact"/>
        <w:ind w:firstLine="420" w:firstLineChars="200"/>
        <w:rPr>
          <w:rFonts w:ascii="黑体" w:hAnsi="黑体" w:eastAsia="黑体"/>
          <w:szCs w:val="32"/>
        </w:rPr>
      </w:pPr>
      <w:r>
        <w:rPr>
          <w:rFonts w:hint="eastAsia" w:ascii="黑体" w:hAnsi="黑体" w:eastAsia="黑体"/>
          <w:szCs w:val="32"/>
        </w:rPr>
        <w:t>一、基本情况</w:t>
      </w:r>
    </w:p>
    <w:p>
      <w:pPr>
        <w:spacing w:line="600" w:lineRule="exact"/>
        <w:ind w:firstLine="420" w:firstLineChars="200"/>
        <w:outlineLvl w:val="0"/>
        <w:rPr>
          <w:rFonts w:ascii="仿宋_GB2312" w:eastAsia="仿宋_GB2312"/>
          <w:szCs w:val="32"/>
        </w:rPr>
      </w:pPr>
      <w:r>
        <w:rPr>
          <w:rFonts w:hint="eastAsia" w:ascii="仿宋_GB2312" w:eastAsia="仿宋_GB2312"/>
          <w:szCs w:val="32"/>
        </w:rPr>
        <w:t>（一）项目概况。包括项目背景、主要内容及实施情况、资金投入和使用情况等。</w:t>
      </w:r>
    </w:p>
    <w:p>
      <w:pPr>
        <w:spacing w:line="600" w:lineRule="exact"/>
        <w:ind w:firstLine="420" w:firstLineChars="200"/>
        <w:outlineLvl w:val="0"/>
        <w:rPr>
          <w:rFonts w:ascii="仿宋_GB2312" w:eastAsia="仿宋_GB2312"/>
          <w:szCs w:val="32"/>
        </w:rPr>
      </w:pPr>
      <w:r>
        <w:rPr>
          <w:rFonts w:hint="eastAsia" w:ascii="仿宋_GB2312" w:eastAsia="仿宋_GB2312"/>
          <w:szCs w:val="32"/>
        </w:rPr>
        <w:t>项目总建筑面积9690.64平方米，其中B区含2栋各2层的健康驿站、1栋共2层工作站，设置隔离间148间、医办室9间;C区含2栋各2层的健康驿站、1栋共2层工作站，设置隔离间 148 间、医办室2间、宿舍10间;另配套建设污水处理站276.64平方米，垃圾站90平方米。</w:t>
      </w:r>
    </w:p>
    <w:p>
      <w:pPr>
        <w:numPr>
          <w:ilvl w:val="0"/>
          <w:numId w:val="1"/>
        </w:numPr>
        <w:spacing w:line="600" w:lineRule="exact"/>
        <w:ind w:firstLine="420" w:firstLineChars="200"/>
        <w:rPr>
          <w:rFonts w:ascii="仿宋_GB2312" w:eastAsia="仿宋_GB2312"/>
          <w:szCs w:val="32"/>
        </w:rPr>
      </w:pPr>
      <w:r>
        <w:rPr>
          <w:rFonts w:hint="eastAsia" w:ascii="仿宋_GB2312" w:eastAsia="仿宋_GB2312"/>
          <w:szCs w:val="32"/>
        </w:rPr>
        <w:t>项目绩效目标。包括总体目标和阶段性目标。</w:t>
      </w:r>
    </w:p>
    <w:p>
      <w:pPr>
        <w:spacing w:line="600" w:lineRule="exact"/>
        <w:ind w:firstLine="630" w:firstLineChars="300"/>
        <w:rPr>
          <w:rFonts w:ascii="仿宋_GB2312" w:eastAsia="仿宋_GB2312"/>
          <w:szCs w:val="32"/>
        </w:rPr>
      </w:pPr>
      <w:r>
        <w:rPr>
          <w:rFonts w:hint="eastAsia" w:ascii="仿宋_GB2312" w:eastAsia="仿宋_GB2312"/>
          <w:szCs w:val="32"/>
        </w:rPr>
        <w:t>项目绩效目标完成100%，完成项目全部</w:t>
      </w:r>
      <w:r>
        <w:rPr>
          <w:rFonts w:hint="eastAsia" w:ascii="仿宋_GB2312" w:eastAsia="仿宋_GB2312"/>
          <w:szCs w:val="32"/>
          <w:lang w:eastAsia="zh-CN"/>
        </w:rPr>
        <w:t>新建</w:t>
      </w:r>
      <w:r>
        <w:rPr>
          <w:rFonts w:hint="eastAsia" w:ascii="仿宋_GB2312" w:eastAsia="仿宋_GB2312"/>
          <w:szCs w:val="32"/>
        </w:rPr>
        <w:t>工程。</w:t>
      </w:r>
    </w:p>
    <w:p>
      <w:pPr>
        <w:spacing w:line="600" w:lineRule="exact"/>
        <w:ind w:firstLine="420" w:firstLineChars="200"/>
        <w:rPr>
          <w:rFonts w:ascii="黑体" w:hAnsi="黑体" w:eastAsia="黑体"/>
          <w:szCs w:val="32"/>
        </w:rPr>
      </w:pPr>
      <w:r>
        <w:rPr>
          <w:rFonts w:hint="eastAsia" w:ascii="黑体" w:hAnsi="黑体" w:eastAsia="黑体"/>
          <w:szCs w:val="32"/>
        </w:rPr>
        <w:t>二、绩效评价工作开展情况</w:t>
      </w:r>
    </w:p>
    <w:p>
      <w:pPr>
        <w:spacing w:line="600" w:lineRule="exact"/>
        <w:ind w:firstLine="420" w:firstLineChars="200"/>
        <w:rPr>
          <w:rFonts w:ascii="仿宋_GB2312" w:eastAsia="仿宋_GB2312"/>
          <w:szCs w:val="32"/>
        </w:rPr>
      </w:pPr>
      <w:r>
        <w:rPr>
          <w:rFonts w:hint="eastAsia" w:ascii="仿宋_GB2312" w:eastAsia="仿宋_GB2312"/>
          <w:szCs w:val="32"/>
        </w:rPr>
        <w:t>（一）绩效评价目的、对象和范围。</w:t>
      </w:r>
    </w:p>
    <w:p>
      <w:pPr>
        <w:spacing w:line="600" w:lineRule="exact"/>
        <w:ind w:firstLine="420" w:firstLineChars="200"/>
        <w:rPr>
          <w:rFonts w:ascii="仿宋_GB2312" w:eastAsia="仿宋_GB2312"/>
          <w:szCs w:val="32"/>
        </w:rPr>
      </w:pPr>
      <w:r>
        <w:rPr>
          <w:rFonts w:hint="eastAsia" w:ascii="仿宋_GB2312" w:eastAsia="仿宋_GB2312"/>
          <w:szCs w:val="32"/>
        </w:rPr>
        <w:t>项目的建设有助于提升开平区疾病预防控制能力和应对突发事件的综合能力，是开平区卫生事业发展的需求。</w:t>
      </w:r>
    </w:p>
    <w:p>
      <w:pPr>
        <w:spacing w:line="600" w:lineRule="exact"/>
        <w:ind w:firstLine="420" w:firstLineChars="200"/>
        <w:rPr>
          <w:rFonts w:ascii="仿宋_GB2312" w:eastAsia="仿宋_GB2312"/>
          <w:szCs w:val="32"/>
        </w:rPr>
      </w:pPr>
      <w:r>
        <w:rPr>
          <w:rFonts w:hint="eastAsia" w:ascii="仿宋_GB2312" w:eastAsia="仿宋_GB2312"/>
          <w:szCs w:val="32"/>
        </w:rPr>
        <w:t>（二）绩效评价原则、评价指标体系（附表说明）、评价方法、评价标准等。</w:t>
      </w:r>
    </w:p>
    <w:p>
      <w:pPr>
        <w:spacing w:line="600" w:lineRule="exact"/>
        <w:ind w:left="420" w:leftChars="200"/>
        <w:rPr>
          <w:rFonts w:ascii="仿宋_GB2312" w:eastAsia="仿宋_GB2312"/>
          <w:szCs w:val="32"/>
        </w:rPr>
      </w:pPr>
      <w:r>
        <w:rPr>
          <w:rFonts w:hint="eastAsia" w:ascii="仿宋_GB2312" w:eastAsia="仿宋_GB2312"/>
          <w:szCs w:val="32"/>
        </w:rPr>
        <w:t>严格控制建设规模，认真落实各项建设条件，科学组织实施。</w:t>
      </w:r>
    </w:p>
    <w:p>
      <w:pPr>
        <w:numPr>
          <w:ilvl w:val="0"/>
          <w:numId w:val="1"/>
        </w:numPr>
        <w:spacing w:line="600" w:lineRule="exact"/>
        <w:ind w:firstLine="420" w:firstLineChars="200"/>
        <w:rPr>
          <w:rFonts w:ascii="仿宋_GB2312" w:eastAsia="仿宋_GB2312"/>
          <w:szCs w:val="32"/>
        </w:rPr>
      </w:pPr>
      <w:r>
        <w:rPr>
          <w:rFonts w:hint="eastAsia" w:ascii="仿宋_GB2312" w:eastAsia="仿宋_GB2312"/>
          <w:szCs w:val="32"/>
        </w:rPr>
        <w:t>绩效评价工作过程。</w:t>
      </w:r>
    </w:p>
    <w:p>
      <w:pPr>
        <w:pStyle w:val="5"/>
        <w:widowControl/>
        <w:spacing w:beforeAutospacing="0" w:after="360" w:afterAutospacing="0"/>
        <w:ind w:firstLine="540"/>
        <w:textAlignment w:val="baseline"/>
        <w:rPr>
          <w:rFonts w:ascii="仿宋" w:hAnsi="仿宋" w:eastAsia="仿宋" w:cs="仿宋"/>
          <w:color w:val="333333"/>
          <w:sz w:val="21"/>
          <w:szCs w:val="21"/>
        </w:rPr>
      </w:pPr>
      <w:r>
        <w:rPr>
          <w:rFonts w:hint="eastAsia" w:ascii="仿宋" w:hAnsi="仿宋" w:eastAsia="仿宋" w:cs="仿宋"/>
          <w:color w:val="333333"/>
          <w:sz w:val="21"/>
          <w:szCs w:val="21"/>
        </w:rPr>
        <w:t>1.前期准备。成立部门绩效评价小组，学习评价指标体系和绩效相关文件通知。</w:t>
      </w:r>
    </w:p>
    <w:p>
      <w:pPr>
        <w:pStyle w:val="5"/>
        <w:widowControl/>
        <w:spacing w:beforeAutospacing="0" w:after="360" w:afterAutospacing="0"/>
        <w:ind w:firstLine="540"/>
        <w:textAlignment w:val="baseline"/>
        <w:rPr>
          <w:rFonts w:ascii="仿宋" w:hAnsi="仿宋" w:eastAsia="仿宋" w:cs="仿宋"/>
          <w:color w:val="333333"/>
          <w:sz w:val="21"/>
          <w:szCs w:val="21"/>
        </w:rPr>
      </w:pPr>
      <w:r>
        <w:rPr>
          <w:rFonts w:hint="eastAsia" w:ascii="仿宋" w:hAnsi="仿宋" w:eastAsia="仿宋" w:cs="仿宋"/>
          <w:color w:val="333333"/>
          <w:sz w:val="21"/>
          <w:szCs w:val="21"/>
        </w:rPr>
        <w:t>2.组织实施。按照规定的工作程序组织绩效评价自评，注重评价质量，撰写绩效评价报告。</w:t>
      </w:r>
    </w:p>
    <w:p>
      <w:pPr>
        <w:pStyle w:val="5"/>
        <w:widowControl/>
        <w:spacing w:beforeAutospacing="0" w:after="360" w:afterAutospacing="0"/>
        <w:ind w:firstLine="540"/>
        <w:textAlignment w:val="baseline"/>
        <w:rPr>
          <w:rFonts w:ascii="仿宋" w:hAnsi="仿宋" w:eastAsia="仿宋" w:cs="仿宋"/>
          <w:b/>
          <w:bCs/>
          <w:sz w:val="21"/>
          <w:szCs w:val="21"/>
        </w:rPr>
      </w:pPr>
      <w:r>
        <w:rPr>
          <w:rFonts w:hint="eastAsia" w:ascii="仿宋" w:hAnsi="仿宋" w:eastAsia="仿宋" w:cs="仿宋"/>
          <w:color w:val="333333"/>
          <w:sz w:val="21"/>
          <w:szCs w:val="21"/>
        </w:rPr>
        <w:t>3.分析评价。对评价结果进行整改，充分运用分析评价引领。</w:t>
      </w:r>
    </w:p>
    <w:p>
      <w:pPr>
        <w:numPr>
          <w:ilvl w:val="0"/>
          <w:numId w:val="2"/>
        </w:numPr>
        <w:spacing w:line="600" w:lineRule="exact"/>
        <w:ind w:firstLine="420" w:firstLineChars="200"/>
        <w:rPr>
          <w:rFonts w:ascii="黑体" w:hAnsi="黑体" w:eastAsia="黑体"/>
          <w:szCs w:val="32"/>
        </w:rPr>
      </w:pPr>
      <w:r>
        <w:rPr>
          <w:rFonts w:hint="eastAsia" w:ascii="黑体" w:hAnsi="黑体" w:eastAsia="黑体"/>
          <w:szCs w:val="32"/>
        </w:rPr>
        <w:t>综合评价情况及评价结论</w:t>
      </w:r>
    </w:p>
    <w:p>
      <w:pPr>
        <w:spacing w:line="600" w:lineRule="exact"/>
        <w:ind w:firstLine="420" w:firstLineChars="200"/>
        <w:rPr>
          <w:rFonts w:ascii="黑体" w:hAnsi="黑体" w:eastAsia="黑体"/>
          <w:szCs w:val="32"/>
        </w:rPr>
      </w:pPr>
      <w:r>
        <w:rPr>
          <w:rFonts w:hint="eastAsia" w:ascii="黑体" w:hAnsi="黑体" w:eastAsia="黑体"/>
          <w:szCs w:val="32"/>
        </w:rPr>
        <w:t>已按合同规定保质保量完成任务</w:t>
      </w:r>
    </w:p>
    <w:p>
      <w:pPr>
        <w:spacing w:line="600" w:lineRule="exact"/>
        <w:ind w:firstLine="420" w:firstLineChars="200"/>
        <w:rPr>
          <w:rFonts w:ascii="黑体" w:hAnsi="黑体" w:eastAsia="黑体"/>
          <w:szCs w:val="32"/>
        </w:rPr>
      </w:pPr>
      <w:r>
        <w:rPr>
          <w:rFonts w:hint="eastAsia" w:ascii="黑体" w:hAnsi="黑体" w:eastAsia="黑体"/>
          <w:szCs w:val="32"/>
        </w:rPr>
        <w:t>四、绩效评价指标分析</w:t>
      </w:r>
    </w:p>
    <w:p>
      <w:pPr>
        <w:spacing w:line="600" w:lineRule="exact"/>
        <w:ind w:firstLine="420" w:firstLineChars="200"/>
        <w:outlineLvl w:val="0"/>
        <w:rPr>
          <w:rFonts w:ascii="仿宋_GB2312" w:eastAsia="仿宋_GB2312"/>
          <w:szCs w:val="32"/>
        </w:rPr>
      </w:pPr>
      <w:r>
        <w:rPr>
          <w:rFonts w:hint="eastAsia" w:ascii="仿宋_GB2312" w:eastAsia="仿宋_GB2312"/>
          <w:szCs w:val="32"/>
        </w:rPr>
        <w:t>（一）项目决策情况。</w:t>
      </w:r>
    </w:p>
    <w:p>
      <w:pPr>
        <w:spacing w:line="600" w:lineRule="exact"/>
        <w:ind w:firstLine="422" w:firstLineChars="200"/>
        <w:outlineLvl w:val="0"/>
        <w:rPr>
          <w:rFonts w:ascii="仿宋_GB2312" w:eastAsia="仿宋_GB2312"/>
          <w:szCs w:val="32"/>
        </w:rPr>
      </w:pPr>
      <w:r>
        <w:rPr>
          <w:rFonts w:hint="eastAsia" w:ascii="仿宋" w:hAnsi="仿宋" w:eastAsia="仿宋" w:cs="仿宋"/>
          <w:b/>
          <w:bCs/>
          <w:szCs w:val="21"/>
        </w:rPr>
        <w:t xml:space="preserve">  </w:t>
      </w:r>
      <w:r>
        <w:rPr>
          <w:rFonts w:hint="eastAsia" w:ascii="仿宋_GB2312" w:eastAsia="仿宋_GB2312"/>
          <w:szCs w:val="32"/>
        </w:rPr>
        <w:t>项目过程情况。</w:t>
      </w:r>
    </w:p>
    <w:p>
      <w:pPr>
        <w:spacing w:line="600" w:lineRule="exact"/>
        <w:outlineLvl w:val="0"/>
        <w:rPr>
          <w:rFonts w:ascii="仿宋_GB2312" w:eastAsia="仿宋_GB2312"/>
          <w:szCs w:val="32"/>
        </w:rPr>
      </w:pPr>
    </w:p>
    <w:p>
      <w:pPr>
        <w:spacing w:line="600" w:lineRule="exact"/>
        <w:outlineLvl w:val="0"/>
        <w:rPr>
          <w:rFonts w:ascii="仿宋_GB2312" w:eastAsia="仿宋_GB2312"/>
          <w:szCs w:val="32"/>
        </w:rPr>
      </w:pPr>
    </w:p>
    <w:p>
      <w:pPr>
        <w:numPr>
          <w:ilvl w:val="0"/>
          <w:numId w:val="3"/>
        </w:numPr>
        <w:spacing w:line="600" w:lineRule="exact"/>
        <w:ind w:firstLine="420" w:firstLineChars="200"/>
        <w:outlineLvl w:val="0"/>
        <w:rPr>
          <w:rFonts w:ascii="仿宋_GB2312" w:eastAsia="仿宋_GB2312"/>
          <w:szCs w:val="32"/>
        </w:rPr>
      </w:pPr>
      <w:r>
        <w:rPr>
          <w:rFonts w:hint="eastAsia" w:ascii="仿宋_GB2312" w:eastAsia="仿宋_GB2312"/>
          <w:szCs w:val="32"/>
        </w:rPr>
        <w:t>项目产出情况。</w:t>
      </w:r>
    </w:p>
    <w:p>
      <w:pPr>
        <w:spacing w:line="600" w:lineRule="exact"/>
        <w:ind w:left="420" w:leftChars="200"/>
        <w:outlineLvl w:val="0"/>
        <w:rPr>
          <w:rFonts w:ascii="仿宋" w:hAnsi="仿宋" w:eastAsia="仿宋" w:cs="仿宋"/>
          <w:szCs w:val="21"/>
        </w:rPr>
      </w:pPr>
      <w:r>
        <w:rPr>
          <w:rFonts w:hint="eastAsia" w:ascii="仿宋" w:hAnsi="仿宋" w:eastAsia="仿宋" w:cs="仿宋"/>
          <w:szCs w:val="21"/>
        </w:rPr>
        <w:t>目标任务100%完成</w:t>
      </w:r>
    </w:p>
    <w:p>
      <w:pPr>
        <w:numPr>
          <w:ilvl w:val="0"/>
          <w:numId w:val="3"/>
        </w:numPr>
        <w:spacing w:line="600" w:lineRule="exact"/>
        <w:ind w:firstLine="420" w:firstLineChars="200"/>
        <w:outlineLvl w:val="0"/>
        <w:rPr>
          <w:rFonts w:ascii="仿宋_GB2312" w:eastAsia="仿宋_GB2312"/>
          <w:szCs w:val="32"/>
        </w:rPr>
      </w:pPr>
      <w:r>
        <w:rPr>
          <w:rFonts w:hint="eastAsia" w:ascii="仿宋_GB2312" w:eastAsia="仿宋_GB2312"/>
          <w:szCs w:val="32"/>
        </w:rPr>
        <w:t>项目效益情况。</w:t>
      </w:r>
    </w:p>
    <w:p>
      <w:pPr>
        <w:spacing w:line="600" w:lineRule="exact"/>
        <w:ind w:left="420" w:leftChars="200"/>
        <w:outlineLvl w:val="0"/>
        <w:rPr>
          <w:rFonts w:ascii="仿宋_GB2312" w:eastAsia="仿宋_GB2312"/>
          <w:szCs w:val="32"/>
        </w:rPr>
      </w:pPr>
    </w:p>
    <w:p>
      <w:pPr>
        <w:spacing w:line="600" w:lineRule="exact"/>
        <w:ind w:left="420" w:leftChars="200"/>
        <w:outlineLvl w:val="0"/>
        <w:rPr>
          <w:rFonts w:ascii="仿宋_GB2312" w:eastAsia="仿宋_GB2312"/>
          <w:szCs w:val="32"/>
        </w:rPr>
      </w:pPr>
    </w:p>
    <w:p>
      <w:pPr>
        <w:spacing w:line="600" w:lineRule="exact"/>
        <w:ind w:left="420" w:leftChars="200"/>
        <w:rPr>
          <w:rFonts w:ascii="黑体" w:hAnsi="黑体" w:eastAsia="黑体"/>
          <w:szCs w:val="32"/>
        </w:rPr>
      </w:pPr>
      <w:r>
        <w:rPr>
          <w:rFonts w:hint="eastAsia" w:ascii="黑体" w:hAnsi="黑体" w:eastAsia="黑体"/>
          <w:szCs w:val="32"/>
        </w:rPr>
        <w:t>五、主要经验及做法、存在的问题及原因分析</w:t>
      </w:r>
    </w:p>
    <w:p>
      <w:pPr>
        <w:keepNext w:val="0"/>
        <w:keepLines w:val="0"/>
        <w:pageBreakBefore w:val="0"/>
        <w:widowControl w:val="0"/>
        <w:kinsoku/>
        <w:wordWrap/>
        <w:overflowPunct/>
        <w:topLinePunct w:val="0"/>
        <w:autoSpaceDE/>
        <w:autoSpaceDN/>
        <w:bidi w:val="0"/>
        <w:adjustRightInd/>
        <w:snapToGrid/>
        <w:spacing w:beforeLines="0" w:afterLines="0" w:line="580" w:lineRule="exact"/>
        <w:ind w:firstLine="420" w:firstLineChars="200"/>
        <w:textAlignment w:val="auto"/>
        <w:rPr>
          <w:rFonts w:hint="eastAsia" w:ascii="仿宋" w:hAnsi="仿宋" w:eastAsia="仿宋" w:cs="仿宋"/>
          <w:sz w:val="21"/>
          <w:szCs w:val="21"/>
          <w:lang w:eastAsia="zh-CN"/>
        </w:rPr>
      </w:pPr>
      <w:r>
        <w:rPr>
          <w:rFonts w:hint="eastAsia" w:ascii="仿宋" w:hAnsi="仿宋" w:eastAsia="仿宋" w:cs="仿宋"/>
          <w:sz w:val="21"/>
          <w:szCs w:val="21"/>
          <w:lang w:eastAsia="zh-CN"/>
        </w:rPr>
        <w:t>（绩效目标完成过程中存在的问题，监督检查中发现的问题）</w:t>
      </w:r>
    </w:p>
    <w:p>
      <w:pPr>
        <w:spacing w:line="600" w:lineRule="exact"/>
        <w:ind w:firstLine="420" w:firstLineChars="200"/>
        <w:rPr>
          <w:rFonts w:ascii="黑体" w:hAnsi="黑体" w:eastAsia="黑体"/>
          <w:szCs w:val="32"/>
        </w:rPr>
      </w:pPr>
      <w:r>
        <w:rPr>
          <w:rFonts w:hint="eastAsia" w:ascii="黑体" w:hAnsi="黑体" w:eastAsia="黑体"/>
          <w:szCs w:val="32"/>
        </w:rPr>
        <w:t>六、有关建议</w:t>
      </w:r>
    </w:p>
    <w:p>
      <w:pPr>
        <w:spacing w:line="600" w:lineRule="exact"/>
        <w:ind w:left="420" w:leftChars="200"/>
        <w:rPr>
          <w:rFonts w:ascii="黑体" w:hAnsi="黑体" w:eastAsia="黑体"/>
          <w:szCs w:val="32"/>
        </w:rPr>
      </w:pPr>
    </w:p>
    <w:p>
      <w:pPr>
        <w:numPr>
          <w:ilvl w:val="0"/>
          <w:numId w:val="4"/>
        </w:numPr>
        <w:spacing w:line="600" w:lineRule="exact"/>
        <w:ind w:firstLine="420" w:firstLineChars="200"/>
        <w:rPr>
          <w:rFonts w:hint="eastAsia" w:ascii="黑体" w:hAnsi="黑体" w:eastAsia="黑体"/>
          <w:szCs w:val="32"/>
        </w:rPr>
      </w:pPr>
      <w:r>
        <w:rPr>
          <w:rFonts w:hint="eastAsia" w:ascii="黑体" w:hAnsi="黑体" w:eastAsia="黑体"/>
          <w:szCs w:val="32"/>
        </w:rPr>
        <w:t>其他需要说明的问题</w:t>
      </w:r>
    </w:p>
    <w:p>
      <w:pPr>
        <w:widowControl w:val="0"/>
        <w:numPr>
          <w:ilvl w:val="0"/>
          <w:numId w:val="0"/>
        </w:numPr>
        <w:spacing w:line="600" w:lineRule="exact"/>
        <w:jc w:val="both"/>
        <w:rPr>
          <w:rFonts w:hint="eastAsia" w:ascii="黑体" w:hAnsi="黑体" w:eastAsia="黑体"/>
          <w:szCs w:val="32"/>
        </w:rPr>
      </w:pPr>
    </w:p>
    <w:p>
      <w:pPr>
        <w:widowControl w:val="0"/>
        <w:numPr>
          <w:ilvl w:val="0"/>
          <w:numId w:val="0"/>
        </w:numPr>
        <w:spacing w:line="600" w:lineRule="exact"/>
        <w:jc w:val="both"/>
        <w:rPr>
          <w:rFonts w:hint="eastAsia" w:ascii="黑体" w:hAnsi="黑体" w:eastAsia="黑体"/>
          <w:szCs w:val="32"/>
        </w:rPr>
      </w:pPr>
    </w:p>
    <w:p>
      <w:pPr>
        <w:widowControl w:val="0"/>
        <w:numPr>
          <w:ilvl w:val="0"/>
          <w:numId w:val="0"/>
        </w:numPr>
        <w:spacing w:line="600" w:lineRule="exact"/>
        <w:jc w:val="both"/>
        <w:rPr>
          <w:rFonts w:hint="eastAsia" w:ascii="黑体" w:hAnsi="黑体" w:eastAsia="黑体"/>
          <w:szCs w:val="32"/>
        </w:rPr>
      </w:pPr>
    </w:p>
    <w:p>
      <w:pPr>
        <w:spacing w:line="580" w:lineRule="exact"/>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方正仿宋_GBK">
    <w:altName w:val="微软雅黑"/>
    <w:panose1 w:val="03000509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BFE7BE"/>
    <w:multiLevelType w:val="singleLevel"/>
    <w:tmpl w:val="B0BFE7BE"/>
    <w:lvl w:ilvl="0" w:tentative="0">
      <w:start w:val="3"/>
      <w:numFmt w:val="chineseCounting"/>
      <w:suff w:val="nothing"/>
      <w:lvlText w:val="%1、"/>
      <w:lvlJc w:val="left"/>
      <w:rPr>
        <w:rFonts w:hint="eastAsia"/>
      </w:rPr>
    </w:lvl>
  </w:abstractNum>
  <w:abstractNum w:abstractNumId="1">
    <w:nsid w:val="E43498F5"/>
    <w:multiLevelType w:val="singleLevel"/>
    <w:tmpl w:val="E43498F5"/>
    <w:lvl w:ilvl="0" w:tentative="0">
      <w:start w:val="7"/>
      <w:numFmt w:val="chineseCounting"/>
      <w:suff w:val="nothing"/>
      <w:lvlText w:val="%1、"/>
      <w:lvlJc w:val="left"/>
      <w:rPr>
        <w:rFonts w:hint="eastAsia"/>
      </w:rPr>
    </w:lvl>
  </w:abstractNum>
  <w:abstractNum w:abstractNumId="2">
    <w:nsid w:val="E9793A4A"/>
    <w:multiLevelType w:val="singleLevel"/>
    <w:tmpl w:val="E9793A4A"/>
    <w:lvl w:ilvl="0" w:tentative="0">
      <w:start w:val="2"/>
      <w:numFmt w:val="chineseCounting"/>
      <w:suff w:val="nothing"/>
      <w:lvlText w:val="（%1）"/>
      <w:lvlJc w:val="left"/>
      <w:rPr>
        <w:rFonts w:hint="eastAsia"/>
      </w:rPr>
    </w:lvl>
  </w:abstractNum>
  <w:abstractNum w:abstractNumId="3">
    <w:nsid w:val="6ACA2630"/>
    <w:multiLevelType w:val="singleLevel"/>
    <w:tmpl w:val="6ACA2630"/>
    <w:lvl w:ilvl="0" w:tentative="0">
      <w:start w:val="2"/>
      <w:numFmt w:val="chineseCounting"/>
      <w:suff w:val="nothing"/>
      <w:lvlText w:val="（%1）"/>
      <w:lvlJc w:val="left"/>
      <w:rPr>
        <w:rFonts w:hint="eastAsia"/>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3"/>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yYTc3NWJmMWUwZGUzZjMwZTNiYmZkYmIzMGZiZDIifQ=="/>
  </w:docVars>
  <w:rsids>
    <w:rsidRoot w:val="260450A5"/>
    <w:rsid w:val="00047350"/>
    <w:rsid w:val="00123A1B"/>
    <w:rsid w:val="002B6D59"/>
    <w:rsid w:val="0031749F"/>
    <w:rsid w:val="00322FA3"/>
    <w:rsid w:val="00361679"/>
    <w:rsid w:val="00430FEC"/>
    <w:rsid w:val="004C083C"/>
    <w:rsid w:val="0051353B"/>
    <w:rsid w:val="005F49A0"/>
    <w:rsid w:val="006F1584"/>
    <w:rsid w:val="0072663D"/>
    <w:rsid w:val="00880083"/>
    <w:rsid w:val="0094421D"/>
    <w:rsid w:val="009B669A"/>
    <w:rsid w:val="00A2315E"/>
    <w:rsid w:val="00AD0B2D"/>
    <w:rsid w:val="00B21A68"/>
    <w:rsid w:val="00B2613A"/>
    <w:rsid w:val="00B71317"/>
    <w:rsid w:val="00BC03B7"/>
    <w:rsid w:val="00D76190"/>
    <w:rsid w:val="00DA380F"/>
    <w:rsid w:val="00E32290"/>
    <w:rsid w:val="00E55365"/>
    <w:rsid w:val="00E76D88"/>
    <w:rsid w:val="00EB16C7"/>
    <w:rsid w:val="011B7C6A"/>
    <w:rsid w:val="016659C9"/>
    <w:rsid w:val="01F16461"/>
    <w:rsid w:val="02203B3A"/>
    <w:rsid w:val="04E70BC8"/>
    <w:rsid w:val="06116D99"/>
    <w:rsid w:val="062C0CFF"/>
    <w:rsid w:val="066C7F3E"/>
    <w:rsid w:val="06BA12C3"/>
    <w:rsid w:val="072A0873"/>
    <w:rsid w:val="074B4FB4"/>
    <w:rsid w:val="076515E8"/>
    <w:rsid w:val="078969A6"/>
    <w:rsid w:val="079569D0"/>
    <w:rsid w:val="07A31FCC"/>
    <w:rsid w:val="07F071D0"/>
    <w:rsid w:val="08D44ABE"/>
    <w:rsid w:val="096E7D6A"/>
    <w:rsid w:val="09F1209B"/>
    <w:rsid w:val="0A037369"/>
    <w:rsid w:val="0A811812"/>
    <w:rsid w:val="0A927EFF"/>
    <w:rsid w:val="0AC16F8C"/>
    <w:rsid w:val="0ADD1EE2"/>
    <w:rsid w:val="0B2D4F1E"/>
    <w:rsid w:val="0C1B5491"/>
    <w:rsid w:val="0DB86B49"/>
    <w:rsid w:val="0E0D06C4"/>
    <w:rsid w:val="0E1140C9"/>
    <w:rsid w:val="0ED41A3A"/>
    <w:rsid w:val="10705B47"/>
    <w:rsid w:val="10BB6C06"/>
    <w:rsid w:val="1163684B"/>
    <w:rsid w:val="11994520"/>
    <w:rsid w:val="1256258B"/>
    <w:rsid w:val="12662EF5"/>
    <w:rsid w:val="130C0D4F"/>
    <w:rsid w:val="138747F5"/>
    <w:rsid w:val="140016E2"/>
    <w:rsid w:val="14A13AC6"/>
    <w:rsid w:val="15A33312"/>
    <w:rsid w:val="164A625B"/>
    <w:rsid w:val="16B914D6"/>
    <w:rsid w:val="16E535BC"/>
    <w:rsid w:val="170B4216"/>
    <w:rsid w:val="180A3329"/>
    <w:rsid w:val="18BF3D3A"/>
    <w:rsid w:val="19091F4F"/>
    <w:rsid w:val="1B5D7636"/>
    <w:rsid w:val="1C02211F"/>
    <w:rsid w:val="1C2C3A8C"/>
    <w:rsid w:val="1C785648"/>
    <w:rsid w:val="1CB22292"/>
    <w:rsid w:val="1D0A52FC"/>
    <w:rsid w:val="1D0F6F97"/>
    <w:rsid w:val="1DF44648"/>
    <w:rsid w:val="1E4616B0"/>
    <w:rsid w:val="211A4492"/>
    <w:rsid w:val="225548E0"/>
    <w:rsid w:val="23257A7B"/>
    <w:rsid w:val="243424B8"/>
    <w:rsid w:val="24402AAA"/>
    <w:rsid w:val="244A5851"/>
    <w:rsid w:val="24691A68"/>
    <w:rsid w:val="255135D4"/>
    <w:rsid w:val="260450A5"/>
    <w:rsid w:val="26A0199D"/>
    <w:rsid w:val="26CF5299"/>
    <w:rsid w:val="27896128"/>
    <w:rsid w:val="27D93CC3"/>
    <w:rsid w:val="286555BE"/>
    <w:rsid w:val="287F7AB4"/>
    <w:rsid w:val="28947B36"/>
    <w:rsid w:val="28C7390B"/>
    <w:rsid w:val="2A0A50CD"/>
    <w:rsid w:val="2A4F5BC0"/>
    <w:rsid w:val="2B9E7E36"/>
    <w:rsid w:val="2BD34ED8"/>
    <w:rsid w:val="2C9F245C"/>
    <w:rsid w:val="2D1C29DE"/>
    <w:rsid w:val="2E205BBF"/>
    <w:rsid w:val="2E9269C9"/>
    <w:rsid w:val="2EA2764D"/>
    <w:rsid w:val="2F1071EF"/>
    <w:rsid w:val="30104499"/>
    <w:rsid w:val="321C52DE"/>
    <w:rsid w:val="32432BEF"/>
    <w:rsid w:val="33FA023D"/>
    <w:rsid w:val="34291948"/>
    <w:rsid w:val="34A80178"/>
    <w:rsid w:val="34B1049E"/>
    <w:rsid w:val="34C037D2"/>
    <w:rsid w:val="352E1AEE"/>
    <w:rsid w:val="35341D6D"/>
    <w:rsid w:val="36F44C2F"/>
    <w:rsid w:val="37087009"/>
    <w:rsid w:val="372D1457"/>
    <w:rsid w:val="37A46B3A"/>
    <w:rsid w:val="38180F34"/>
    <w:rsid w:val="38793181"/>
    <w:rsid w:val="38944D02"/>
    <w:rsid w:val="399A6674"/>
    <w:rsid w:val="399E0C14"/>
    <w:rsid w:val="3A0C0542"/>
    <w:rsid w:val="3AD41F14"/>
    <w:rsid w:val="3B494617"/>
    <w:rsid w:val="3BE900CC"/>
    <w:rsid w:val="3BF9511E"/>
    <w:rsid w:val="3CDB7FE7"/>
    <w:rsid w:val="3CEB537F"/>
    <w:rsid w:val="3EB536B0"/>
    <w:rsid w:val="3FAA4467"/>
    <w:rsid w:val="40BE3D63"/>
    <w:rsid w:val="412F2E76"/>
    <w:rsid w:val="417D49BE"/>
    <w:rsid w:val="41B13AE1"/>
    <w:rsid w:val="41EA43D2"/>
    <w:rsid w:val="42B467C8"/>
    <w:rsid w:val="435A79F7"/>
    <w:rsid w:val="437F292D"/>
    <w:rsid w:val="43B31ADE"/>
    <w:rsid w:val="44205C12"/>
    <w:rsid w:val="44405BC7"/>
    <w:rsid w:val="44FE5046"/>
    <w:rsid w:val="45A51959"/>
    <w:rsid w:val="46143E02"/>
    <w:rsid w:val="46D572BC"/>
    <w:rsid w:val="477E6F03"/>
    <w:rsid w:val="48507B95"/>
    <w:rsid w:val="49D47B62"/>
    <w:rsid w:val="4AD636CA"/>
    <w:rsid w:val="4B5F6742"/>
    <w:rsid w:val="4CBC7C16"/>
    <w:rsid w:val="4CEB6AE1"/>
    <w:rsid w:val="4D7B4472"/>
    <w:rsid w:val="4DB70096"/>
    <w:rsid w:val="4F2C4A6A"/>
    <w:rsid w:val="4FBC1015"/>
    <w:rsid w:val="50DA53AB"/>
    <w:rsid w:val="50F03464"/>
    <w:rsid w:val="510B0C08"/>
    <w:rsid w:val="52166FF4"/>
    <w:rsid w:val="527E3998"/>
    <w:rsid w:val="52DA67D3"/>
    <w:rsid w:val="52FB5FC0"/>
    <w:rsid w:val="532F1BE1"/>
    <w:rsid w:val="53CB03FB"/>
    <w:rsid w:val="546B0ECE"/>
    <w:rsid w:val="554051FA"/>
    <w:rsid w:val="55DA7154"/>
    <w:rsid w:val="56212045"/>
    <w:rsid w:val="57451877"/>
    <w:rsid w:val="577A3E2F"/>
    <w:rsid w:val="58487A3A"/>
    <w:rsid w:val="59842E96"/>
    <w:rsid w:val="5A092A45"/>
    <w:rsid w:val="5A785AFA"/>
    <w:rsid w:val="5AC27D01"/>
    <w:rsid w:val="5D73674F"/>
    <w:rsid w:val="5DBC23AE"/>
    <w:rsid w:val="5E182C12"/>
    <w:rsid w:val="5EDE519B"/>
    <w:rsid w:val="6006221B"/>
    <w:rsid w:val="60F624B3"/>
    <w:rsid w:val="616D5D80"/>
    <w:rsid w:val="618B73B4"/>
    <w:rsid w:val="61C4253D"/>
    <w:rsid w:val="632B5592"/>
    <w:rsid w:val="63D4457F"/>
    <w:rsid w:val="644B26E6"/>
    <w:rsid w:val="649072BD"/>
    <w:rsid w:val="64A205F4"/>
    <w:rsid w:val="652A0E39"/>
    <w:rsid w:val="65882091"/>
    <w:rsid w:val="65A0652C"/>
    <w:rsid w:val="65A61999"/>
    <w:rsid w:val="66155AC1"/>
    <w:rsid w:val="66CF4E4C"/>
    <w:rsid w:val="675751AE"/>
    <w:rsid w:val="676A60D8"/>
    <w:rsid w:val="6809008C"/>
    <w:rsid w:val="68090C76"/>
    <w:rsid w:val="68772437"/>
    <w:rsid w:val="68AB0B43"/>
    <w:rsid w:val="69151512"/>
    <w:rsid w:val="6A9C2A7B"/>
    <w:rsid w:val="6A9D0BDA"/>
    <w:rsid w:val="6B2C284B"/>
    <w:rsid w:val="6B473AA2"/>
    <w:rsid w:val="6B730AB7"/>
    <w:rsid w:val="6CA90A83"/>
    <w:rsid w:val="6CEE760E"/>
    <w:rsid w:val="6D2F7BD6"/>
    <w:rsid w:val="6DCD67AC"/>
    <w:rsid w:val="70237BD7"/>
    <w:rsid w:val="70544245"/>
    <w:rsid w:val="70926092"/>
    <w:rsid w:val="71195D36"/>
    <w:rsid w:val="713A45D7"/>
    <w:rsid w:val="724A0916"/>
    <w:rsid w:val="733B22B0"/>
    <w:rsid w:val="736B403F"/>
    <w:rsid w:val="73AC576F"/>
    <w:rsid w:val="74570ECF"/>
    <w:rsid w:val="74AE3AD6"/>
    <w:rsid w:val="74C64FB0"/>
    <w:rsid w:val="74E102BF"/>
    <w:rsid w:val="751A6627"/>
    <w:rsid w:val="758F7058"/>
    <w:rsid w:val="76424842"/>
    <w:rsid w:val="76983BE3"/>
    <w:rsid w:val="788076E2"/>
    <w:rsid w:val="79951D2D"/>
    <w:rsid w:val="799A287B"/>
    <w:rsid w:val="7A2465E9"/>
    <w:rsid w:val="7A2C6E9C"/>
    <w:rsid w:val="7A382EBC"/>
    <w:rsid w:val="7A3F4DAF"/>
    <w:rsid w:val="7AAD211C"/>
    <w:rsid w:val="7AF4203D"/>
    <w:rsid w:val="7B753FCD"/>
    <w:rsid w:val="7BA60E17"/>
    <w:rsid w:val="7BD0123F"/>
    <w:rsid w:val="7BFE5958"/>
    <w:rsid w:val="7DDA1A83"/>
    <w:rsid w:val="7E5C605E"/>
    <w:rsid w:val="7E8A29A6"/>
    <w:rsid w:val="7EF44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autoRedefine/>
    <w:qFormat/>
    <w:uiPriority w:val="0"/>
    <w:pPr>
      <w:keepNext/>
      <w:keepLines/>
      <w:spacing w:before="340" w:after="330" w:line="578" w:lineRule="auto"/>
      <w:outlineLvl w:val="0"/>
    </w:pPr>
    <w:rPr>
      <w:b/>
      <w:bCs/>
      <w:kern w:val="44"/>
      <w:sz w:val="44"/>
      <w:szCs w:val="44"/>
    </w:rPr>
  </w:style>
  <w:style w:type="character" w:default="1" w:styleId="8">
    <w:name w:val="Default Paragraph Font"/>
    <w:autoRedefine/>
    <w:semiHidden/>
    <w:unhideWhenUsed/>
    <w:qFormat/>
    <w:uiPriority w:val="1"/>
  </w:style>
  <w:style w:type="table" w:default="1" w:styleId="7">
    <w:name w:val="Normal Table"/>
    <w:autoRedefine/>
    <w:semiHidden/>
    <w:unhideWhenUsed/>
    <w:qFormat/>
    <w:uiPriority w:val="99"/>
    <w:tblPr>
      <w:tblCellMar>
        <w:top w:w="0" w:type="dxa"/>
        <w:left w:w="108" w:type="dxa"/>
        <w:bottom w:w="0" w:type="dxa"/>
        <w:right w:w="108" w:type="dxa"/>
      </w:tblCellMar>
    </w:tblPr>
  </w:style>
  <w:style w:type="paragraph" w:styleId="3">
    <w:name w:val="footer"/>
    <w:basedOn w:val="1"/>
    <w:autoRedefine/>
    <w:qFormat/>
    <w:uiPriority w:val="0"/>
    <w:pPr>
      <w:tabs>
        <w:tab w:val="center" w:pos="4140"/>
        <w:tab w:val="right" w:pos="8300"/>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qFormat/>
    <w:uiPriority w:val="0"/>
    <w:pPr>
      <w:spacing w:beforeAutospacing="1" w:afterAutospacing="1"/>
      <w:jc w:val="left"/>
    </w:pPr>
    <w:rPr>
      <w:kern w:val="0"/>
      <w:sz w:val="24"/>
    </w:rPr>
  </w:style>
  <w:style w:type="paragraph" w:styleId="6">
    <w:name w:val="Title"/>
    <w:basedOn w:val="1"/>
    <w:next w:val="1"/>
    <w:link w:val="11"/>
    <w:autoRedefine/>
    <w:qFormat/>
    <w:uiPriority w:val="0"/>
    <w:pPr>
      <w:spacing w:before="240" w:after="60"/>
      <w:jc w:val="center"/>
      <w:outlineLvl w:val="0"/>
    </w:pPr>
    <w:rPr>
      <w:rFonts w:asciiTheme="majorHAnsi" w:hAnsiTheme="majorHAnsi" w:cstheme="majorBidi"/>
      <w:b/>
      <w:bCs/>
      <w:sz w:val="32"/>
      <w:szCs w:val="32"/>
    </w:rPr>
  </w:style>
  <w:style w:type="paragraph" w:styleId="9">
    <w:name w:val="List Paragraph"/>
    <w:basedOn w:val="1"/>
    <w:autoRedefine/>
    <w:unhideWhenUsed/>
    <w:qFormat/>
    <w:uiPriority w:val="99"/>
    <w:pPr>
      <w:ind w:firstLine="420" w:firstLineChars="200"/>
    </w:pPr>
  </w:style>
  <w:style w:type="character" w:customStyle="1" w:styleId="10">
    <w:name w:val="页眉 Char"/>
    <w:basedOn w:val="8"/>
    <w:link w:val="4"/>
    <w:autoRedefine/>
    <w:qFormat/>
    <w:uiPriority w:val="0"/>
    <w:rPr>
      <w:kern w:val="2"/>
      <w:sz w:val="18"/>
      <w:szCs w:val="18"/>
    </w:rPr>
  </w:style>
  <w:style w:type="character" w:customStyle="1" w:styleId="11">
    <w:name w:val="标题 Char"/>
    <w:basedOn w:val="8"/>
    <w:link w:val="6"/>
    <w:autoRedefine/>
    <w:qFormat/>
    <w:uiPriority w:val="0"/>
    <w:rPr>
      <w:rFonts w:asciiTheme="majorHAnsi" w:hAnsiTheme="majorHAnsi" w:cstheme="majorBidi"/>
      <w:b/>
      <w:bCs/>
      <w:kern w:val="2"/>
      <w:sz w:val="32"/>
      <w:szCs w:val="32"/>
    </w:rPr>
  </w:style>
  <w:style w:type="character" w:customStyle="1" w:styleId="12">
    <w:name w:val="标题 1 Char"/>
    <w:basedOn w:val="8"/>
    <w:link w:val="2"/>
    <w:autoRedefine/>
    <w:qFormat/>
    <w:uiPriority w:val="0"/>
    <w:rPr>
      <w:b/>
      <w:bCs/>
      <w:kern w:val="44"/>
      <w:sz w:val="44"/>
      <w:szCs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891477B-F042-4B79-B26F-171E25972DE0}">
  <ds:schemaRefs/>
</ds:datastoreItem>
</file>

<file path=docProps/app.xml><?xml version="1.0" encoding="utf-8"?>
<Properties xmlns="http://schemas.openxmlformats.org/officeDocument/2006/extended-properties" xmlns:vt="http://schemas.openxmlformats.org/officeDocument/2006/docPropsVTypes">
  <Template>Normal</Template>
  <Pages>12</Pages>
  <Words>943</Words>
  <Characters>5376</Characters>
  <Lines>44</Lines>
  <Paragraphs>12</Paragraphs>
  <TotalTime>1</TotalTime>
  <ScaleCrop>false</ScaleCrop>
  <LinksUpToDate>false</LinksUpToDate>
  <CharactersWithSpaces>6307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2021-06-07T01:46:00Z</dcterms:created>
  <dc:creator>pp3</dc:creator>
  <cp:lastModifiedBy>Administrator</cp:lastModifiedBy>
  <cp:lastPrinted>2024-03-28T01:12:00Z</cp:lastPrinted>
  <dcterms:modified xsi:type="dcterms:W3CDTF">2024-04-07T07:19:05Z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19D8E436229E4058B018C74C613B201A_13</vt:lpwstr>
  </property>
</Properties>
</file>