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Cs w:val="32"/>
        </w:rPr>
      </w:pPr>
      <w:r>
        <w:rPr>
          <w:rFonts w:hint="eastAsia" w:ascii="黑体" w:hAnsi="黑体" w:eastAsia="黑体"/>
          <w:szCs w:val="32"/>
        </w:rPr>
        <w:t>附件2</w:t>
      </w:r>
    </w:p>
    <w:tbl>
      <w:tblPr>
        <w:tblStyle w:val="4"/>
        <w:tblW w:w="9587" w:type="dxa"/>
        <w:jc w:val="center"/>
        <w:tblLayout w:type="fixed"/>
        <w:tblCellMar>
          <w:top w:w="0" w:type="dxa"/>
          <w:left w:w="108" w:type="dxa"/>
          <w:bottom w:w="0" w:type="dxa"/>
          <w:right w:w="108" w:type="dxa"/>
        </w:tblCellMar>
      </w:tblPr>
      <w:tblGrid>
        <w:gridCol w:w="588"/>
        <w:gridCol w:w="980"/>
        <w:gridCol w:w="1112"/>
        <w:gridCol w:w="730"/>
        <w:gridCol w:w="1134"/>
        <w:gridCol w:w="284"/>
        <w:gridCol w:w="850"/>
        <w:gridCol w:w="851"/>
        <w:gridCol w:w="283"/>
        <w:gridCol w:w="284"/>
        <w:gridCol w:w="425"/>
        <w:gridCol w:w="142"/>
        <w:gridCol w:w="709"/>
        <w:gridCol w:w="1215"/>
      </w:tblGrid>
      <w:tr>
        <w:tblPrEx>
          <w:tblCellMar>
            <w:top w:w="0" w:type="dxa"/>
            <w:left w:w="108" w:type="dxa"/>
            <w:bottom w:w="0" w:type="dxa"/>
            <w:right w:w="108" w:type="dxa"/>
          </w:tblCellMar>
        </w:tblPrEx>
        <w:trPr>
          <w:trHeight w:val="454" w:hRule="exact"/>
          <w:jc w:val="center"/>
        </w:trPr>
        <w:tc>
          <w:tcPr>
            <w:tcW w:w="9587" w:type="dxa"/>
            <w:gridSpan w:val="14"/>
            <w:tcBorders>
              <w:top w:val="nil"/>
              <w:left w:val="nil"/>
              <w:bottom w:val="nil"/>
              <w:right w:val="nil"/>
            </w:tcBorders>
            <w:noWrap w:val="0"/>
            <w:vAlign w:val="center"/>
          </w:tcPr>
          <w:p>
            <w:pPr>
              <w:widowControl/>
              <w:spacing w:line="240" w:lineRule="auto"/>
              <w:jc w:val="center"/>
              <w:rPr>
                <w:rFonts w:ascii="宋体" w:hAnsi="宋体" w:cs="宋体"/>
                <w:b/>
                <w:bCs/>
                <w:kern w:val="0"/>
                <w:szCs w:val="32"/>
              </w:rPr>
            </w:pPr>
            <w:r>
              <w:rPr>
                <w:rFonts w:hint="eastAsia" w:ascii="宋体" w:hAnsi="宋体" w:cs="宋体"/>
                <w:kern w:val="0"/>
                <w:sz w:val="22"/>
                <w:szCs w:val="22"/>
              </w:rPr>
              <w:drawing>
                <wp:anchor distT="0" distB="0" distL="114300" distR="114300" simplePos="0" relativeHeight="251659264" behindDoc="0" locked="0" layoutInCell="1" allowOverlap="1">
                  <wp:simplePos x="0" y="0"/>
                  <wp:positionH relativeFrom="column">
                    <wp:posOffset>3906520</wp:posOffset>
                  </wp:positionH>
                  <wp:positionV relativeFrom="paragraph">
                    <wp:posOffset>30480</wp:posOffset>
                  </wp:positionV>
                  <wp:extent cx="1656715" cy="1602105"/>
                  <wp:effectExtent l="0" t="0" r="0" b="0"/>
                  <wp:wrapNone/>
                  <wp:docPr id="2" name="图片 2" descr="334de40ee69d4441b11358789065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334de40ee69d4441b11358789065de2"/>
                          <pic:cNvPicPr>
                            <a:picLocks noChangeAspect="1"/>
                          </pic:cNvPicPr>
                        </pic:nvPicPr>
                        <pic:blipFill>
                          <a:blip r:embed="rId4">
                            <a:clrChange>
                              <a:clrFrom>
                                <a:srgbClr val="FFFFFF">
                                  <a:alpha val="100000"/>
                                </a:srgbClr>
                              </a:clrFrom>
                              <a:clrTo>
                                <a:srgbClr val="FFFFFF">
                                  <a:alpha val="100000"/>
                                  <a:alpha val="0"/>
                                </a:srgbClr>
                              </a:clrTo>
                            </a:clrChange>
                          </a:blip>
                          <a:stretch>
                            <a:fillRect/>
                          </a:stretch>
                        </pic:blipFill>
                        <pic:spPr>
                          <a:xfrm>
                            <a:off x="0" y="0"/>
                            <a:ext cx="1656715" cy="1602105"/>
                          </a:xfrm>
                          <a:prstGeom prst="rect">
                            <a:avLst/>
                          </a:prstGeom>
                        </pic:spPr>
                      </pic:pic>
                    </a:graphicData>
                  </a:graphic>
                </wp:anchor>
              </w:drawing>
            </w:r>
            <w:r>
              <w:rPr>
                <w:rFonts w:hint="eastAsia" w:ascii="宋体" w:hAnsi="宋体" w:cs="宋体"/>
                <w:b/>
                <w:bCs/>
                <w:kern w:val="0"/>
                <w:szCs w:val="32"/>
              </w:rPr>
              <w:drawing>
                <wp:inline distT="0" distB="0" distL="114300" distR="114300">
                  <wp:extent cx="5949950" cy="5749925"/>
                  <wp:effectExtent l="0" t="0" r="12700" b="3175"/>
                  <wp:docPr id="1" name="图片 1" descr="334de40ee69d4441b11358789065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334de40ee69d4441b11358789065de2"/>
                          <pic:cNvPicPr>
                            <a:picLocks noChangeAspect="1"/>
                          </pic:cNvPicPr>
                        </pic:nvPicPr>
                        <pic:blipFill>
                          <a:blip r:embed="rId4"/>
                          <a:stretch>
                            <a:fillRect/>
                          </a:stretch>
                        </pic:blipFill>
                        <pic:spPr>
                          <a:xfrm>
                            <a:off x="0" y="0"/>
                            <a:ext cx="5949950" cy="5749925"/>
                          </a:xfrm>
                          <a:prstGeom prst="rect">
                            <a:avLst/>
                          </a:prstGeom>
                        </pic:spPr>
                      </pic:pic>
                    </a:graphicData>
                  </a:graphic>
                </wp:inline>
              </w:drawing>
            </w:r>
            <w:r>
              <w:rPr>
                <w:rFonts w:hint="eastAsia" w:ascii="宋体" w:hAnsi="宋体" w:cs="宋体"/>
                <w:b/>
                <w:bCs/>
                <w:kern w:val="0"/>
                <w:szCs w:val="32"/>
              </w:rPr>
              <w:t>项目支出绩效自评表</w:t>
            </w:r>
          </w:p>
        </w:tc>
      </w:tr>
      <w:tr>
        <w:tblPrEx>
          <w:tblCellMar>
            <w:top w:w="0" w:type="dxa"/>
            <w:left w:w="108" w:type="dxa"/>
            <w:bottom w:w="0" w:type="dxa"/>
            <w:right w:w="108" w:type="dxa"/>
          </w:tblCellMar>
        </w:tblPrEx>
        <w:trPr>
          <w:trHeight w:val="201" w:hRule="atLeast"/>
          <w:jc w:val="center"/>
        </w:trPr>
        <w:tc>
          <w:tcPr>
            <w:tcW w:w="9587" w:type="dxa"/>
            <w:gridSpan w:val="14"/>
            <w:tcBorders>
              <w:top w:val="nil"/>
              <w:left w:val="nil"/>
              <w:bottom w:val="nil"/>
              <w:right w:val="nil"/>
            </w:tcBorders>
            <w:noWrap w:val="0"/>
            <w:vAlign w:val="top"/>
          </w:tcPr>
          <w:p>
            <w:pPr>
              <w:widowControl/>
              <w:jc w:val="center"/>
              <w:rPr>
                <w:rFonts w:ascii="宋体" w:hAnsi="宋体" w:cs="宋体"/>
                <w:kern w:val="0"/>
                <w:sz w:val="22"/>
                <w:szCs w:val="22"/>
              </w:rPr>
            </w:pPr>
            <w:r>
              <w:rPr>
                <w:rFonts w:hint="eastAsia" w:ascii="宋体" w:hAnsi="宋体" w:cs="宋体"/>
                <w:kern w:val="0"/>
                <w:sz w:val="22"/>
                <w:szCs w:val="22"/>
              </w:rPr>
              <w:t>（202</w:t>
            </w:r>
            <w:r>
              <w:rPr>
                <w:rFonts w:hint="eastAsia" w:ascii="宋体" w:hAnsi="宋体" w:cs="宋体"/>
                <w:kern w:val="0"/>
                <w:sz w:val="22"/>
                <w:szCs w:val="22"/>
                <w:lang w:val="en-US" w:eastAsia="zh-CN"/>
              </w:rPr>
              <w:t>3</w:t>
            </w:r>
            <w:r>
              <w:rPr>
                <w:rFonts w:hint="eastAsia" w:ascii="宋体" w:hAnsi="宋体" w:cs="宋体"/>
                <w:kern w:val="0"/>
                <w:sz w:val="22"/>
                <w:szCs w:val="22"/>
              </w:rPr>
              <w:t>年度</w:t>
            </w:r>
            <w:bookmarkStart w:id="0" w:name="_GoBack"/>
            <w:bookmarkEnd w:id="0"/>
            <w:r>
              <w:rPr>
                <w:rFonts w:hint="eastAsia" w:ascii="宋体" w:hAnsi="宋体" w:cs="宋体"/>
                <w:kern w:val="0"/>
                <w:sz w:val="22"/>
                <w:szCs w:val="22"/>
              </w:rPr>
              <w:t>）</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项目名称</w:t>
            </w:r>
          </w:p>
        </w:tc>
        <w:tc>
          <w:tcPr>
            <w:tcW w:w="8019" w:type="dxa"/>
            <w:gridSpan w:val="1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双代资金</w:t>
            </w:r>
          </w:p>
        </w:tc>
      </w:tr>
      <w:tr>
        <w:tblPrEx>
          <w:tblCellMar>
            <w:top w:w="0" w:type="dxa"/>
            <w:left w:w="108" w:type="dxa"/>
            <w:bottom w:w="0" w:type="dxa"/>
            <w:right w:w="108" w:type="dxa"/>
          </w:tblCellMar>
        </w:tblPrEx>
        <w:trPr>
          <w:trHeight w:val="300" w:hRule="exact"/>
          <w:jc w:val="center"/>
        </w:trPr>
        <w:tc>
          <w:tcPr>
            <w:tcW w:w="1568" w:type="dxa"/>
            <w:gridSpan w:val="2"/>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主管部门</w:t>
            </w:r>
          </w:p>
        </w:tc>
        <w:tc>
          <w:tcPr>
            <w:tcW w:w="4110"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eastAsia="zh-CN"/>
              </w:rPr>
              <w:t>唐山市开平区住房和城乡建设局</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实施单位</w:t>
            </w:r>
          </w:p>
        </w:tc>
        <w:tc>
          <w:tcPr>
            <w:tcW w:w="2775" w:type="dxa"/>
            <w:gridSpan w:val="5"/>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双代办</w:t>
            </w:r>
          </w:p>
        </w:tc>
      </w:tr>
      <w:tr>
        <w:tblPrEx>
          <w:tblCellMar>
            <w:top w:w="0" w:type="dxa"/>
            <w:left w:w="108" w:type="dxa"/>
            <w:bottom w:w="0" w:type="dxa"/>
            <w:right w:w="108" w:type="dxa"/>
          </w:tblCellMar>
        </w:tblPrEx>
        <w:trPr>
          <w:trHeight w:val="300" w:hRule="exact"/>
          <w:jc w:val="center"/>
        </w:trPr>
        <w:tc>
          <w:tcPr>
            <w:tcW w:w="1568"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项目资金</w:t>
            </w:r>
            <w:r>
              <w:rPr>
                <w:rFonts w:hint="eastAsia" w:ascii="宋体" w:hAnsi="宋体" w:cs="宋体"/>
                <w:kern w:val="0"/>
                <w:sz w:val="18"/>
                <w:szCs w:val="18"/>
              </w:rPr>
              <w:br w:type="textWrapping"/>
            </w:r>
            <w:r>
              <w:rPr>
                <w:rFonts w:hint="eastAsia" w:ascii="宋体" w:hAnsi="宋体" w:cs="宋体"/>
                <w:kern w:val="0"/>
                <w:sz w:val="18"/>
                <w:szCs w:val="18"/>
              </w:rPr>
              <w:t>（万元）</w:t>
            </w: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年初预算数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全年预算数</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全年执行数</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执行率</w:t>
            </w: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rPr>
                <w:rFonts w:ascii="宋体" w:hAnsi="宋体" w:cs="宋体"/>
                <w:kern w:val="0"/>
                <w:sz w:val="18"/>
                <w:szCs w:val="18"/>
              </w:rPr>
            </w:pPr>
            <w:r>
              <w:rPr>
                <w:rFonts w:hint="eastAsia" w:ascii="宋体" w:hAnsi="宋体" w:cs="宋体"/>
                <w:kern w:val="0"/>
                <w:sz w:val="18"/>
                <w:szCs w:val="18"/>
              </w:rPr>
              <w:t>年度资金总额</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10</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其中：当年财政拨款</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i w:val="0"/>
                <w:iCs w:val="0"/>
                <w:color w:val="000000"/>
                <w:kern w:val="0"/>
                <w:sz w:val="18"/>
                <w:szCs w:val="18"/>
                <w:u w:val="none"/>
                <w:lang w:val="en-US" w:eastAsia="zh-CN" w:bidi="ar"/>
              </w:rPr>
              <w:t>24997.52</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i w:val="0"/>
                <w:iCs w:val="0"/>
                <w:color w:val="000000"/>
                <w:kern w:val="0"/>
                <w:sz w:val="18"/>
                <w:szCs w:val="18"/>
                <w:u w:val="none"/>
                <w:lang w:val="en-US" w:eastAsia="zh-CN" w:bidi="ar"/>
              </w:rPr>
              <w:t>24997.52</w:t>
            </w: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i w:val="0"/>
                <w:iCs w:val="0"/>
                <w:color w:val="000000"/>
                <w:kern w:val="0"/>
                <w:sz w:val="18"/>
                <w:szCs w:val="18"/>
                <w:u w:val="none"/>
                <w:lang w:val="en-US" w:eastAsia="zh-CN" w:bidi="ar"/>
              </w:rPr>
              <w:t>7774.72</w:t>
            </w: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上年结转资金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1568"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842"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 xml:space="preserve">  其他资金</w:t>
            </w:r>
          </w:p>
        </w:tc>
        <w:tc>
          <w:tcPr>
            <w:tcW w:w="1134"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34"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709"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c>
          <w:tcPr>
            <w:tcW w:w="851"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215"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w:t>
            </w:r>
          </w:p>
        </w:tc>
      </w:tr>
      <w:tr>
        <w:tblPrEx>
          <w:tblCellMar>
            <w:top w:w="0" w:type="dxa"/>
            <w:left w:w="108" w:type="dxa"/>
            <w:bottom w:w="0" w:type="dxa"/>
            <w:right w:w="108" w:type="dxa"/>
          </w:tblCellMar>
        </w:tblPrEx>
        <w:trPr>
          <w:trHeight w:val="300" w:hRule="exact"/>
          <w:jc w:val="center"/>
        </w:trPr>
        <w:tc>
          <w:tcPr>
            <w:tcW w:w="588"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年度总体目标</w:t>
            </w: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预期目标</w:t>
            </w:r>
          </w:p>
        </w:tc>
        <w:tc>
          <w:tcPr>
            <w:tcW w:w="3909"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实际完成情况</w:t>
            </w:r>
          </w:p>
        </w:tc>
      </w:tr>
      <w:tr>
        <w:tblPrEx>
          <w:tblCellMar>
            <w:top w:w="0" w:type="dxa"/>
            <w:left w:w="108" w:type="dxa"/>
            <w:bottom w:w="0" w:type="dxa"/>
            <w:right w:w="108" w:type="dxa"/>
          </w:tblCellMar>
        </w:tblPrEx>
        <w:trPr>
          <w:trHeight w:val="507" w:hRule="exact"/>
          <w:jc w:val="center"/>
        </w:trPr>
        <w:tc>
          <w:tcPr>
            <w:tcW w:w="588"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090" w:type="dxa"/>
            <w:gridSpan w:val="6"/>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保证该项工程如期保质保量完成</w:t>
            </w:r>
          </w:p>
        </w:tc>
        <w:tc>
          <w:tcPr>
            <w:tcW w:w="3909" w:type="dxa"/>
            <w:gridSpan w:val="7"/>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按时完成改造工作</w:t>
            </w:r>
          </w:p>
        </w:tc>
      </w:tr>
      <w:tr>
        <w:tblPrEx>
          <w:tblCellMar>
            <w:top w:w="0" w:type="dxa"/>
            <w:left w:w="108" w:type="dxa"/>
            <w:bottom w:w="0" w:type="dxa"/>
            <w:right w:w="108" w:type="dxa"/>
          </w:tblCellMar>
        </w:tblPrEx>
        <w:trPr>
          <w:trHeight w:val="533" w:hRule="exact"/>
          <w:jc w:val="center"/>
        </w:trPr>
        <w:tc>
          <w:tcPr>
            <w:tcW w:w="588"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绩</w:t>
            </w:r>
            <w:r>
              <w:rPr>
                <w:rFonts w:hint="eastAsia" w:ascii="宋体" w:hAnsi="宋体" w:cs="宋体"/>
                <w:kern w:val="0"/>
                <w:sz w:val="18"/>
                <w:szCs w:val="18"/>
              </w:rPr>
              <w:br w:type="textWrapping"/>
            </w:r>
            <w:r>
              <w:rPr>
                <w:rFonts w:hint="eastAsia" w:ascii="宋体" w:hAnsi="宋体" w:cs="宋体"/>
                <w:kern w:val="0"/>
                <w:sz w:val="18"/>
                <w:szCs w:val="18"/>
              </w:rPr>
              <w:t>效</w:t>
            </w:r>
            <w:r>
              <w:rPr>
                <w:rFonts w:hint="eastAsia" w:ascii="宋体" w:hAnsi="宋体" w:cs="宋体"/>
                <w:kern w:val="0"/>
                <w:sz w:val="18"/>
                <w:szCs w:val="18"/>
              </w:rPr>
              <w:br w:type="textWrapping"/>
            </w:r>
            <w:r>
              <w:rPr>
                <w:rFonts w:hint="eastAsia" w:ascii="宋体" w:hAnsi="宋体" w:cs="宋体"/>
                <w:kern w:val="0"/>
                <w:sz w:val="18"/>
                <w:szCs w:val="18"/>
              </w:rPr>
              <w:t>指</w:t>
            </w:r>
            <w:r>
              <w:rPr>
                <w:rFonts w:hint="eastAsia" w:ascii="宋体" w:hAnsi="宋体" w:cs="宋体"/>
                <w:kern w:val="0"/>
                <w:sz w:val="18"/>
                <w:szCs w:val="18"/>
              </w:rPr>
              <w:br w:type="textWrapping"/>
            </w:r>
            <w:r>
              <w:rPr>
                <w:rFonts w:hint="eastAsia" w:ascii="宋体" w:hAnsi="宋体" w:cs="宋体"/>
                <w:kern w:val="0"/>
                <w:sz w:val="18"/>
                <w:szCs w:val="18"/>
              </w:rPr>
              <w:t>标</w:t>
            </w:r>
          </w:p>
        </w:tc>
        <w:tc>
          <w:tcPr>
            <w:tcW w:w="98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一级指标</w:t>
            </w:r>
          </w:p>
        </w:tc>
        <w:tc>
          <w:tcPr>
            <w:tcW w:w="1112"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二级指标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三级指标</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年度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指标值</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实际</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完成值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分值</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得分</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偏差原因分析及改进措施</w:t>
            </w:r>
          </w:p>
        </w:tc>
      </w:tr>
      <w:tr>
        <w:tblPrEx>
          <w:tblCellMar>
            <w:top w:w="0" w:type="dxa"/>
            <w:left w:w="108" w:type="dxa"/>
            <w:bottom w:w="0" w:type="dxa"/>
            <w:right w:w="108" w:type="dxa"/>
          </w:tblCellMar>
        </w:tblPrEx>
        <w:trPr>
          <w:trHeight w:val="19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产出指标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数量指标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31"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3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质量指标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实际发放资金占比</w:t>
            </w: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3"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时效指标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ind w:firstLine="457" w:firstLineChars="0"/>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按照要求和计划完成研究任务的项目在所有立项项目中的比例（百分比）</w:t>
            </w:r>
          </w:p>
        </w:tc>
        <w:tc>
          <w:tcPr>
            <w:tcW w:w="850" w:type="dxa"/>
            <w:tcBorders>
              <w:top w:val="nil"/>
              <w:left w:val="nil"/>
              <w:bottom w:val="single" w:color="auto" w:sz="4" w:space="0"/>
              <w:right w:val="single" w:color="auto" w:sz="4" w:space="0"/>
            </w:tcBorders>
            <w:noWrap w:val="0"/>
            <w:vAlign w:val="center"/>
          </w:tcPr>
          <w:p>
            <w:pPr>
              <w:widowControl/>
              <w:tabs>
                <w:tab w:val="left" w:pos="235"/>
              </w:tabs>
              <w:spacing w:line="240" w:lineRule="exact"/>
              <w:jc w:val="left"/>
              <w:rPr>
                <w:rFonts w:hint="eastAsia" w:ascii="宋体" w:hAnsi="宋体" w:eastAsia="宋体" w:cs="宋体"/>
                <w:kern w:val="0"/>
                <w:sz w:val="18"/>
                <w:szCs w:val="18"/>
                <w:lang w:eastAsia="zh-CN"/>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环保检查合格工程占比</w:t>
            </w:r>
          </w:p>
        </w:tc>
        <w:tc>
          <w:tcPr>
            <w:tcW w:w="850" w:type="dxa"/>
            <w:tcBorders>
              <w:top w:val="nil"/>
              <w:left w:val="nil"/>
              <w:bottom w:val="single" w:color="auto" w:sz="4" w:space="0"/>
              <w:right w:val="single" w:color="auto" w:sz="4" w:space="0"/>
            </w:tcBorders>
            <w:noWrap w:val="0"/>
            <w:vAlign w:val="center"/>
          </w:tcPr>
          <w:p>
            <w:pPr>
              <w:widowControl/>
              <w:spacing w:line="240" w:lineRule="exact"/>
              <w:jc w:val="both"/>
              <w:rPr>
                <w:rFonts w:ascii="宋体" w:hAnsi="宋体" w:cs="宋体"/>
                <w:kern w:val="0"/>
                <w:sz w:val="18"/>
                <w:szCs w:val="18"/>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9"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6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成本指标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97"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效益指标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经济效益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社会效益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年政策宣传次数</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eastAsia" w:ascii="宋体" w:hAnsi="宋体" w:eastAsia="宋体" w:cs="宋体"/>
                <w:kern w:val="0"/>
                <w:sz w:val="18"/>
                <w:szCs w:val="18"/>
                <w:lang w:val="en-US" w:eastAsia="zh-CN"/>
              </w:rPr>
            </w:pPr>
            <w:r>
              <w:rPr>
                <w:rFonts w:hint="eastAsia" w:ascii="宋体" w:hAnsi="宋体" w:cs="宋体"/>
                <w:kern w:val="0"/>
                <w:sz w:val="18"/>
                <w:szCs w:val="18"/>
                <w:lang w:val="en-US" w:eastAsia="zh-CN"/>
              </w:rPr>
              <w:t>3</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45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21"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生态效益</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不进行基础设施建设，不对生态环境产生坏的影响，属于绿色生态产业</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lang w:val="en-US" w:eastAsia="zh-CN"/>
              </w:rPr>
              <w:t>》=95</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9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48"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可持续影响指标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14"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215"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556"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restart"/>
            <w:tcBorders>
              <w:top w:val="nil"/>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满意度</w:t>
            </w:r>
          </w:p>
          <w:p>
            <w:pPr>
              <w:widowControl/>
              <w:spacing w:line="240" w:lineRule="exact"/>
              <w:jc w:val="center"/>
              <w:rPr>
                <w:rFonts w:ascii="宋体" w:hAnsi="宋体" w:cs="宋体"/>
                <w:kern w:val="0"/>
                <w:sz w:val="18"/>
                <w:szCs w:val="18"/>
              </w:rPr>
            </w:pPr>
            <w:r>
              <w:rPr>
                <w:rFonts w:hint="eastAsia" w:ascii="宋体" w:hAnsi="宋体" w:cs="宋体"/>
                <w:kern w:val="0"/>
                <w:sz w:val="18"/>
                <w:szCs w:val="18"/>
              </w:rPr>
              <w:t>指标</w:t>
            </w:r>
          </w:p>
        </w:tc>
        <w:tc>
          <w:tcPr>
            <w:tcW w:w="1112" w:type="dxa"/>
            <w:vMerge w:val="restart"/>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r>
              <w:rPr>
                <w:rFonts w:hint="eastAsia" w:ascii="宋体" w:hAnsi="宋体" w:cs="宋体"/>
                <w:kern w:val="0"/>
                <w:sz w:val="18"/>
                <w:szCs w:val="18"/>
              </w:rPr>
              <w:t>服务对象满意度指标</w:t>
            </w: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hint="default" w:ascii="宋体" w:hAnsi="宋体" w:eastAsia="宋体" w:cs="宋体"/>
                <w:color w:val="000000"/>
                <w:kern w:val="0"/>
                <w:sz w:val="18"/>
                <w:szCs w:val="18"/>
                <w:lang w:val="en-US" w:eastAsia="zh-CN"/>
              </w:rPr>
            </w:pPr>
            <w:r>
              <w:rPr>
                <w:rFonts w:hint="eastAsia" w:ascii="宋体" w:hAnsi="宋体" w:cs="宋体"/>
                <w:color w:val="000000"/>
                <w:kern w:val="0"/>
                <w:sz w:val="18"/>
                <w:szCs w:val="18"/>
                <w:lang w:val="en-US" w:eastAsia="zh-CN"/>
              </w:rPr>
              <w:t>满意人数占调查人数比例</w:t>
            </w: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》=90</w:t>
            </w: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hint="default" w:ascii="宋体" w:hAnsi="宋体" w:eastAsia="宋体" w:cs="宋体"/>
                <w:kern w:val="0"/>
                <w:sz w:val="18"/>
                <w:szCs w:val="18"/>
                <w:lang w:val="en-US" w:eastAsia="zh-CN"/>
              </w:rPr>
            </w:pPr>
            <w:r>
              <w:rPr>
                <w:rFonts w:hint="eastAsia" w:ascii="宋体" w:hAnsi="宋体" w:cs="宋体"/>
                <w:kern w:val="0"/>
                <w:sz w:val="18"/>
                <w:szCs w:val="18"/>
                <w:lang w:val="en-US" w:eastAsia="zh-CN"/>
              </w:rPr>
              <w:t>20</w:t>
            </w: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588"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188" w:hRule="exact"/>
          <w:jc w:val="center"/>
        </w:trPr>
        <w:tc>
          <w:tcPr>
            <w:tcW w:w="588"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980" w:type="dxa"/>
            <w:vMerge w:val="continue"/>
            <w:tcBorders>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112" w:type="dxa"/>
            <w:vMerge w:val="continue"/>
            <w:tcBorders>
              <w:top w:val="nil"/>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2148" w:type="dxa"/>
            <w:gridSpan w:val="3"/>
            <w:tcBorders>
              <w:top w:val="single" w:color="auto" w:sz="4" w:space="0"/>
              <w:left w:val="nil"/>
              <w:bottom w:val="single" w:color="auto" w:sz="4" w:space="0"/>
              <w:right w:val="single" w:color="auto" w:sz="4" w:space="0"/>
            </w:tcBorders>
            <w:noWrap w:val="0"/>
            <w:vAlign w:val="center"/>
          </w:tcPr>
          <w:p>
            <w:pPr>
              <w:widowControl/>
              <w:spacing w:line="240" w:lineRule="exact"/>
              <w:jc w:val="left"/>
              <w:rPr>
                <w:rFonts w:ascii="宋体" w:hAnsi="宋体" w:cs="宋体"/>
                <w:color w:val="000000"/>
                <w:kern w:val="0"/>
                <w:sz w:val="18"/>
                <w:szCs w:val="18"/>
              </w:rPr>
            </w:pPr>
          </w:p>
        </w:tc>
        <w:tc>
          <w:tcPr>
            <w:tcW w:w="850"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851" w:type="dxa"/>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r>
        <w:tblPrEx>
          <w:tblCellMar>
            <w:top w:w="0" w:type="dxa"/>
            <w:left w:w="108" w:type="dxa"/>
            <w:bottom w:w="0" w:type="dxa"/>
            <w:right w:w="108" w:type="dxa"/>
          </w:tblCellMar>
        </w:tblPrEx>
        <w:trPr>
          <w:trHeight w:val="300" w:hRule="exact"/>
          <w:jc w:val="center"/>
        </w:trPr>
        <w:tc>
          <w:tcPr>
            <w:tcW w:w="6529" w:type="dxa"/>
            <w:gridSpan w:val="8"/>
            <w:tcBorders>
              <w:top w:val="single" w:color="auto" w:sz="4" w:space="0"/>
              <w:left w:val="single" w:color="auto" w:sz="4" w:space="0"/>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总分</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r>
              <w:rPr>
                <w:rFonts w:hint="eastAsia" w:ascii="宋体" w:hAnsi="宋体" w:cs="宋体"/>
                <w:color w:val="000000"/>
                <w:kern w:val="0"/>
                <w:sz w:val="18"/>
                <w:szCs w:val="18"/>
              </w:rPr>
              <w:t>100</w:t>
            </w:r>
          </w:p>
        </w:tc>
        <w:tc>
          <w:tcPr>
            <w:tcW w:w="567" w:type="dxa"/>
            <w:gridSpan w:val="2"/>
            <w:tcBorders>
              <w:top w:val="nil"/>
              <w:left w:val="nil"/>
              <w:bottom w:val="single" w:color="auto" w:sz="4" w:space="0"/>
              <w:right w:val="single" w:color="auto" w:sz="4" w:space="0"/>
            </w:tcBorders>
            <w:noWrap w:val="0"/>
            <w:vAlign w:val="center"/>
          </w:tcPr>
          <w:p>
            <w:pPr>
              <w:widowControl/>
              <w:spacing w:line="240" w:lineRule="exact"/>
              <w:jc w:val="center"/>
              <w:rPr>
                <w:rFonts w:ascii="宋体" w:hAnsi="宋体" w:cs="宋体"/>
                <w:color w:val="000000"/>
                <w:kern w:val="0"/>
                <w:sz w:val="18"/>
                <w:szCs w:val="18"/>
              </w:rPr>
            </w:pPr>
          </w:p>
        </w:tc>
        <w:tc>
          <w:tcPr>
            <w:tcW w:w="1924" w:type="dxa"/>
            <w:gridSpan w:val="2"/>
            <w:tcBorders>
              <w:top w:val="single" w:color="auto" w:sz="4" w:space="0"/>
              <w:left w:val="nil"/>
              <w:bottom w:val="single" w:color="auto" w:sz="4" w:space="0"/>
              <w:right w:val="single" w:color="auto" w:sz="4" w:space="0"/>
            </w:tcBorders>
            <w:noWrap w:val="0"/>
            <w:vAlign w:val="center"/>
          </w:tcPr>
          <w:p>
            <w:pPr>
              <w:widowControl/>
              <w:spacing w:line="240" w:lineRule="exact"/>
              <w:jc w:val="center"/>
              <w:rPr>
                <w:rFonts w:ascii="宋体" w:hAnsi="宋体" w:cs="宋体"/>
                <w:kern w:val="0"/>
                <w:sz w:val="18"/>
                <w:szCs w:val="18"/>
              </w:rPr>
            </w:pPr>
          </w:p>
        </w:tc>
      </w:tr>
    </w:tbl>
    <w:p>
      <w:pPr>
        <w:rPr>
          <w:rFonts w:ascii="黑体" w:hAnsi="黑体" w:eastAsia="黑体"/>
        </w:rPr>
        <w:sectPr>
          <w:pgSz w:w="11906" w:h="16838"/>
          <w:pgMar w:top="1928" w:right="1531" w:bottom="1701" w:left="1531" w:header="737" w:footer="851" w:gutter="0"/>
          <w:cols w:space="720" w:num="1"/>
          <w:docGrid w:type="lines" w:linePitch="408" w:charSpace="0"/>
        </w:sectPr>
      </w:pPr>
    </w:p>
    <w:p>
      <w:pPr>
        <w:spacing w:line="300" w:lineRule="exact"/>
        <w:rPr>
          <w:rFonts w:hint="eastAsia" w:ascii="黑体" w:hAnsi="黑体" w:eastAsia="黑体"/>
          <w:szCs w:val="32"/>
        </w:rPr>
      </w:pPr>
    </w:p>
    <w:p>
      <w:pPr>
        <w:spacing w:line="300" w:lineRule="exact"/>
        <w:rPr>
          <w:rFonts w:ascii="黑体" w:hAnsi="黑体" w:eastAsia="黑体"/>
          <w:szCs w:val="32"/>
        </w:rPr>
      </w:pPr>
      <w:r>
        <w:rPr>
          <w:rFonts w:hint="eastAsia" w:ascii="黑体" w:hAnsi="黑体" w:eastAsia="黑体"/>
          <w:szCs w:val="32"/>
        </w:rPr>
        <w:t>附件3</w:t>
      </w:r>
    </w:p>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项目支出绩效评价报告</w:t>
      </w:r>
    </w:p>
    <w:p>
      <w:pPr>
        <w:spacing w:line="580" w:lineRule="exact"/>
        <w:rPr>
          <w:rFonts w:ascii="仿宋_GB2312" w:eastAsia="仿宋_GB2312"/>
          <w:szCs w:val="32"/>
        </w:rPr>
      </w:pPr>
    </w:p>
    <w:p>
      <w:pPr>
        <w:spacing w:line="600" w:lineRule="exact"/>
        <w:ind w:firstLine="420" w:firstLineChars="200"/>
        <w:rPr>
          <w:rFonts w:ascii="黑体" w:hAnsi="黑体" w:eastAsia="黑体"/>
          <w:szCs w:val="32"/>
        </w:rPr>
      </w:pPr>
      <w:r>
        <w:rPr>
          <w:rFonts w:hint="eastAsia" w:ascii="黑体" w:hAnsi="黑体" w:eastAsia="黑体"/>
          <w:szCs w:val="32"/>
        </w:rPr>
        <w:t>一、基本情况</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（一）项目概况。</w:t>
      </w:r>
    </w:p>
    <w:p>
      <w:pPr>
        <w:spacing w:line="600" w:lineRule="exact"/>
        <w:ind w:firstLine="420" w:firstLineChars="200"/>
        <w:outlineLvl w:val="0"/>
        <w:rPr>
          <w:rFonts w:hint="default" w:ascii="仿宋_GB2312" w:eastAsia="仿宋_GB2312"/>
          <w:szCs w:val="32"/>
          <w:lang w:val="en-US" w:eastAsia="zh-CN"/>
        </w:rPr>
      </w:pPr>
      <w:r>
        <w:rPr>
          <w:rFonts w:hint="eastAsia" w:ascii="仿宋_GB2312" w:eastAsia="仿宋_GB2312"/>
          <w:szCs w:val="32"/>
          <w:lang w:val="en-US" w:eastAsia="zh-CN"/>
        </w:rPr>
        <w:t>从2017年开展双代改造工作以来，我区共有57114户列入改造任务，目前已全部投入使用。</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（二）项目绩效目标。包括总体目标和阶段性目标。</w:t>
      </w:r>
    </w:p>
    <w:p>
      <w:pPr>
        <w:spacing w:line="600" w:lineRule="exact"/>
        <w:ind w:firstLine="420" w:firstLineChars="200"/>
        <w:outlineLvl w:val="0"/>
        <w:rPr>
          <w:rFonts w:hint="eastAsia" w:ascii="仿宋_GB2312" w:eastAsia="仿宋_GB2312"/>
          <w:szCs w:val="32"/>
          <w:lang w:val="en-US" w:eastAsia="zh-CN"/>
        </w:rPr>
      </w:pPr>
      <w:r>
        <w:rPr>
          <w:rFonts w:hint="eastAsia" w:ascii="仿宋_GB2312" w:eastAsia="仿宋_GB2312"/>
          <w:szCs w:val="32"/>
        </w:rPr>
        <w:t>项目按时完工，为切实改善我区大气环境质量，坚决打赢“退后十”攻坚战</w:t>
      </w:r>
      <w:r>
        <w:rPr>
          <w:rFonts w:hint="eastAsia" w:ascii="仿宋_GB2312" w:eastAsia="仿宋_GB2312"/>
          <w:szCs w:val="32"/>
          <w:lang w:eastAsia="zh-CN"/>
        </w:rPr>
        <w:t>。</w:t>
      </w:r>
    </w:p>
    <w:p>
      <w:pPr>
        <w:spacing w:line="600" w:lineRule="exact"/>
        <w:ind w:firstLine="42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420" w:firstLineChars="200"/>
        <w:rPr>
          <w:rFonts w:hint="eastAsia" w:ascii="仿宋_GB2312" w:eastAsia="仿宋_GB2312"/>
          <w:szCs w:val="32"/>
        </w:rPr>
      </w:pPr>
      <w:r>
        <w:rPr>
          <w:rFonts w:hint="eastAsia" w:ascii="仿宋_GB2312" w:eastAsia="仿宋_GB2312"/>
          <w:szCs w:val="32"/>
        </w:rPr>
        <w:t>（一）绩效评价目的、对象和范围。</w:t>
      </w:r>
    </w:p>
    <w:p>
      <w:pPr>
        <w:spacing w:line="600" w:lineRule="exact"/>
        <w:ind w:firstLine="420" w:firstLineChars="200"/>
        <w:rPr>
          <w:rFonts w:ascii="仿宋_GB2312" w:eastAsia="仿宋_GB2312"/>
          <w:szCs w:val="32"/>
        </w:rPr>
      </w:pPr>
      <w:r>
        <w:rPr>
          <w:rFonts w:hint="eastAsia" w:ascii="仿宋_GB2312" w:eastAsia="仿宋_GB2312"/>
          <w:szCs w:val="32"/>
        </w:rPr>
        <w:t>为贯彻落实《中共河北省委 河北省人民政府关于全面实施预算绩效管理的实施意见》（冀发〔2018〕54号）文件精神，根据《开平区全面实施预算绩效管理推进工作方案》（开财字[2019]120号），对唐山市开平</w:t>
      </w:r>
      <w:r>
        <w:rPr>
          <w:rFonts w:hint="eastAsia" w:ascii="仿宋_GB2312" w:eastAsia="仿宋_GB2312"/>
          <w:szCs w:val="32"/>
          <w:lang w:val="en-US" w:eastAsia="zh-CN"/>
        </w:rPr>
        <w:t>区双代</w:t>
      </w:r>
      <w:r>
        <w:rPr>
          <w:rFonts w:hint="eastAsia" w:ascii="仿宋_GB2312" w:eastAsia="仿宋_GB2312"/>
          <w:szCs w:val="32"/>
        </w:rPr>
        <w:t>项目资金支出情况开展绩效评价，对切实提升财政资金使用效益和财政管理科学化、精细化水平。</w:t>
      </w:r>
      <w:r>
        <w:rPr>
          <w:rFonts w:ascii="仿宋_GB2312" w:eastAsia="仿宋_GB2312"/>
          <w:szCs w:val="32"/>
        </w:rPr>
        <w:t xml:space="preserve"> </w:t>
      </w:r>
    </w:p>
    <w:p>
      <w:pPr>
        <w:spacing w:line="600" w:lineRule="exact"/>
        <w:ind w:firstLine="420" w:firstLineChars="200"/>
        <w:rPr>
          <w:rFonts w:hint="eastAsia" w:ascii="仿宋_GB2312" w:eastAsia="仿宋_GB2312"/>
          <w:szCs w:val="32"/>
        </w:rPr>
      </w:pPr>
      <w:r>
        <w:rPr>
          <w:rFonts w:hint="eastAsia" w:ascii="仿宋_GB2312" w:eastAsia="仿宋_GB2312"/>
          <w:szCs w:val="32"/>
        </w:rPr>
        <w:t>（二）绩效评价原则、评价指标体系（附表说明）、评价方法、评价标准等。</w:t>
      </w:r>
    </w:p>
    <w:p>
      <w:pPr>
        <w:spacing w:line="600" w:lineRule="exact"/>
        <w:ind w:firstLine="420" w:firstLineChars="200"/>
        <w:rPr>
          <w:rFonts w:hint="eastAsia" w:ascii="仿宋_GB2312" w:eastAsia="仿宋_GB2312"/>
          <w:szCs w:val="32"/>
        </w:rPr>
      </w:pPr>
      <w:r>
        <w:rPr>
          <w:rFonts w:hint="eastAsia" w:ascii="仿宋_GB2312" w:eastAsia="仿宋_GB2312"/>
          <w:szCs w:val="32"/>
        </w:rPr>
        <w:t>本次绩效评价遵循“科学性、规范性、客观性和公正性”的原则，根据项目实际从产出指标和效益指标两方面制定了相应的评价指标体系和评价标准：</w:t>
      </w:r>
    </w:p>
    <w:p>
      <w:pPr>
        <w:spacing w:line="600" w:lineRule="exact"/>
        <w:ind w:firstLine="420" w:firstLineChars="200"/>
        <w:rPr>
          <w:rFonts w:hint="eastAsia" w:ascii="仿宋_GB2312" w:eastAsia="仿宋_GB2312"/>
          <w:szCs w:val="32"/>
        </w:rPr>
      </w:pPr>
      <w:r>
        <w:rPr>
          <w:rFonts w:hint="eastAsia" w:ascii="仿宋_GB2312" w:eastAsia="仿宋_GB2312"/>
          <w:szCs w:val="32"/>
        </w:rPr>
        <w:t>项目（工程）完成率达到100%，项目（工程）验收合格率达到100%，项目实施不对生态环境产生坏的影响，完成后能够改善</w:t>
      </w:r>
      <w:r>
        <w:rPr>
          <w:rFonts w:hint="eastAsia" w:ascii="仿宋_GB2312" w:eastAsia="仿宋_GB2312"/>
          <w:szCs w:val="32"/>
          <w:lang w:val="en-US" w:eastAsia="zh-CN"/>
        </w:rPr>
        <w:t>城区环境</w:t>
      </w:r>
      <w:r>
        <w:rPr>
          <w:rFonts w:hint="eastAsia" w:ascii="仿宋_GB2312" w:eastAsia="仿宋_GB2312"/>
          <w:szCs w:val="32"/>
        </w:rPr>
        <w:t>，受益人口满意达到95%，服务对象满意度达到95%。</w:t>
      </w:r>
    </w:p>
    <w:p>
      <w:pPr>
        <w:spacing w:line="600" w:lineRule="exact"/>
        <w:ind w:firstLine="420" w:firstLineChars="200"/>
        <w:rPr>
          <w:rFonts w:ascii="仿宋_GB2312" w:eastAsia="仿宋_GB2312"/>
          <w:szCs w:val="32"/>
        </w:rPr>
      </w:pPr>
      <w:r>
        <w:rPr>
          <w:rFonts w:hint="eastAsia" w:ascii="仿宋_GB2312" w:eastAsia="仿宋_GB2312"/>
          <w:szCs w:val="32"/>
        </w:rPr>
        <w:t>由</w:t>
      </w:r>
      <w:r>
        <w:rPr>
          <w:rFonts w:hint="eastAsia" w:ascii="仿宋_GB2312" w:eastAsia="仿宋_GB2312"/>
          <w:szCs w:val="32"/>
          <w:lang w:val="en-US" w:eastAsia="zh-CN"/>
        </w:rPr>
        <w:t>区双代办人员</w:t>
      </w:r>
      <w:r>
        <w:rPr>
          <w:rFonts w:hint="eastAsia" w:ascii="仿宋_GB2312" w:eastAsia="仿宋_GB2312"/>
          <w:szCs w:val="32"/>
        </w:rPr>
        <w:t>组成评价小组，制定绩效评价工作方案，并根据绩效评价指标体系，结合项目完成情况，收集、核实绩效评价相关资料，整理分析，完成项目绩效评价工作。</w:t>
      </w:r>
    </w:p>
    <w:p>
      <w:pPr>
        <w:spacing w:line="600" w:lineRule="exact"/>
        <w:ind w:firstLine="420" w:firstLineChars="200"/>
        <w:rPr>
          <w:rFonts w:ascii="仿宋_GB2312" w:eastAsia="仿宋_GB2312"/>
          <w:szCs w:val="32"/>
        </w:rPr>
      </w:pPr>
      <w:r>
        <w:rPr>
          <w:rFonts w:hint="eastAsia" w:ascii="仿宋_GB2312" w:eastAsia="仿宋_GB2312"/>
          <w:szCs w:val="32"/>
        </w:rPr>
        <w:t>（三）绩效评价工作过程。</w:t>
      </w:r>
    </w:p>
    <w:p>
      <w:pPr>
        <w:spacing w:line="600" w:lineRule="exact"/>
        <w:ind w:firstLine="420" w:firstLineChars="200"/>
        <w:rPr>
          <w:rFonts w:ascii="仿宋_GB2312" w:eastAsia="仿宋_GB2312"/>
          <w:szCs w:val="32"/>
        </w:rPr>
      </w:pPr>
      <w:r>
        <w:rPr>
          <w:rFonts w:hint="eastAsia" w:ascii="仿宋_GB2312" w:eastAsia="仿宋_GB2312"/>
          <w:szCs w:val="32"/>
        </w:rPr>
        <w:t>1.前期准备。成立部门绩效评价小组，学习评价指标体系和绩效相关文件通知。</w:t>
      </w:r>
    </w:p>
    <w:p>
      <w:pPr>
        <w:spacing w:line="600" w:lineRule="exact"/>
        <w:ind w:firstLine="420" w:firstLineChars="200"/>
        <w:rPr>
          <w:rFonts w:ascii="仿宋_GB2312" w:eastAsia="仿宋_GB2312"/>
          <w:szCs w:val="32"/>
        </w:rPr>
      </w:pPr>
      <w:r>
        <w:rPr>
          <w:rFonts w:hint="eastAsia" w:ascii="仿宋_GB2312" w:eastAsia="仿宋_GB2312"/>
          <w:szCs w:val="32"/>
        </w:rPr>
        <w:t>2.组织实施。按照规定的工作程序组织绩效评价自评，注重评价质量，撰写绩效评价报告。</w:t>
      </w:r>
    </w:p>
    <w:p>
      <w:pPr>
        <w:spacing w:line="600" w:lineRule="exact"/>
        <w:ind w:firstLine="420" w:firstLineChars="200"/>
        <w:rPr>
          <w:rFonts w:ascii="仿宋_GB2312" w:eastAsia="仿宋_GB2312"/>
          <w:szCs w:val="32"/>
        </w:rPr>
      </w:pPr>
      <w:r>
        <w:rPr>
          <w:rFonts w:hint="eastAsia" w:ascii="仿宋_GB2312" w:eastAsia="仿宋_GB2312"/>
          <w:szCs w:val="32"/>
        </w:rPr>
        <w:t>3.分析评价。对评价结果进行整改，充分运用分析评价引领。</w:t>
      </w:r>
    </w:p>
    <w:p>
      <w:pPr>
        <w:spacing w:line="600" w:lineRule="exact"/>
        <w:ind w:firstLine="420" w:firstLineChars="200"/>
        <w:rPr>
          <w:rFonts w:hint="eastAsia" w:ascii="黑体" w:hAnsi="黑体" w:eastAsia="黑体"/>
          <w:szCs w:val="32"/>
        </w:rPr>
      </w:pPr>
      <w:r>
        <w:rPr>
          <w:rFonts w:hint="eastAsia" w:ascii="黑体" w:hAnsi="黑体" w:eastAsia="黑体"/>
          <w:szCs w:val="32"/>
        </w:rPr>
        <w:t>三、综合评价情况及评价结论</w:t>
      </w:r>
    </w:p>
    <w:p>
      <w:pPr>
        <w:spacing w:line="600" w:lineRule="exact"/>
        <w:ind w:firstLine="420" w:firstLineChars="200"/>
        <w:rPr>
          <w:rFonts w:ascii="仿宋_GB2312" w:eastAsia="仿宋_GB2312"/>
          <w:szCs w:val="32"/>
        </w:rPr>
      </w:pPr>
      <w:r>
        <w:rPr>
          <w:rFonts w:hint="eastAsia" w:ascii="仿宋_GB2312" w:eastAsia="仿宋_GB2312"/>
          <w:szCs w:val="32"/>
        </w:rPr>
        <w:t>根据绩效评价指标逐项分析，自评分100分</w:t>
      </w:r>
    </w:p>
    <w:p>
      <w:pPr>
        <w:spacing w:line="600" w:lineRule="exact"/>
        <w:ind w:firstLine="420" w:firstLineChars="200"/>
        <w:rPr>
          <w:rFonts w:ascii="黑体" w:hAnsi="黑体" w:eastAsia="黑体"/>
          <w:szCs w:val="32"/>
        </w:rPr>
      </w:pPr>
      <w:r>
        <w:rPr>
          <w:rFonts w:hint="eastAsia" w:ascii="黑体" w:hAnsi="黑体" w:eastAsia="黑体"/>
          <w:szCs w:val="32"/>
        </w:rPr>
        <w:t>四、绩效评价指标分析</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（一）项目决策情况。</w:t>
      </w:r>
    </w:p>
    <w:p>
      <w:pPr>
        <w:spacing w:line="600" w:lineRule="exact"/>
        <w:ind w:firstLine="420" w:firstLineChars="200"/>
        <w:outlineLvl w:val="0"/>
        <w:rPr>
          <w:rFonts w:hint="eastAsia" w:ascii="仿宋_GB2312" w:eastAsia="仿宋_GB2312"/>
          <w:szCs w:val="32"/>
          <w:lang w:val="en-US" w:eastAsia="zh-CN"/>
        </w:rPr>
      </w:pPr>
      <w:r>
        <w:rPr>
          <w:rFonts w:hint="eastAsia" w:ascii="仿宋_GB2312" w:eastAsia="仿宋_GB2312"/>
          <w:szCs w:val="32"/>
        </w:rPr>
        <w:t>按照</w:t>
      </w:r>
      <w:r>
        <w:rPr>
          <w:rFonts w:hint="eastAsia" w:ascii="仿宋_GB2312" w:eastAsia="仿宋_GB2312"/>
          <w:szCs w:val="32"/>
          <w:lang w:val="en-US" w:eastAsia="zh-CN"/>
        </w:rPr>
        <w:t>上级要求，对我区57114户进行双代改造。</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（二）项目过程情况。</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此项目由开平区住房和城乡建设局组织实施，经公开招标，</w:t>
      </w:r>
      <w:r>
        <w:rPr>
          <w:rFonts w:hint="eastAsia" w:ascii="仿宋_GB2312" w:eastAsia="仿宋_GB2312"/>
          <w:szCs w:val="32"/>
          <w:lang w:val="en-US" w:eastAsia="zh-CN"/>
        </w:rPr>
        <w:t>燃气管线改造</w:t>
      </w:r>
      <w:r>
        <w:rPr>
          <w:rFonts w:hint="eastAsia" w:ascii="仿宋_GB2312" w:eastAsia="仿宋_GB2312"/>
          <w:szCs w:val="32"/>
        </w:rPr>
        <w:t>单位为</w:t>
      </w:r>
      <w:r>
        <w:rPr>
          <w:rFonts w:hint="eastAsia" w:ascii="仿宋_GB2312" w:eastAsia="仿宋_GB2312"/>
          <w:szCs w:val="32"/>
          <w:lang w:val="en-US" w:eastAsia="zh-CN"/>
        </w:rPr>
        <w:t>唐山科凌天然气技术</w:t>
      </w:r>
      <w:r>
        <w:rPr>
          <w:rFonts w:hint="eastAsia" w:ascii="仿宋_GB2312" w:eastAsia="仿宋_GB2312"/>
          <w:szCs w:val="32"/>
        </w:rPr>
        <w:t>有限公司，项目单位为保障项目顺利实施，特制订了项目管理和保障措施，其中包括工程项目例会制度、资料上报制度、施工进度监管制度、施工质量监管制度等。有计划有措施，严格执行相关制度和文件规定，顺利完成项目预期目标。</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（三）项目产出情况。</w:t>
      </w:r>
    </w:p>
    <w:p>
      <w:pPr>
        <w:spacing w:line="600" w:lineRule="exact"/>
        <w:ind w:firstLine="420" w:firstLineChars="200"/>
        <w:outlineLvl w:val="0"/>
        <w:rPr>
          <w:rFonts w:ascii="仿宋_GB2312" w:eastAsia="仿宋_GB2312"/>
          <w:szCs w:val="32"/>
        </w:rPr>
      </w:pPr>
      <w:r>
        <w:rPr>
          <w:rFonts w:hint="eastAsia" w:ascii="仿宋_GB2312" w:eastAsia="仿宋_GB2312"/>
          <w:szCs w:val="32"/>
        </w:rPr>
        <w:t>目标任务100%完成</w:t>
      </w:r>
    </w:p>
    <w:p>
      <w:pPr>
        <w:spacing w:line="600" w:lineRule="exact"/>
        <w:ind w:firstLine="420" w:firstLineChars="200"/>
        <w:outlineLvl w:val="0"/>
        <w:rPr>
          <w:rFonts w:hint="eastAsia" w:ascii="仿宋_GB2312" w:eastAsia="仿宋_GB2312"/>
          <w:szCs w:val="32"/>
        </w:rPr>
      </w:pPr>
      <w:r>
        <w:rPr>
          <w:rFonts w:hint="eastAsia" w:ascii="仿宋_GB2312" w:eastAsia="仿宋_GB2312"/>
          <w:szCs w:val="32"/>
        </w:rPr>
        <w:t>（四）项目效益情况。</w:t>
      </w:r>
    </w:p>
    <w:p>
      <w:pPr>
        <w:spacing w:line="600" w:lineRule="exact"/>
        <w:ind w:firstLine="420" w:firstLineChars="200"/>
        <w:outlineLvl w:val="0"/>
        <w:rPr>
          <w:rFonts w:hint="eastAsia" w:ascii="仿宋_GB2312" w:eastAsia="仿宋_GB2312"/>
          <w:szCs w:val="32"/>
          <w:lang w:eastAsia="zh-CN"/>
        </w:rPr>
      </w:pPr>
      <w:r>
        <w:rPr>
          <w:rFonts w:hint="eastAsia" w:ascii="仿宋_GB2312" w:eastAsia="仿宋_GB2312"/>
          <w:szCs w:val="32"/>
        </w:rPr>
        <w:t>项目按时竣工</w:t>
      </w:r>
      <w:r>
        <w:rPr>
          <w:rFonts w:hint="eastAsia" w:ascii="仿宋_GB2312" w:eastAsia="仿宋_GB2312"/>
          <w:szCs w:val="32"/>
          <w:lang w:eastAsia="zh-CN"/>
        </w:rPr>
        <w:t>。</w:t>
      </w:r>
    </w:p>
    <w:p>
      <w:pPr>
        <w:spacing w:line="600" w:lineRule="exact"/>
        <w:ind w:firstLine="420" w:firstLineChars="200"/>
        <w:rPr>
          <w:rFonts w:hint="eastAsia" w:ascii="黑体" w:hAnsi="黑体" w:eastAsia="黑体"/>
          <w:szCs w:val="32"/>
        </w:rPr>
      </w:pPr>
      <w:r>
        <w:rPr>
          <w:rFonts w:hint="eastAsia" w:ascii="黑体" w:hAnsi="黑体" w:eastAsia="黑体"/>
          <w:szCs w:val="32"/>
        </w:rPr>
        <w:t>五、主要经验及做法、存在的问题及原因分析</w:t>
      </w:r>
    </w:p>
    <w:p>
      <w:pPr>
        <w:spacing w:line="600" w:lineRule="exact"/>
        <w:ind w:firstLine="420" w:firstLineChars="200"/>
        <w:rPr>
          <w:rFonts w:hint="eastAsia" w:ascii="仿宋_GB2312" w:eastAsia="仿宋_GB2312"/>
          <w:szCs w:val="32"/>
        </w:rPr>
      </w:pPr>
      <w:r>
        <w:rPr>
          <w:rFonts w:hint="eastAsia" w:ascii="仿宋_GB2312" w:eastAsia="仿宋_GB2312"/>
          <w:szCs w:val="32"/>
        </w:rPr>
        <w:t>本项目严格按照法定程序进行可研分析和项目备案等前期工作，严格履行招投标程序，项目实施过程中制定了详细的项目管理和保障措施，确保了项目的顺利实施和按期交付。</w:t>
      </w:r>
    </w:p>
    <w:p>
      <w:pPr>
        <w:spacing w:line="600" w:lineRule="exact"/>
        <w:ind w:firstLine="420" w:firstLineChars="200"/>
        <w:rPr>
          <w:rFonts w:ascii="仿宋_GB2312" w:eastAsia="仿宋_GB2312"/>
          <w:szCs w:val="32"/>
        </w:rPr>
      </w:pPr>
      <w:r>
        <w:rPr>
          <w:rFonts w:hint="eastAsia" w:ascii="仿宋_GB2312" w:eastAsia="仿宋_GB2312"/>
          <w:szCs w:val="32"/>
        </w:rPr>
        <w:t>但在项目实施过程中还存在由于对绩效评价工作业务培训不足，导致资料收集准备不够充分，评价内容不够完善等问题。</w:t>
      </w:r>
    </w:p>
    <w:p>
      <w:pPr>
        <w:spacing w:line="600" w:lineRule="exact"/>
        <w:ind w:firstLine="420" w:firstLineChars="200"/>
        <w:rPr>
          <w:rFonts w:hint="eastAsia" w:ascii="黑体" w:hAnsi="黑体" w:eastAsia="黑体"/>
          <w:szCs w:val="32"/>
        </w:rPr>
      </w:pPr>
      <w:r>
        <w:rPr>
          <w:rFonts w:hint="eastAsia" w:ascii="黑体" w:hAnsi="黑体" w:eastAsia="黑体"/>
          <w:szCs w:val="32"/>
        </w:rPr>
        <w:t>六、有关建议</w:t>
      </w:r>
    </w:p>
    <w:p>
      <w:pPr>
        <w:spacing w:line="600" w:lineRule="exact"/>
        <w:ind w:firstLine="420" w:firstLineChars="200"/>
        <w:rPr>
          <w:rFonts w:ascii="仿宋_GB2312" w:eastAsia="仿宋_GB2312"/>
          <w:szCs w:val="32"/>
        </w:rPr>
      </w:pPr>
      <w:r>
        <w:rPr>
          <w:rFonts w:hint="eastAsia" w:ascii="仿宋_GB2312" w:eastAsia="仿宋_GB2312"/>
          <w:szCs w:val="32"/>
        </w:rPr>
        <w:t>加强对参与项目人员的日常培训，将管理人员职责进行细化，制定相关管理制度，对项目进行规范化、系统化管理。</w:t>
      </w:r>
    </w:p>
    <w:p>
      <w:pPr>
        <w:spacing w:line="600" w:lineRule="exact"/>
        <w:ind w:firstLine="420" w:firstLineChars="200"/>
        <w:rPr>
          <w:rFonts w:ascii="仿宋_GB2312" w:eastAsia="仿宋_GB2312"/>
          <w:bCs/>
          <w:szCs w:val="32"/>
        </w:rPr>
      </w:pPr>
      <w:r>
        <w:rPr>
          <w:rFonts w:hint="eastAsia" w:ascii="黑体" w:hAnsi="黑体" w:eastAsia="黑体"/>
          <w:szCs w:val="32"/>
        </w:rPr>
        <w:t>七、其他需要说明的问题</w:t>
      </w:r>
    </w:p>
    <w:p>
      <w:pPr>
        <w:spacing w:line="540" w:lineRule="exact"/>
        <w:jc w:val="left"/>
        <w:rPr>
          <w:rFonts w:ascii="宋体" w:hAnsi="宋体" w:eastAsia="仿宋_GB2312"/>
          <w:szCs w:val="32"/>
        </w:rPr>
      </w:pPr>
    </w:p>
    <w:p/>
    <w:p>
      <w:pPr>
        <w:spacing w:line="540" w:lineRule="exact"/>
        <w:jc w:val="left"/>
        <w:rPr>
          <w:rFonts w:hint="eastAsia" w:ascii="宋体" w:hAnsi="宋体" w:eastAsia="仿宋_GB2312"/>
          <w:szCs w:val="32"/>
        </w:rPr>
      </w:pPr>
    </w:p>
    <w:p>
      <w:pPr>
        <w:spacing w:line="540" w:lineRule="exact"/>
        <w:jc w:val="left"/>
        <w:rPr>
          <w:rFonts w:hint="eastAsia" w:ascii="宋体" w:hAnsi="宋体" w:eastAsia="仿宋_GB2312"/>
          <w:szCs w:val="32"/>
        </w:rPr>
      </w:pPr>
    </w:p>
    <w:p>
      <w:pPr>
        <w:spacing w:line="580" w:lineRule="exact"/>
        <w:ind w:firstLine="3150" w:firstLineChars="150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yYTc3NWJmMWUwZGUzZjMwZTNiYmZkYmIzMGZiZDIifQ=="/>
  </w:docVars>
  <w:rsids>
    <w:rsidRoot w:val="260450A5"/>
    <w:rsid w:val="001E001F"/>
    <w:rsid w:val="002B6D59"/>
    <w:rsid w:val="00880083"/>
    <w:rsid w:val="011B7C6A"/>
    <w:rsid w:val="016659C9"/>
    <w:rsid w:val="01F16461"/>
    <w:rsid w:val="04E70BC8"/>
    <w:rsid w:val="06116D99"/>
    <w:rsid w:val="06BA12C3"/>
    <w:rsid w:val="078969A6"/>
    <w:rsid w:val="0ADD1EE2"/>
    <w:rsid w:val="0AE44890"/>
    <w:rsid w:val="0C1B5491"/>
    <w:rsid w:val="0E0D06C4"/>
    <w:rsid w:val="10705B47"/>
    <w:rsid w:val="10A20FCB"/>
    <w:rsid w:val="1256258B"/>
    <w:rsid w:val="12C20F23"/>
    <w:rsid w:val="138747F5"/>
    <w:rsid w:val="14A13AC6"/>
    <w:rsid w:val="15A33312"/>
    <w:rsid w:val="16B914D6"/>
    <w:rsid w:val="16E535BC"/>
    <w:rsid w:val="180A3329"/>
    <w:rsid w:val="1C2C3A8C"/>
    <w:rsid w:val="1CB22292"/>
    <w:rsid w:val="1D0A52FC"/>
    <w:rsid w:val="1D0F6F97"/>
    <w:rsid w:val="1DF44648"/>
    <w:rsid w:val="1E4616B0"/>
    <w:rsid w:val="211A4492"/>
    <w:rsid w:val="216B22B2"/>
    <w:rsid w:val="225548E0"/>
    <w:rsid w:val="23257A7B"/>
    <w:rsid w:val="244A5851"/>
    <w:rsid w:val="24691A68"/>
    <w:rsid w:val="255135D4"/>
    <w:rsid w:val="260450A5"/>
    <w:rsid w:val="26CF5299"/>
    <w:rsid w:val="279B277D"/>
    <w:rsid w:val="27D93CC3"/>
    <w:rsid w:val="2A0A50CD"/>
    <w:rsid w:val="2A4F5BC0"/>
    <w:rsid w:val="2C9F245C"/>
    <w:rsid w:val="2D1C29DE"/>
    <w:rsid w:val="2EEE6344"/>
    <w:rsid w:val="2F1071EF"/>
    <w:rsid w:val="30104499"/>
    <w:rsid w:val="34291948"/>
    <w:rsid w:val="38180F34"/>
    <w:rsid w:val="38484CE7"/>
    <w:rsid w:val="3AD41F14"/>
    <w:rsid w:val="3BE900CC"/>
    <w:rsid w:val="3BF9511E"/>
    <w:rsid w:val="3CEB537F"/>
    <w:rsid w:val="3EB536B0"/>
    <w:rsid w:val="417D49BE"/>
    <w:rsid w:val="435A79F7"/>
    <w:rsid w:val="437F292D"/>
    <w:rsid w:val="446171B9"/>
    <w:rsid w:val="46D572BC"/>
    <w:rsid w:val="49D47B62"/>
    <w:rsid w:val="4B5F6742"/>
    <w:rsid w:val="4DB70096"/>
    <w:rsid w:val="527E3998"/>
    <w:rsid w:val="52FB5FC0"/>
    <w:rsid w:val="532F1BE1"/>
    <w:rsid w:val="53CB03FB"/>
    <w:rsid w:val="58487A3A"/>
    <w:rsid w:val="5AC27D01"/>
    <w:rsid w:val="5E182C12"/>
    <w:rsid w:val="5EDE519B"/>
    <w:rsid w:val="6006221B"/>
    <w:rsid w:val="618B73B4"/>
    <w:rsid w:val="632B5592"/>
    <w:rsid w:val="649072BD"/>
    <w:rsid w:val="65A0652C"/>
    <w:rsid w:val="66155AC1"/>
    <w:rsid w:val="675751AE"/>
    <w:rsid w:val="680348E8"/>
    <w:rsid w:val="6809008C"/>
    <w:rsid w:val="68090C76"/>
    <w:rsid w:val="68772437"/>
    <w:rsid w:val="6A2F21C9"/>
    <w:rsid w:val="6A9D0BDA"/>
    <w:rsid w:val="6B473AA2"/>
    <w:rsid w:val="6B730AB7"/>
    <w:rsid w:val="70237BD7"/>
    <w:rsid w:val="705869A7"/>
    <w:rsid w:val="73AC576F"/>
    <w:rsid w:val="74C64FB0"/>
    <w:rsid w:val="751A6627"/>
    <w:rsid w:val="758F7058"/>
    <w:rsid w:val="79951D2D"/>
    <w:rsid w:val="7A2C6E9C"/>
    <w:rsid w:val="7A3F4DAF"/>
    <w:rsid w:val="7AF4203D"/>
    <w:rsid w:val="7B753FCD"/>
    <w:rsid w:val="7BA60E17"/>
    <w:rsid w:val="7BD0123F"/>
    <w:rsid w:val="7E5C605E"/>
    <w:rsid w:val="7EF445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szCs w:val="18"/>
      <w:lang w:bidi="ar-SA"/>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2021-06-07T01:46:00Z</dcterms:created>
  <dc:creator>pp3</dc:creator>
  <cp:lastModifiedBy>Administrator</cp:lastModifiedBy>
  <cp:lastPrinted>2021-08-16T08:36:00Z</cp:lastPrinted>
  <dcterms:modified xsi:type="dcterms:W3CDTF">2024-04-07T07:01:09Z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37AA54F9B6C045E58B610CDB0C8746C0</vt:lpwstr>
  </property>
</Properties>
</file>