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42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2268"/>
        <w:gridCol w:w="1701"/>
        <w:gridCol w:w="780"/>
        <w:gridCol w:w="921"/>
        <w:gridCol w:w="13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line="240" w:lineRule="auto"/>
              <w:rPr>
                <w:rFonts w:hint="eastAsia" w:ascii="宋体" w:hAnsi="宋体" w:eastAsia="黑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/>
                <w:szCs w:val="32"/>
              </w:rPr>
              <w:t>附件1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黑体" w:cs="宋体"/>
                <w:color w:val="000000"/>
                <w:kern w:val="0"/>
                <w:sz w:val="28"/>
                <w:szCs w:val="28"/>
                <w:lang w:eastAsia="zh-C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628650</wp:posOffset>
                  </wp:positionH>
                  <wp:positionV relativeFrom="paragraph">
                    <wp:posOffset>-405765</wp:posOffset>
                  </wp:positionV>
                  <wp:extent cx="1762125" cy="1703070"/>
                  <wp:effectExtent l="0" t="0" r="0" b="0"/>
                  <wp:wrapNone/>
                  <wp:docPr id="1" name="图片 1" descr="334de40ee69d4441b11358789065d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334de40ee69d4441b11358789065de2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2125" cy="1703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4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年度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  <w:lang w:val="en-US" w:eastAsia="zh-CN"/>
              </w:rPr>
              <w:t>区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直部门绩效自评情况统计表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填报单位： </w:t>
            </w:r>
          </w:p>
        </w:tc>
        <w:tc>
          <w:tcPr>
            <w:tcW w:w="302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填报时间：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统计内容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应评价数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已评价数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预算项目数量（个）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资金量（万元）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其中：中央资金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 xml:space="preserve">     省级资金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 xml:space="preserve">      市级资金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区本级资金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评价指标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（二级指标个数）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其中：优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中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差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4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注：上述数据需与《项目支出绩效自评表（202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年度）》相符。</w:t>
            </w:r>
          </w:p>
        </w:tc>
      </w:tr>
    </w:tbl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30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tbl>
      <w:tblPr>
        <w:tblStyle w:val="3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tbl>
            <w:tblPr>
              <w:tblStyle w:val="3"/>
              <w:tblW w:w="11484" w:type="dxa"/>
              <w:tblInd w:w="-17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195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00" w:hRule="atLeast"/>
              </w:trPr>
              <w:tc>
                <w:tcPr>
                  <w:tcW w:w="11488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 w:color="auto" w:fill="auto"/>
                  <w:noWrap/>
                  <w:vAlign w:val="top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唐山市开平区棚户区改造项目</w:t>
                  </w: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开平区住建局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开平区住建局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156478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94381.77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续建7个棚改项目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工程质量及工程竣工验收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工程质量管理制度和体系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完整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完整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质量管理制度执行情况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良好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资金到位及时率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建设投资控制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不超概算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不超概算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提高基础设施配套能力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提高"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"提高土地利用率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提高"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提高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改善棚户区居民居住环境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改善棚户区域内城市面貌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无重大公共事件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环境保护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未造成环境影响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未造成环境影响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"重大安全事故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0"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棚户区项目受益对象满意度</w:t>
            </w:r>
            <w:r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Style w:val="5"/>
                <w:lang w:val="en-US" w:eastAsia="zh-CN" w:bidi="ar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建设期周边群众的满意度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</w:t>
            </w:r>
            <w:r>
              <w:rPr>
                <w:rStyle w:val="5"/>
                <w:lang w:val="en-US" w:eastAsia="zh-CN" w:bidi="ar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附件3</w:t>
      </w: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项目支出绩效评价报告文本格式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方正仿宋简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对续建7个棚改项目提供资金支持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（二）项目绩效目标。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保证建设项目按计划交付使用。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是</w:t>
      </w:r>
      <w:r>
        <w:rPr>
          <w:rFonts w:hint="eastAsia" w:ascii="方正仿宋简体" w:hAnsi="方正仿宋简体" w:eastAsia="方正仿宋简体" w:cs="方正仿宋简体"/>
          <w:szCs w:val="32"/>
        </w:rPr>
        <w:t>为进一步规范和加强城镇保障性安居工程补助资金监督管理，提高资金使用效益，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对象包括2023年度各项使用的棚改资金。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（二）按照我区预算绩效管理有关要求组织开展评价，做到评价结论客观、公正，评价意见详实、明确。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三、综合评价情况及评价结论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资金管理办法健全规范，资金按规定时间及时分配下达用于棚户区改造，并针对此项资金建立了预算执行、绩效监控机制，编制了绩效目标、及时开展绩效评价工作。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1、资金管理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在资金管理和发放工作中，各项政策落实到位，资金管理规范，发放及时，没有发现贪污侵占、截留挪用、虚报冒领、私存私分、滥用职权、以权谋私、克扣索要等违纪问题，也未接到群众举报问题。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2、项目管理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建立了棚户区改造项目储备库，对入库项目建立档案、根据项目成熟度进行排序并纳入年度计划。棚户区改造项目相关管理政策、年度计划等信息已及时在政府公开网上公开，接受群众监督。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3、产出效益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所涉及的建设项目已开工，任务完成率100%，工程质量符合标准。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4、满意度调查</w:t>
      </w:r>
    </w:p>
    <w:p>
      <w:pPr>
        <w:spacing w:line="600" w:lineRule="exact"/>
        <w:ind w:firstLine="420" w:firstLineChars="200"/>
        <w:rPr>
          <w:rFonts w:ascii="仿宋_GB2312" w:eastAsia="仿宋_GB2312"/>
          <w:bCs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本棚户区改造项目拆迁区域居民对改造工作给予了大力支持，并提出了建议，居民满意度达到95%以上。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tbl>
      <w:tblPr>
        <w:tblStyle w:val="3"/>
        <w:tblW w:w="880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1701"/>
        <w:gridCol w:w="1701"/>
        <w:gridCol w:w="1560"/>
        <w:gridCol w:w="1276"/>
        <w:gridCol w:w="11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32"/>
              </w:rPr>
              <w:t>附件4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资金主管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科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室：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填报时间：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自评部门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科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室核查结果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注：项目名称、自评部门、自评结果需与《项目支出绩效自评表（202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年度）》相符。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spacing w:line="580" w:lineRule="exact"/>
        <w:rPr>
          <w:rFonts w:hint="eastAsi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28"/>
          <w:szCs w:val="28"/>
        </w:rPr>
        <w:t>2023年度开平区财政资金项目绩效评价自评情况明细表</w:t>
      </w:r>
    </w:p>
    <w:p>
      <w:pPr>
        <w:spacing w:line="580" w:lineRule="exact"/>
        <w:rPr>
          <w:rFonts w:hint="eastAsia"/>
        </w:rPr>
      </w:pPr>
      <w:r>
        <w:rPr>
          <w:rFonts w:hint="eastAsia"/>
        </w:rPr>
        <w:t>单位：</w:t>
      </w:r>
      <w:r>
        <w:rPr>
          <w:rFonts w:hint="eastAsia"/>
          <w:lang w:val="en-US" w:eastAsia="zh-CN"/>
        </w:rPr>
        <w:t xml:space="preserve">                                                </w:t>
      </w:r>
      <w:r>
        <w:rPr>
          <w:rFonts w:hint="eastAsia"/>
        </w:rPr>
        <w:t>日期：</w:t>
      </w:r>
      <w:r>
        <w:rPr>
          <w:rFonts w:hint="eastAsia"/>
          <w:lang w:val="en-US" w:eastAsia="zh-CN"/>
        </w:rPr>
        <w:t xml:space="preserve">    年  月       日                                         </w:t>
      </w:r>
      <w:r>
        <w:rPr>
          <w:rFonts w:hint="eastAsia"/>
        </w:rPr>
        <w:t>单位：万元</w:t>
      </w:r>
    </w:p>
    <w:tbl>
      <w:tblPr>
        <w:tblStyle w:val="3"/>
        <w:tblW w:w="1406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3786"/>
        <w:gridCol w:w="1260"/>
        <w:gridCol w:w="930"/>
        <w:gridCol w:w="885"/>
        <w:gridCol w:w="885"/>
        <w:gridCol w:w="1035"/>
        <w:gridCol w:w="1005"/>
        <w:gridCol w:w="1080"/>
        <w:gridCol w:w="1200"/>
        <w:gridCol w:w="11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8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37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47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财政预算资金情况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已拨付资金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自评情况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(1/0)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公开情况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(1/0)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8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中央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省</w:t>
            </w: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市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区本级</w:t>
            </w:r>
          </w:p>
        </w:tc>
        <w:tc>
          <w:tcPr>
            <w:tcW w:w="108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3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说明：</w:t>
      </w:r>
      <w:r>
        <w:rPr>
          <w:rFonts w:hint="eastAsia"/>
          <w:lang w:val="en-US" w:eastAsia="zh-CN"/>
        </w:rPr>
        <w:t>1、</w:t>
      </w:r>
      <w:r>
        <w:rPr>
          <w:rFonts w:hint="eastAsia"/>
        </w:rPr>
        <w:t>此表由预算单位填报，财政局资金主管科室审核汇总。自评表和自查报告由预算单位留存待查。</w:t>
      </w:r>
      <w:r>
        <w:rPr>
          <w:rFonts w:hint="eastAsia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630" w:firstLineChars="30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自评情况：已自评填1，未自评填0；公开情况：已公开填1，未公开填0。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  <w:rPr>
          <w:rFonts w:hint="eastAsia"/>
        </w:rPr>
      </w:pPr>
      <w:r>
        <w:rPr>
          <w:rFonts w:hint="eastAsia"/>
        </w:rPr>
        <w:t>3、此表为季报，分别于3月25日、6月25日、9月25日、12月25日上报。数据无变化需提前报财政局资金主管科室。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textAlignment w:val="auto"/>
        <w:rPr>
          <w:rFonts w:hint="eastAsia"/>
        </w:rPr>
      </w:pPr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Tc3NWJmMWUwZGUzZjMwZTNiYmZkYmIzMGZiZDIifQ=="/>
  </w:docVars>
  <w:rsids>
    <w:rsidRoot w:val="260450A5"/>
    <w:rsid w:val="0029223E"/>
    <w:rsid w:val="011B7C6A"/>
    <w:rsid w:val="016659C9"/>
    <w:rsid w:val="01F16461"/>
    <w:rsid w:val="04E70BC8"/>
    <w:rsid w:val="078969A6"/>
    <w:rsid w:val="094E5430"/>
    <w:rsid w:val="0B2734FA"/>
    <w:rsid w:val="0E0D06C4"/>
    <w:rsid w:val="1256258B"/>
    <w:rsid w:val="14A13AC6"/>
    <w:rsid w:val="1917081B"/>
    <w:rsid w:val="1D0A52FC"/>
    <w:rsid w:val="1D0F6F97"/>
    <w:rsid w:val="1DF44648"/>
    <w:rsid w:val="1E4616B0"/>
    <w:rsid w:val="1F0E7D5B"/>
    <w:rsid w:val="1FA30618"/>
    <w:rsid w:val="209E59EF"/>
    <w:rsid w:val="2237004A"/>
    <w:rsid w:val="225548E0"/>
    <w:rsid w:val="232540A9"/>
    <w:rsid w:val="23257A7B"/>
    <w:rsid w:val="255135D4"/>
    <w:rsid w:val="260450A5"/>
    <w:rsid w:val="27D93CC3"/>
    <w:rsid w:val="2A0A50CD"/>
    <w:rsid w:val="2B433A44"/>
    <w:rsid w:val="2C9F245C"/>
    <w:rsid w:val="2F1071EF"/>
    <w:rsid w:val="337767F1"/>
    <w:rsid w:val="33D007EC"/>
    <w:rsid w:val="34291948"/>
    <w:rsid w:val="343728B9"/>
    <w:rsid w:val="35987902"/>
    <w:rsid w:val="39902080"/>
    <w:rsid w:val="3C367F35"/>
    <w:rsid w:val="3EB536B0"/>
    <w:rsid w:val="417D49BE"/>
    <w:rsid w:val="435A79F7"/>
    <w:rsid w:val="46D572BC"/>
    <w:rsid w:val="49D47B62"/>
    <w:rsid w:val="4AFF171C"/>
    <w:rsid w:val="4C2F41A4"/>
    <w:rsid w:val="4FAF2DE1"/>
    <w:rsid w:val="54230750"/>
    <w:rsid w:val="58487A3A"/>
    <w:rsid w:val="58776B52"/>
    <w:rsid w:val="5A695189"/>
    <w:rsid w:val="5EDE519B"/>
    <w:rsid w:val="6006221B"/>
    <w:rsid w:val="64B81151"/>
    <w:rsid w:val="65A0652C"/>
    <w:rsid w:val="66155AC1"/>
    <w:rsid w:val="667979DA"/>
    <w:rsid w:val="68090C76"/>
    <w:rsid w:val="69770779"/>
    <w:rsid w:val="6A9D0BDA"/>
    <w:rsid w:val="6B730AB7"/>
    <w:rsid w:val="6F9E3C3D"/>
    <w:rsid w:val="70237BD7"/>
    <w:rsid w:val="74C64FB0"/>
    <w:rsid w:val="758F7058"/>
    <w:rsid w:val="783F0ADA"/>
    <w:rsid w:val="78467E92"/>
    <w:rsid w:val="78CC1687"/>
    <w:rsid w:val="7AF4203D"/>
    <w:rsid w:val="7B753FCD"/>
    <w:rsid w:val="7E5C605E"/>
    <w:rsid w:val="7EC7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szCs w:val="18"/>
      <w:lang w:bidi="ar-SA"/>
    </w:rPr>
  </w:style>
  <w:style w:type="character" w:customStyle="1" w:styleId="5">
    <w:name w:val="font21"/>
    <w:basedOn w:val="4"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2021-06-07T01:46:00Z</dcterms:created>
  <dc:creator>pp3</dc:creator>
  <cp:lastModifiedBy>Administrator</cp:lastModifiedBy>
  <cp:lastPrinted>2021-12-20T08:59:00Z</cp:lastPrinted>
  <dcterms:modified xsi:type="dcterms:W3CDTF">2024-04-07T06:58:39Z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164C7BE6B2304E929468CD05B1411A2E_13</vt:lpwstr>
  </property>
</Properties>
</file>