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289唐山市开平区信访局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1386.62</w:t>
            </w:r>
          </w:p>
        </w:tc>
        <w:tc>
          <w:tcPr>
            <w:tcW w:w="4535" w:type="dxa"/>
            <w:vAlign w:val="center"/>
          </w:tcPr>
          <w:p>
            <w:pPr>
              <w:pStyle w:val="12"/>
            </w:pPr>
            <w:r>
              <w:t>一、一般公共服务支出</w:t>
            </w:r>
          </w:p>
        </w:tc>
        <w:tc>
          <w:tcPr>
            <w:tcW w:w="2126" w:type="dxa"/>
            <w:vAlign w:val="center"/>
          </w:tcPr>
          <w:p>
            <w:pPr>
              <w:pStyle w:val="11"/>
            </w:pPr>
            <w:r>
              <w:t>1362.17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1386.62</w:t>
            </w:r>
          </w:p>
        </w:tc>
        <w:tc>
          <w:tcPr>
            <w:tcW w:w="4535" w:type="dxa"/>
            <w:vAlign w:val="center"/>
          </w:tcPr>
          <w:p>
            <w:pPr>
              <w:pStyle w:val="14"/>
            </w:pPr>
            <w:r>
              <w:t>本年支出合计</w:t>
            </w:r>
          </w:p>
        </w:tc>
        <w:tc>
          <w:tcPr>
            <w:tcW w:w="2126" w:type="dxa"/>
            <w:vAlign w:val="center"/>
          </w:tcPr>
          <w:p>
            <w:pPr>
              <w:pStyle w:val="15"/>
            </w:pPr>
            <w:r>
              <w:t>1386.62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1386.62</w:t>
            </w:r>
          </w:p>
        </w:tc>
        <w:tc>
          <w:tcPr>
            <w:tcW w:w="4535" w:type="dxa"/>
            <w:vAlign w:val="center"/>
          </w:tcPr>
          <w:p>
            <w:pPr>
              <w:pStyle w:val="14"/>
            </w:pPr>
            <w:r>
              <w:t>支出总计</w:t>
            </w:r>
          </w:p>
        </w:tc>
        <w:tc>
          <w:tcPr>
            <w:tcW w:w="2126" w:type="dxa"/>
            <w:vAlign w:val="center"/>
          </w:tcPr>
          <w:p>
            <w:pPr>
              <w:pStyle w:val="15"/>
            </w:pPr>
            <w:r>
              <w:t>1386.62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289唐山市开平区信访局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1386.62</w:t>
            </w:r>
          </w:p>
        </w:tc>
        <w:tc>
          <w:tcPr>
            <w:tcW w:w="1134" w:type="dxa"/>
            <w:vAlign w:val="center"/>
          </w:tcPr>
          <w:p>
            <w:pPr>
              <w:pStyle w:val="15"/>
            </w:pPr>
            <w:r>
              <w:t>1386.62</w:t>
            </w:r>
          </w:p>
        </w:tc>
        <w:tc>
          <w:tcPr>
            <w:tcW w:w="1134" w:type="dxa"/>
            <w:vAlign w:val="center"/>
          </w:tcPr>
          <w:p>
            <w:pPr>
              <w:pStyle w:val="15"/>
            </w:pPr>
            <w:r>
              <w:t>1386.62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1362.17</w:t>
            </w:r>
          </w:p>
        </w:tc>
        <w:tc>
          <w:tcPr>
            <w:tcW w:w="1134" w:type="dxa"/>
            <w:vAlign w:val="center"/>
          </w:tcPr>
          <w:p>
            <w:pPr>
              <w:pStyle w:val="11"/>
            </w:pPr>
            <w:r>
              <w:t>1362.17</w:t>
            </w:r>
          </w:p>
        </w:tc>
        <w:tc>
          <w:tcPr>
            <w:tcW w:w="1134" w:type="dxa"/>
            <w:vAlign w:val="center"/>
          </w:tcPr>
          <w:p>
            <w:pPr>
              <w:pStyle w:val="11"/>
            </w:pPr>
            <w:r>
              <w:t>1362.17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1362.17</w:t>
            </w:r>
          </w:p>
        </w:tc>
        <w:tc>
          <w:tcPr>
            <w:tcW w:w="1134" w:type="dxa"/>
            <w:vAlign w:val="center"/>
          </w:tcPr>
          <w:p>
            <w:pPr>
              <w:pStyle w:val="11"/>
            </w:pPr>
            <w:r>
              <w:t>1362.17</w:t>
            </w:r>
          </w:p>
        </w:tc>
        <w:tc>
          <w:tcPr>
            <w:tcW w:w="1134" w:type="dxa"/>
            <w:vAlign w:val="center"/>
          </w:tcPr>
          <w:p>
            <w:pPr>
              <w:pStyle w:val="11"/>
            </w:pPr>
            <w:r>
              <w:t>1362.17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1362.17</w:t>
            </w:r>
          </w:p>
        </w:tc>
        <w:tc>
          <w:tcPr>
            <w:tcW w:w="1134" w:type="dxa"/>
            <w:vAlign w:val="center"/>
          </w:tcPr>
          <w:p>
            <w:pPr>
              <w:pStyle w:val="11"/>
            </w:pPr>
            <w:r>
              <w:t>1362.17</w:t>
            </w:r>
          </w:p>
        </w:tc>
        <w:tc>
          <w:tcPr>
            <w:tcW w:w="1134" w:type="dxa"/>
            <w:vAlign w:val="center"/>
          </w:tcPr>
          <w:p>
            <w:pPr>
              <w:pStyle w:val="11"/>
            </w:pPr>
            <w:r>
              <w:t>1362.17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13.18</w:t>
            </w:r>
          </w:p>
        </w:tc>
        <w:tc>
          <w:tcPr>
            <w:tcW w:w="1134" w:type="dxa"/>
            <w:vAlign w:val="center"/>
          </w:tcPr>
          <w:p>
            <w:pPr>
              <w:pStyle w:val="11"/>
            </w:pPr>
            <w:r>
              <w:t>13.18</w:t>
            </w:r>
          </w:p>
        </w:tc>
        <w:tc>
          <w:tcPr>
            <w:tcW w:w="1134" w:type="dxa"/>
            <w:vAlign w:val="center"/>
          </w:tcPr>
          <w:p>
            <w:pPr>
              <w:pStyle w:val="11"/>
            </w:pPr>
            <w:r>
              <w:t>13.18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13.18</w:t>
            </w:r>
          </w:p>
        </w:tc>
        <w:tc>
          <w:tcPr>
            <w:tcW w:w="1134" w:type="dxa"/>
            <w:vAlign w:val="center"/>
          </w:tcPr>
          <w:p>
            <w:pPr>
              <w:pStyle w:val="11"/>
            </w:pPr>
            <w:r>
              <w:t>13.18</w:t>
            </w:r>
          </w:p>
        </w:tc>
        <w:tc>
          <w:tcPr>
            <w:tcW w:w="1134" w:type="dxa"/>
            <w:vAlign w:val="center"/>
          </w:tcPr>
          <w:p>
            <w:pPr>
              <w:pStyle w:val="11"/>
            </w:pPr>
            <w:r>
              <w:t>13.18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13.18</w:t>
            </w:r>
          </w:p>
        </w:tc>
        <w:tc>
          <w:tcPr>
            <w:tcW w:w="1134" w:type="dxa"/>
            <w:vAlign w:val="center"/>
          </w:tcPr>
          <w:p>
            <w:pPr>
              <w:pStyle w:val="11"/>
            </w:pPr>
            <w:r>
              <w:t>13.18</w:t>
            </w:r>
          </w:p>
        </w:tc>
        <w:tc>
          <w:tcPr>
            <w:tcW w:w="1134" w:type="dxa"/>
            <w:vAlign w:val="center"/>
          </w:tcPr>
          <w:p>
            <w:pPr>
              <w:pStyle w:val="11"/>
            </w:pPr>
            <w:r>
              <w:t>13.18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11.28</w:t>
            </w:r>
          </w:p>
        </w:tc>
        <w:tc>
          <w:tcPr>
            <w:tcW w:w="1134" w:type="dxa"/>
            <w:vAlign w:val="center"/>
          </w:tcPr>
          <w:p>
            <w:pPr>
              <w:pStyle w:val="11"/>
            </w:pPr>
            <w:r>
              <w:t>11.28</w:t>
            </w:r>
          </w:p>
        </w:tc>
        <w:tc>
          <w:tcPr>
            <w:tcW w:w="1134" w:type="dxa"/>
            <w:vAlign w:val="center"/>
          </w:tcPr>
          <w:p>
            <w:pPr>
              <w:pStyle w:val="11"/>
            </w:pPr>
            <w:r>
              <w:t>11.28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11.28</w:t>
            </w:r>
          </w:p>
        </w:tc>
        <w:tc>
          <w:tcPr>
            <w:tcW w:w="1134" w:type="dxa"/>
            <w:vAlign w:val="center"/>
          </w:tcPr>
          <w:p>
            <w:pPr>
              <w:pStyle w:val="11"/>
            </w:pPr>
            <w:r>
              <w:t>11.28</w:t>
            </w:r>
          </w:p>
        </w:tc>
        <w:tc>
          <w:tcPr>
            <w:tcW w:w="1134" w:type="dxa"/>
            <w:vAlign w:val="center"/>
          </w:tcPr>
          <w:p>
            <w:pPr>
              <w:pStyle w:val="11"/>
            </w:pPr>
            <w:r>
              <w:t>11.28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11.28</w:t>
            </w:r>
          </w:p>
        </w:tc>
        <w:tc>
          <w:tcPr>
            <w:tcW w:w="1134" w:type="dxa"/>
            <w:vAlign w:val="center"/>
          </w:tcPr>
          <w:p>
            <w:pPr>
              <w:pStyle w:val="11"/>
            </w:pPr>
            <w:r>
              <w:t>11.28</w:t>
            </w:r>
          </w:p>
        </w:tc>
        <w:tc>
          <w:tcPr>
            <w:tcW w:w="1134" w:type="dxa"/>
            <w:vAlign w:val="center"/>
          </w:tcPr>
          <w:p>
            <w:pPr>
              <w:pStyle w:val="11"/>
            </w:pPr>
            <w:r>
              <w:t>11.28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1386.62</w:t>
            </w:r>
          </w:p>
        </w:tc>
        <w:tc>
          <w:tcPr>
            <w:tcW w:w="1361" w:type="dxa"/>
            <w:vAlign w:val="center"/>
          </w:tcPr>
          <w:p>
            <w:pPr>
              <w:pStyle w:val="15"/>
            </w:pPr>
            <w:r>
              <w:t>186.62</w:t>
            </w:r>
          </w:p>
        </w:tc>
        <w:tc>
          <w:tcPr>
            <w:tcW w:w="1361" w:type="dxa"/>
            <w:vAlign w:val="center"/>
          </w:tcPr>
          <w:p>
            <w:pPr>
              <w:pStyle w:val="15"/>
            </w:pPr>
            <w:r>
              <w:t>1200.00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1362.17</w:t>
            </w:r>
          </w:p>
        </w:tc>
        <w:tc>
          <w:tcPr>
            <w:tcW w:w="1361" w:type="dxa"/>
            <w:vAlign w:val="center"/>
          </w:tcPr>
          <w:p>
            <w:pPr>
              <w:pStyle w:val="11"/>
            </w:pPr>
            <w:r>
              <w:t>162.17</w:t>
            </w:r>
          </w:p>
        </w:tc>
        <w:tc>
          <w:tcPr>
            <w:tcW w:w="1361" w:type="dxa"/>
            <w:vAlign w:val="center"/>
          </w:tcPr>
          <w:p>
            <w:pPr>
              <w:pStyle w:val="11"/>
            </w:pPr>
            <w:r>
              <w:t>1200.00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1362.17</w:t>
            </w:r>
          </w:p>
        </w:tc>
        <w:tc>
          <w:tcPr>
            <w:tcW w:w="1361" w:type="dxa"/>
            <w:vAlign w:val="center"/>
          </w:tcPr>
          <w:p>
            <w:pPr>
              <w:pStyle w:val="11"/>
            </w:pPr>
            <w:r>
              <w:t>162.17</w:t>
            </w:r>
          </w:p>
        </w:tc>
        <w:tc>
          <w:tcPr>
            <w:tcW w:w="1361" w:type="dxa"/>
            <w:vAlign w:val="center"/>
          </w:tcPr>
          <w:p>
            <w:pPr>
              <w:pStyle w:val="11"/>
            </w:pPr>
            <w:r>
              <w:t>1200.00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1362.17</w:t>
            </w:r>
          </w:p>
        </w:tc>
        <w:tc>
          <w:tcPr>
            <w:tcW w:w="1361" w:type="dxa"/>
            <w:vAlign w:val="center"/>
          </w:tcPr>
          <w:p>
            <w:pPr>
              <w:pStyle w:val="11"/>
            </w:pPr>
            <w:r>
              <w:t>162.17</w:t>
            </w:r>
          </w:p>
        </w:tc>
        <w:tc>
          <w:tcPr>
            <w:tcW w:w="1361" w:type="dxa"/>
            <w:vAlign w:val="center"/>
          </w:tcPr>
          <w:p>
            <w:pPr>
              <w:pStyle w:val="11"/>
            </w:pPr>
            <w:r>
              <w:t>1200.00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13.18</w:t>
            </w:r>
          </w:p>
        </w:tc>
        <w:tc>
          <w:tcPr>
            <w:tcW w:w="1361" w:type="dxa"/>
            <w:vAlign w:val="center"/>
          </w:tcPr>
          <w:p>
            <w:pPr>
              <w:pStyle w:val="11"/>
            </w:pPr>
            <w:r>
              <w:t>13.18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13.18</w:t>
            </w:r>
          </w:p>
        </w:tc>
        <w:tc>
          <w:tcPr>
            <w:tcW w:w="1361" w:type="dxa"/>
            <w:vAlign w:val="center"/>
          </w:tcPr>
          <w:p>
            <w:pPr>
              <w:pStyle w:val="11"/>
            </w:pPr>
            <w:r>
              <w:t>13.18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13.18</w:t>
            </w:r>
          </w:p>
        </w:tc>
        <w:tc>
          <w:tcPr>
            <w:tcW w:w="1361" w:type="dxa"/>
            <w:vAlign w:val="center"/>
          </w:tcPr>
          <w:p>
            <w:pPr>
              <w:pStyle w:val="11"/>
            </w:pPr>
            <w:r>
              <w:t>13.18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11.28</w:t>
            </w:r>
          </w:p>
        </w:tc>
        <w:tc>
          <w:tcPr>
            <w:tcW w:w="1361" w:type="dxa"/>
            <w:vAlign w:val="center"/>
          </w:tcPr>
          <w:p>
            <w:pPr>
              <w:pStyle w:val="11"/>
            </w:pPr>
            <w:r>
              <w:t>11.28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11.28</w:t>
            </w:r>
          </w:p>
        </w:tc>
        <w:tc>
          <w:tcPr>
            <w:tcW w:w="1361" w:type="dxa"/>
            <w:vAlign w:val="center"/>
          </w:tcPr>
          <w:p>
            <w:pPr>
              <w:pStyle w:val="11"/>
            </w:pPr>
            <w:r>
              <w:t>11.28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11.28</w:t>
            </w:r>
          </w:p>
        </w:tc>
        <w:tc>
          <w:tcPr>
            <w:tcW w:w="1361" w:type="dxa"/>
            <w:vAlign w:val="center"/>
          </w:tcPr>
          <w:p>
            <w:pPr>
              <w:pStyle w:val="11"/>
            </w:pPr>
            <w:r>
              <w:t>11.28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1386.62</w:t>
            </w:r>
          </w:p>
        </w:tc>
        <w:tc>
          <w:tcPr>
            <w:tcW w:w="3402" w:type="dxa"/>
            <w:vAlign w:val="center"/>
          </w:tcPr>
          <w:p>
            <w:pPr>
              <w:pStyle w:val="12"/>
            </w:pPr>
            <w:r>
              <w:t>一、一般公共服务支出</w:t>
            </w:r>
          </w:p>
        </w:tc>
        <w:tc>
          <w:tcPr>
            <w:tcW w:w="1474" w:type="dxa"/>
            <w:vAlign w:val="center"/>
          </w:tcPr>
          <w:p>
            <w:pPr>
              <w:pStyle w:val="11"/>
            </w:pPr>
            <w:r>
              <w:t>1362.17</w:t>
            </w:r>
          </w:p>
        </w:tc>
        <w:tc>
          <w:tcPr>
            <w:tcW w:w="1474" w:type="dxa"/>
            <w:vAlign w:val="center"/>
          </w:tcPr>
          <w:p>
            <w:pPr>
              <w:pStyle w:val="11"/>
            </w:pPr>
            <w:r>
              <w:t>1362.17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13.18</w:t>
            </w:r>
          </w:p>
        </w:tc>
        <w:tc>
          <w:tcPr>
            <w:tcW w:w="1474" w:type="dxa"/>
            <w:vAlign w:val="center"/>
          </w:tcPr>
          <w:p>
            <w:pPr>
              <w:pStyle w:val="11"/>
            </w:pPr>
            <w:r>
              <w:t>13.18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11.28</w:t>
            </w:r>
          </w:p>
        </w:tc>
        <w:tc>
          <w:tcPr>
            <w:tcW w:w="1474" w:type="dxa"/>
            <w:vAlign w:val="center"/>
          </w:tcPr>
          <w:p>
            <w:pPr>
              <w:pStyle w:val="11"/>
            </w:pPr>
            <w:r>
              <w:t>11.28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1386.62</w:t>
            </w:r>
          </w:p>
        </w:tc>
        <w:tc>
          <w:tcPr>
            <w:tcW w:w="3402" w:type="dxa"/>
            <w:vAlign w:val="center"/>
          </w:tcPr>
          <w:p>
            <w:pPr>
              <w:pStyle w:val="14"/>
            </w:pPr>
            <w:r>
              <w:t>本年支出合计</w:t>
            </w:r>
          </w:p>
        </w:tc>
        <w:tc>
          <w:tcPr>
            <w:tcW w:w="1474" w:type="dxa"/>
            <w:vAlign w:val="center"/>
          </w:tcPr>
          <w:p>
            <w:pPr>
              <w:pStyle w:val="15"/>
            </w:pPr>
            <w:r>
              <w:t>1386.62</w:t>
            </w:r>
          </w:p>
        </w:tc>
        <w:tc>
          <w:tcPr>
            <w:tcW w:w="1474" w:type="dxa"/>
            <w:vAlign w:val="center"/>
          </w:tcPr>
          <w:p>
            <w:pPr>
              <w:pStyle w:val="15"/>
            </w:pPr>
            <w:r>
              <w:t>1386.62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1386.62</w:t>
            </w:r>
          </w:p>
        </w:tc>
        <w:tc>
          <w:tcPr>
            <w:tcW w:w="3402" w:type="dxa"/>
            <w:vAlign w:val="center"/>
          </w:tcPr>
          <w:p>
            <w:pPr>
              <w:pStyle w:val="14"/>
            </w:pPr>
            <w:r>
              <w:t>支出总计</w:t>
            </w:r>
          </w:p>
        </w:tc>
        <w:tc>
          <w:tcPr>
            <w:tcW w:w="1474" w:type="dxa"/>
            <w:vAlign w:val="center"/>
          </w:tcPr>
          <w:p>
            <w:pPr>
              <w:pStyle w:val="15"/>
            </w:pPr>
            <w:r>
              <w:t>1386.62</w:t>
            </w:r>
          </w:p>
        </w:tc>
        <w:tc>
          <w:tcPr>
            <w:tcW w:w="1474" w:type="dxa"/>
            <w:vAlign w:val="center"/>
          </w:tcPr>
          <w:p>
            <w:pPr>
              <w:pStyle w:val="15"/>
            </w:pPr>
            <w:r>
              <w:t>1386.62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1386.62</w:t>
            </w:r>
          </w:p>
        </w:tc>
        <w:tc>
          <w:tcPr>
            <w:tcW w:w="2551" w:type="dxa"/>
            <w:vAlign w:val="center"/>
          </w:tcPr>
          <w:p>
            <w:pPr>
              <w:pStyle w:val="15"/>
            </w:pPr>
            <w:r>
              <w:t>186.62</w:t>
            </w:r>
          </w:p>
        </w:tc>
        <w:tc>
          <w:tcPr>
            <w:tcW w:w="2551" w:type="dxa"/>
            <w:vAlign w:val="center"/>
          </w:tcPr>
          <w:p>
            <w:pPr>
              <w:pStyle w:val="15"/>
            </w:pPr>
            <w:r>
              <w:t>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1362.17</w:t>
            </w:r>
          </w:p>
        </w:tc>
        <w:tc>
          <w:tcPr>
            <w:tcW w:w="2551" w:type="dxa"/>
            <w:vAlign w:val="center"/>
          </w:tcPr>
          <w:p>
            <w:pPr>
              <w:pStyle w:val="11"/>
            </w:pPr>
            <w:r>
              <w:t>162.17</w:t>
            </w:r>
          </w:p>
        </w:tc>
        <w:tc>
          <w:tcPr>
            <w:tcW w:w="2551" w:type="dxa"/>
            <w:vAlign w:val="center"/>
          </w:tcPr>
          <w:p>
            <w:pPr>
              <w:pStyle w:val="11"/>
            </w:pPr>
            <w:r>
              <w:t>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1362.17</w:t>
            </w:r>
          </w:p>
        </w:tc>
        <w:tc>
          <w:tcPr>
            <w:tcW w:w="2551" w:type="dxa"/>
            <w:vAlign w:val="center"/>
          </w:tcPr>
          <w:p>
            <w:pPr>
              <w:pStyle w:val="11"/>
            </w:pPr>
            <w:r>
              <w:t>162.17</w:t>
            </w:r>
          </w:p>
        </w:tc>
        <w:tc>
          <w:tcPr>
            <w:tcW w:w="2551" w:type="dxa"/>
            <w:vAlign w:val="center"/>
          </w:tcPr>
          <w:p>
            <w:pPr>
              <w:pStyle w:val="11"/>
            </w:pPr>
            <w:r>
              <w:t>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1362.17</w:t>
            </w:r>
          </w:p>
        </w:tc>
        <w:tc>
          <w:tcPr>
            <w:tcW w:w="2551" w:type="dxa"/>
            <w:vAlign w:val="center"/>
          </w:tcPr>
          <w:p>
            <w:pPr>
              <w:pStyle w:val="11"/>
            </w:pPr>
            <w:r>
              <w:t>162.17</w:t>
            </w:r>
          </w:p>
        </w:tc>
        <w:tc>
          <w:tcPr>
            <w:tcW w:w="2551" w:type="dxa"/>
            <w:vAlign w:val="center"/>
          </w:tcPr>
          <w:p>
            <w:pPr>
              <w:pStyle w:val="11"/>
            </w:pPr>
            <w:r>
              <w:t>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13.18</w:t>
            </w:r>
          </w:p>
        </w:tc>
        <w:tc>
          <w:tcPr>
            <w:tcW w:w="2551" w:type="dxa"/>
            <w:vAlign w:val="center"/>
          </w:tcPr>
          <w:p>
            <w:pPr>
              <w:pStyle w:val="11"/>
            </w:pPr>
            <w:r>
              <w:t>13.18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13.18</w:t>
            </w:r>
          </w:p>
        </w:tc>
        <w:tc>
          <w:tcPr>
            <w:tcW w:w="2551" w:type="dxa"/>
            <w:vAlign w:val="center"/>
          </w:tcPr>
          <w:p>
            <w:pPr>
              <w:pStyle w:val="11"/>
            </w:pPr>
            <w:r>
              <w:t>13.18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13.18</w:t>
            </w:r>
          </w:p>
        </w:tc>
        <w:tc>
          <w:tcPr>
            <w:tcW w:w="2551" w:type="dxa"/>
            <w:vAlign w:val="center"/>
          </w:tcPr>
          <w:p>
            <w:pPr>
              <w:pStyle w:val="11"/>
            </w:pPr>
            <w:r>
              <w:t>13.18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11.28</w:t>
            </w:r>
          </w:p>
        </w:tc>
        <w:tc>
          <w:tcPr>
            <w:tcW w:w="2551" w:type="dxa"/>
            <w:vAlign w:val="center"/>
          </w:tcPr>
          <w:p>
            <w:pPr>
              <w:pStyle w:val="11"/>
            </w:pPr>
            <w:r>
              <w:t>11.28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11.28</w:t>
            </w:r>
          </w:p>
        </w:tc>
        <w:tc>
          <w:tcPr>
            <w:tcW w:w="2551" w:type="dxa"/>
            <w:vAlign w:val="center"/>
          </w:tcPr>
          <w:p>
            <w:pPr>
              <w:pStyle w:val="11"/>
            </w:pPr>
            <w:r>
              <w:t>11.28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11.28</w:t>
            </w:r>
          </w:p>
        </w:tc>
        <w:tc>
          <w:tcPr>
            <w:tcW w:w="2551" w:type="dxa"/>
            <w:vAlign w:val="center"/>
          </w:tcPr>
          <w:p>
            <w:pPr>
              <w:pStyle w:val="11"/>
            </w:pPr>
            <w:r>
              <w:t>11.28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186.62</w:t>
            </w:r>
          </w:p>
        </w:tc>
        <w:tc>
          <w:tcPr>
            <w:tcW w:w="2551" w:type="dxa"/>
            <w:vAlign w:val="center"/>
          </w:tcPr>
          <w:p>
            <w:pPr>
              <w:pStyle w:val="15"/>
            </w:pPr>
            <w:r>
              <w:t>169.52</w:t>
            </w:r>
          </w:p>
        </w:tc>
        <w:tc>
          <w:tcPr>
            <w:tcW w:w="2551" w:type="dxa"/>
            <w:vAlign w:val="center"/>
          </w:tcPr>
          <w:p>
            <w:pPr>
              <w:pStyle w:val="15"/>
            </w:pPr>
            <w: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167.49</w:t>
            </w:r>
          </w:p>
        </w:tc>
        <w:tc>
          <w:tcPr>
            <w:tcW w:w="2551" w:type="dxa"/>
            <w:vAlign w:val="center"/>
          </w:tcPr>
          <w:p>
            <w:pPr>
              <w:pStyle w:val="11"/>
            </w:pPr>
            <w:r>
              <w:t>167.49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64.85</w:t>
            </w:r>
          </w:p>
        </w:tc>
        <w:tc>
          <w:tcPr>
            <w:tcW w:w="2551" w:type="dxa"/>
            <w:vAlign w:val="center"/>
          </w:tcPr>
          <w:p>
            <w:pPr>
              <w:pStyle w:val="11"/>
            </w:pPr>
            <w:r>
              <w:t>64.85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42.17</w:t>
            </w:r>
          </w:p>
        </w:tc>
        <w:tc>
          <w:tcPr>
            <w:tcW w:w="2551" w:type="dxa"/>
            <w:vAlign w:val="center"/>
          </w:tcPr>
          <w:p>
            <w:pPr>
              <w:pStyle w:val="11"/>
            </w:pPr>
            <w:r>
              <w:t>42.17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8.62</w:t>
            </w:r>
          </w:p>
        </w:tc>
        <w:tc>
          <w:tcPr>
            <w:tcW w:w="2551" w:type="dxa"/>
            <w:vAlign w:val="center"/>
          </w:tcPr>
          <w:p>
            <w:pPr>
              <w:pStyle w:val="11"/>
            </w:pPr>
            <w:r>
              <w:t>8.62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12.20</w:t>
            </w:r>
          </w:p>
        </w:tc>
        <w:tc>
          <w:tcPr>
            <w:tcW w:w="2551" w:type="dxa"/>
            <w:vAlign w:val="center"/>
          </w:tcPr>
          <w:p>
            <w:pPr>
              <w:pStyle w:val="11"/>
            </w:pPr>
            <w:r>
              <w:t>12.20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14.62</w:t>
            </w:r>
          </w:p>
        </w:tc>
        <w:tc>
          <w:tcPr>
            <w:tcW w:w="2551" w:type="dxa"/>
            <w:vAlign w:val="center"/>
          </w:tcPr>
          <w:p>
            <w:pPr>
              <w:pStyle w:val="11"/>
            </w:pPr>
            <w:r>
              <w:t>14.62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13.18</w:t>
            </w:r>
          </w:p>
        </w:tc>
        <w:tc>
          <w:tcPr>
            <w:tcW w:w="2551" w:type="dxa"/>
            <w:vAlign w:val="center"/>
          </w:tcPr>
          <w:p>
            <w:pPr>
              <w:pStyle w:val="11"/>
            </w:pPr>
            <w:r>
              <w:t>13.18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0.57</w:t>
            </w:r>
          </w:p>
        </w:tc>
        <w:tc>
          <w:tcPr>
            <w:tcW w:w="2551" w:type="dxa"/>
            <w:vAlign w:val="center"/>
          </w:tcPr>
          <w:p>
            <w:pPr>
              <w:pStyle w:val="11"/>
            </w:pPr>
            <w:r>
              <w:t>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11.28</w:t>
            </w:r>
          </w:p>
        </w:tc>
        <w:tc>
          <w:tcPr>
            <w:tcW w:w="2551" w:type="dxa"/>
            <w:vAlign w:val="center"/>
          </w:tcPr>
          <w:p>
            <w:pPr>
              <w:pStyle w:val="11"/>
            </w:pPr>
            <w:r>
              <w:t>11.28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17.10</w:t>
            </w:r>
          </w:p>
        </w:tc>
        <w:tc>
          <w:tcPr>
            <w:tcW w:w="2551" w:type="dxa"/>
            <w:vAlign w:val="center"/>
          </w:tcPr>
          <w:p>
            <w:pPr>
              <w:pStyle w:val="11"/>
            </w:pPr>
          </w:p>
        </w:tc>
        <w:tc>
          <w:tcPr>
            <w:tcW w:w="2551" w:type="dxa"/>
            <w:vAlign w:val="center"/>
          </w:tcPr>
          <w:p>
            <w:pPr>
              <w:pStyle w:val="11"/>
            </w:pPr>
            <w: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4.90</w:t>
            </w:r>
          </w:p>
        </w:tc>
        <w:tc>
          <w:tcPr>
            <w:tcW w:w="2551" w:type="dxa"/>
            <w:vAlign w:val="center"/>
          </w:tcPr>
          <w:p>
            <w:pPr>
              <w:pStyle w:val="11"/>
            </w:pPr>
          </w:p>
        </w:tc>
        <w:tc>
          <w:tcPr>
            <w:tcW w:w="2551" w:type="dxa"/>
            <w:vAlign w:val="center"/>
          </w:tcPr>
          <w:p>
            <w:pPr>
              <w:pStyle w:val="11"/>
            </w:pPr>
            <w:r>
              <w:t>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0.87</w:t>
            </w:r>
          </w:p>
        </w:tc>
        <w:tc>
          <w:tcPr>
            <w:tcW w:w="2551" w:type="dxa"/>
            <w:vAlign w:val="center"/>
          </w:tcPr>
          <w:p>
            <w:pPr>
              <w:pStyle w:val="11"/>
            </w:pPr>
          </w:p>
        </w:tc>
        <w:tc>
          <w:tcPr>
            <w:tcW w:w="2551" w:type="dxa"/>
            <w:vAlign w:val="center"/>
          </w:tcPr>
          <w:p>
            <w:pPr>
              <w:pStyle w:val="11"/>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5.46</w:t>
            </w:r>
          </w:p>
        </w:tc>
        <w:tc>
          <w:tcPr>
            <w:tcW w:w="2551" w:type="dxa"/>
            <w:vAlign w:val="center"/>
          </w:tcPr>
          <w:p>
            <w:pPr>
              <w:pStyle w:val="11"/>
            </w:pPr>
          </w:p>
        </w:tc>
        <w:tc>
          <w:tcPr>
            <w:tcW w:w="2551" w:type="dxa"/>
            <w:vAlign w:val="center"/>
          </w:tcPr>
          <w:p>
            <w:pPr>
              <w:pStyle w:val="11"/>
            </w:pPr>
            <w:r>
              <w:t>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2.03</w:t>
            </w:r>
          </w:p>
        </w:tc>
        <w:tc>
          <w:tcPr>
            <w:tcW w:w="2551" w:type="dxa"/>
            <w:vAlign w:val="center"/>
          </w:tcPr>
          <w:p>
            <w:pPr>
              <w:pStyle w:val="11"/>
            </w:pPr>
            <w:r>
              <w:t>2.03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2.03</w:t>
            </w:r>
          </w:p>
        </w:tc>
        <w:tc>
          <w:tcPr>
            <w:tcW w:w="2551" w:type="dxa"/>
            <w:vAlign w:val="center"/>
          </w:tcPr>
          <w:p>
            <w:pPr>
              <w:pStyle w:val="11"/>
            </w:pPr>
            <w:r>
              <w:t>2.03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1.80</w:t>
            </w:r>
          </w:p>
        </w:tc>
        <w:tc>
          <w:tcPr>
            <w:tcW w:w="2381" w:type="dxa"/>
            <w:vAlign w:val="center"/>
          </w:tcPr>
          <w:p>
            <w:pPr>
              <w:pStyle w:val="15"/>
            </w:pPr>
            <w:r>
              <w:t>1.80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唐山市开平区信访局2025年部门预算信息公开情况说明</w:t>
      </w:r>
    </w:p>
    <w:p>
      <w:pPr>
        <w:jc w:val="center"/>
      </w:pPr>
      <w:r>
        <w:rPr>
          <w:rFonts w:ascii="方正小标宋_GBK" w:hAnsi="方正小标宋_GBK" w:eastAsia="方正小标宋_GBK" w:cs="方正小标宋_GBK"/>
          <w:color w:val="000000"/>
          <w:sz w:val="44"/>
        </w:rPr>
        <w:t>唐山市开平区信访局2025年部门预算信息公开情况说明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按照《中华人民共和国预算法》、《地方预决算公开操作规程》和《关于进一步推进预算公开工作的实施意见》规定，现将唐山市开平区信访局2025年部门预算公开如下：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 研究提出全区信访工作思路，拟订信访工作方针政策。</w:t>
      </w:r>
    </w:p>
    <w:p>
      <w:pPr>
        <w:pStyle w:val="17"/>
      </w:pPr>
      <w:r>
        <w:t>(二)办理人民群众来信，接待群众来访，受理群众网上投诉，查办信访案件，负责人民群众建议征集工作。</w:t>
      </w:r>
    </w:p>
    <w:p>
      <w:pPr>
        <w:pStyle w:val="17"/>
      </w:pPr>
      <w:r>
        <w:t>(三)调查研究和综合分析全区信访形势及信访工作状况，总结推广各地各部门信访工作经验，提出改进和加强信访工作的意见和建议。</w:t>
      </w:r>
    </w:p>
    <w:p>
      <w:pPr>
        <w:pStyle w:val="17"/>
      </w:pPr>
      <w:r>
        <w:t>(四)参与组织、协调、指导全区社会治安综合治理和维护社会政治稳定工作，协助保障国家、省、市和区重大政治活动顺利进行，参与处理影响社会政治稳定的突发性、群体性事件。</w:t>
      </w:r>
    </w:p>
    <w:p>
      <w:pPr>
        <w:pStyle w:val="17"/>
      </w:pPr>
      <w:r>
        <w:t>(五)督促检查和指导镇（街道）党委（党工委）、政府（办事处）和区直有关部门的信访工作。对镇（街道）党委（党工委）、政府（办事处）和区直有关部门信访工作年度责任目标进行考核，对全区社会治安综合治理和维护社会政治稳定年度责任目标中有关信访工作进行考核。</w:t>
      </w:r>
    </w:p>
    <w:p>
      <w:pPr>
        <w:pStyle w:val="17"/>
      </w:pPr>
      <w:r>
        <w:t>(六)协助国家信访局、省信访局、市信访局处理开平区群众进京、赴省、到市上访工作，综合协调处理跨地区、跨部门、跨行业的重要信访问题，协助公安机关维护区委、区政府机关正常工作秩序。</w:t>
      </w:r>
    </w:p>
    <w:p>
      <w:pPr>
        <w:pStyle w:val="17"/>
      </w:pPr>
      <w:r>
        <w:t>(七) 负责区级领导和区直部门领导公开接访和包联案件的组织协调工作。</w:t>
      </w:r>
    </w:p>
    <w:p>
      <w:pPr>
        <w:pStyle w:val="17"/>
      </w:pPr>
      <w:r>
        <w:t>(八) 承担开平区信访工作联席会议的日常工作，督促落实联席会议决定的事项。</w:t>
      </w:r>
    </w:p>
    <w:p>
      <w:pPr>
        <w:pStyle w:val="17"/>
      </w:pPr>
      <w:r>
        <w:t>(九) 完成区委、区政府以及国家信访局、省信访局、市信访局交办的其他任务。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按照预算管理有关规定，目前部门预算的编制实行综合预算管理，即全部收入和支出都反映在预算中。唐山市开平区信访局机关及所属事业单位的收支包含在部门预算中。</w:t>
      </w:r>
    </w:p>
    <w:p>
      <w:pPr>
        <w:pStyle w:val="18"/>
      </w:pPr>
      <w:r>
        <w:t>1、收入说明</w:t>
      </w:r>
    </w:p>
    <w:p>
      <w:pPr>
        <w:pStyle w:val="18"/>
      </w:pPr>
      <w:r>
        <w:t>反映本部门当年全部收入。2025年预算收入1386.62万元，其中：一般公共预算收入1386.62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信访局年度部门预算中支出预算的总体情况。2025年支出预算1386.62万元，其中基本支出186.62万元，包括人员经费169.52万元和日常公用经费17.10万元；项目支出1200.00万元，主要用于维护全区的信访维稳工作。</w:t>
      </w:r>
    </w:p>
    <w:p>
      <w:pPr>
        <w:pStyle w:val="18"/>
      </w:pPr>
      <w:r>
        <w:t>3、比上年增减情况</w:t>
      </w:r>
    </w:p>
    <w:p>
      <w:pPr>
        <w:pStyle w:val="18"/>
      </w:pPr>
      <w:r>
        <w:t>2025年预算收支安排1386.62万元，较2024年预算增加383.05万元，其中：基本支出减少16.95万元，主要为人员</w:t>
      </w:r>
      <w:r>
        <w:rPr>
          <w:rFonts w:hint="eastAsia" w:eastAsiaTheme="minorEastAsia"/>
          <w:lang w:eastAsia="zh-CN"/>
        </w:rPr>
        <w:t>变动，支出减少。</w:t>
      </w:r>
      <w:r>
        <w:t>项目支出增加400.00万元，主要为维护全区的信访维稳工作，项目预算增加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30"/>
      </w:pPr>
      <w:r>
        <w:t>2025年，我部门机关运行经费共计安排17.10万元，主要用</w:t>
      </w:r>
      <w:r>
        <w:rPr>
          <w:rFonts w:hint="eastAsia" w:eastAsiaTheme="minorEastAsia"/>
        </w:rPr>
        <w:t>于</w:t>
      </w:r>
      <w:r>
        <w:t>日常</w:t>
      </w:r>
      <w:r>
        <w:rPr>
          <w:rFonts w:hint="eastAsia" w:eastAsiaTheme="minorEastAsia"/>
        </w:rPr>
        <w:t>办公费</w:t>
      </w:r>
      <w:r>
        <w:t>、</w:t>
      </w:r>
      <w:r>
        <w:rPr>
          <w:rFonts w:hint="eastAsia" w:eastAsiaTheme="minorEastAsia"/>
        </w:rPr>
        <w:t>邮电费</w:t>
      </w:r>
      <w:r>
        <w:t>、</w:t>
      </w:r>
      <w:r>
        <w:rPr>
          <w:rFonts w:hint="eastAsia" w:eastAsiaTheme="minorEastAsia"/>
        </w:rPr>
        <w:t>福利费、公务用车运行维护费、固定资产维修费</w:t>
      </w:r>
      <w:r>
        <w:t>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31"/>
      </w:pPr>
      <w:r>
        <w:t>2025年，我部门财政拨款“三公”经费预算安排1.80万元，其中因公出国（境）费0.00万元；公务用车购置及运维费1.80万元（其中：公务用车购置费为0.00万元，公务用车运维费1.80万元)；公务接待费0.00万元。</w:t>
      </w:r>
      <w:r>
        <w:rPr>
          <w:rFonts w:hint="eastAsia" w:eastAsiaTheme="minorEastAsia"/>
        </w:rPr>
        <w:t>2</w:t>
      </w:r>
      <w:r>
        <w:t>025年我</w:t>
      </w:r>
      <w:r>
        <w:rPr>
          <w:rFonts w:hint="eastAsia" w:eastAsiaTheme="minorEastAsia"/>
        </w:rPr>
        <w:t>部门</w:t>
      </w:r>
      <w:r>
        <w:t>“三公”经费预算安排1.8万元，与2024年相比减少0.20万元，</w:t>
      </w:r>
      <w:bookmarkStart w:id="13" w:name="_Toc_3_3_0000000014"/>
      <w:r>
        <w:t>增减变化的主要原因是</w:t>
      </w:r>
      <w:r>
        <w:rPr>
          <w:rFonts w:hint="eastAsia" w:eastAsiaTheme="minorEastAsia"/>
        </w:rPr>
        <w:t>财政统一</w:t>
      </w:r>
      <w:r>
        <w:t>预算安排。</w:t>
      </w:r>
    </w:p>
    <w:p>
      <w:pPr>
        <w:pStyle w:val="20"/>
      </w:pPr>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坚持以人民为中心思想，以社会治理创新为动力，以解决群众合理诉求为核心，强化党政同抓，一岗双责机制，持续打造“责任信访、法治信访、阳光信访”。畅通信访渠道，规范信访秩序，不断创新信访工作机制，着力推进“事要解决”极大地调动信访工作的积极性。提前入手，做好矛盾纠纷排查化解工作，不断完善制度，建立信访工作长效运行机制，更好地维护群众合法权益、维护全区和谐稳定。</w:t>
      </w:r>
    </w:p>
    <w:p>
      <w:pPr>
        <w:pStyle w:val="21"/>
      </w:pPr>
    </w:p>
    <w:p>
      <w:pPr>
        <w:pStyle w:val="21"/>
      </w:pPr>
    </w:p>
    <w:p>
      <w:pPr>
        <w:spacing w:line="500" w:lineRule="exact"/>
        <w:ind w:firstLine="560"/>
      </w:pPr>
      <w:r>
        <w:rPr>
          <w:rFonts w:eastAsia="方正仿宋_GBK"/>
          <w:color w:val="000000"/>
          <w:sz w:val="28"/>
        </w:rPr>
        <w:t>（二）分项绩效目标</w:t>
      </w:r>
    </w:p>
    <w:p>
      <w:pPr>
        <w:pStyle w:val="22"/>
      </w:pPr>
      <w:r>
        <w:t>1、信访维稳：</w:t>
      </w:r>
    </w:p>
    <w:p>
      <w:pPr>
        <w:pStyle w:val="22"/>
      </w:pPr>
      <w:r>
        <w:t>绩效目标：及时接人劝返，搭建沟通平台，畅通信访渠道，减少信访案件，维护社会和谐稳定。</w:t>
      </w:r>
    </w:p>
    <w:p>
      <w:pPr>
        <w:pStyle w:val="22"/>
      </w:pPr>
      <w:r>
        <w:t>绩效指标：提高办案质量，严格做到“三到位一处理”，实现“件件有着落，事事有回音”。进京到重点地区访、进京集体访、进京个体访、赴省集体访、赴省个体访大幅度下降，力争同比下降30%以上。中省转交办信访事项“三率”大幅提升，信访机构和有权机关及时受理率、按期答复率达到100%。</w:t>
      </w:r>
    </w:p>
    <w:p>
      <w:pPr>
        <w:pStyle w:val="22"/>
      </w:pPr>
      <w:r>
        <w:t>2、信访事项管理：</w:t>
      </w:r>
    </w:p>
    <w:p>
      <w:pPr>
        <w:pStyle w:val="22"/>
      </w:pPr>
      <w:r>
        <w:t>绩效目标：广泛宣传《信访条例》，进一步提高信访干部业务能力；吸收可行性建议，改进信访工作；提高信访信息化应用水平，保障机要邮件正常传递和信访群众工作中心正常运转；确保会议正常召开。</w:t>
      </w:r>
    </w:p>
    <w:p>
      <w:pPr>
        <w:pStyle w:val="22"/>
      </w:pPr>
      <w:r>
        <w:t>绩效指标：100%的贯彻落实《信访条例》，引导群众依法有序信访；实现办公自动化、网络化、智能化100%覆盖。</w:t>
      </w:r>
    </w:p>
    <w:p>
      <w:pPr>
        <w:pStyle w:val="22"/>
      </w:pPr>
    </w:p>
    <w:p>
      <w:pPr>
        <w:pStyle w:val="22"/>
      </w:pPr>
    </w:p>
    <w:p>
      <w:pPr>
        <w:spacing w:line="500" w:lineRule="exact"/>
        <w:ind w:firstLine="560"/>
      </w:pPr>
      <w:r>
        <w:rPr>
          <w:rFonts w:eastAsia="方正仿宋_GBK"/>
          <w:color w:val="000000"/>
          <w:sz w:val="28"/>
        </w:rPr>
        <w:t>（三）工作保障措施</w:t>
      </w:r>
    </w:p>
    <w:p>
      <w:pPr>
        <w:pStyle w:val="23"/>
      </w:pPr>
      <w:r>
        <w:t>一是持续用力推进领导干部包联化解积案工作。对本辖区范围内重点疑难信访案件，特别是集中治理重复访、越级访、重点地区访、集体访、涉军访及重点隐患进行定期梳理，并按照分包原则，全部落实县级领导分包。推进乡镇领导干部做到随有随包，按照“五包”责任制要求和 “三到位、一处理”标准，亲自接访下访、调查核实问题、研究处理意见，力促问题解决。</w:t>
      </w:r>
    </w:p>
    <w:p>
      <w:pPr>
        <w:pStyle w:val="23"/>
      </w:pPr>
      <w:r>
        <w:t>二是持续打造高质量“阳光信访”平台。河北省阳光信访工作平台已于今年完成全面改换运行，实现了前台受理办理和后台督查分析并重。力争明年把信访信息系统各项功能整合起来，实现全流程的规范化。进一步做好平台应用的宣传、把好事办好、让群众好信访干部都觉得“好用、管用、爱用”，真正用科技的力量将信访工作提质体效。</w:t>
      </w:r>
    </w:p>
    <w:p>
      <w:pPr>
        <w:pStyle w:val="23"/>
        <w:sectPr>
          <w:pgSz w:w="16840" w:h="11900" w:orient="landscape"/>
          <w:pgMar w:top="1361" w:right="1020" w:bottom="1361" w:left="1020" w:header="720" w:footer="720" w:gutter="0"/>
          <w:cols w:space="720" w:num="1"/>
        </w:sectPr>
      </w:pPr>
      <w:r>
        <w:t>三是持续做好群众来访接待工作。牢固树立宗旨意识，践行</w:t>
      </w:r>
      <w:r>
        <w:rPr>
          <w:rFonts w:hint="eastAsia"/>
          <w:lang w:eastAsia="zh-CN"/>
        </w:rPr>
        <w:t>以人民为中心的发展思想</w:t>
      </w:r>
      <w:r>
        <w:t>，突出便民利民，不断畅通信访渠道，认真做好群众来访接待工作，全面推进让群众“最多访一次”更加有力有效消解矛盾积淀。结合防疫工作要求，做好来访群众场所疫情防控工作，严格落实属地防控要求和卫生安全措施，完善各项应急预案，坚决防止出现交叉感染和聚集性病例，做到信访接待场所“零传染”。</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1、本级信访维稳经费绩效目标表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13020525P00909110006P</w:t>
            </w:r>
          </w:p>
        </w:tc>
        <w:tc>
          <w:tcPr>
            <w:tcW w:w="2835" w:type="dxa"/>
            <w:vAlign w:val="center"/>
          </w:tcPr>
          <w:p>
            <w:pPr>
              <w:pStyle w:val="10"/>
            </w:pPr>
            <w:r>
              <w:t>项目名称</w:t>
            </w:r>
          </w:p>
        </w:tc>
        <w:tc>
          <w:tcPr>
            <w:tcW w:w="6095" w:type="dxa"/>
            <w:gridSpan w:val="3"/>
            <w:vAlign w:val="center"/>
          </w:tcPr>
          <w:p>
            <w:pPr>
              <w:pStyle w:val="12"/>
            </w:pPr>
            <w:r>
              <w:t>本级信访维稳经费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1200.00</w:t>
            </w:r>
          </w:p>
        </w:tc>
        <w:tc>
          <w:tcPr>
            <w:tcW w:w="2835" w:type="dxa"/>
            <w:vAlign w:val="center"/>
          </w:tcPr>
          <w:p>
            <w:pPr>
              <w:pStyle w:val="10"/>
            </w:pPr>
            <w:r>
              <w:t>其中：财政    资金</w:t>
            </w:r>
          </w:p>
        </w:tc>
        <w:tc>
          <w:tcPr>
            <w:tcW w:w="2551" w:type="dxa"/>
            <w:vAlign w:val="center"/>
          </w:tcPr>
          <w:p>
            <w:pPr>
              <w:pStyle w:val="12"/>
            </w:pPr>
            <w:r>
              <w:t>1200.00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用于全区的信访稳定工作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参与全区社会治安综合治理和维护社会政治稳定工作，协助保障中、省、市区重大政治活动顺利进行，信访案件及时化解及群众工作中心日常工作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登记接待群众来访数量</w:t>
            </w:r>
          </w:p>
        </w:tc>
        <w:tc>
          <w:tcPr>
            <w:tcW w:w="5386" w:type="dxa"/>
            <w:vAlign w:val="center"/>
          </w:tcPr>
          <w:p>
            <w:pPr>
              <w:pStyle w:val="12"/>
            </w:pPr>
            <w:r>
              <w:t xml:space="preserve"> 畅通信访渠道，提高信访事项办理的质量</w:t>
            </w:r>
          </w:p>
        </w:tc>
        <w:tc>
          <w:tcPr>
            <w:tcW w:w="2268" w:type="dxa"/>
            <w:vAlign w:val="center"/>
          </w:tcPr>
          <w:p>
            <w:pPr>
              <w:pStyle w:val="12"/>
            </w:pPr>
            <w:r>
              <w:t>≥50批次</w:t>
            </w:r>
          </w:p>
        </w:tc>
        <w:tc>
          <w:tcPr>
            <w:tcW w:w="1276" w:type="dxa"/>
            <w:vAlign w:val="center"/>
          </w:tcPr>
          <w:p>
            <w:pPr>
              <w:pStyle w:val="12"/>
            </w:pPr>
            <w:r>
              <w:t xml:space="preserve"> 畅通信访渠道，提高信访事项办理的质量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信访案件及时受理率，按期办结率</w:t>
            </w:r>
          </w:p>
        </w:tc>
        <w:tc>
          <w:tcPr>
            <w:tcW w:w="5386" w:type="dxa"/>
            <w:vAlign w:val="center"/>
          </w:tcPr>
          <w:p>
            <w:pPr>
              <w:pStyle w:val="12"/>
            </w:pPr>
            <w:r>
              <w:t xml:space="preserve"> 信访事项及时受理的情况</w:t>
            </w:r>
          </w:p>
        </w:tc>
        <w:tc>
          <w:tcPr>
            <w:tcW w:w="2268" w:type="dxa"/>
            <w:vAlign w:val="center"/>
          </w:tcPr>
          <w:p>
            <w:pPr>
              <w:pStyle w:val="12"/>
            </w:pPr>
            <w:r>
              <w:t>≥30件</w:t>
            </w:r>
          </w:p>
        </w:tc>
        <w:tc>
          <w:tcPr>
            <w:tcW w:w="1276" w:type="dxa"/>
            <w:vAlign w:val="center"/>
          </w:tcPr>
          <w:p>
            <w:pPr>
              <w:pStyle w:val="12"/>
            </w:pPr>
            <w:r>
              <w:t xml:space="preserve"> 信访事项及时受理的情况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项目完成率</w:t>
            </w:r>
          </w:p>
        </w:tc>
        <w:tc>
          <w:tcPr>
            <w:tcW w:w="5386" w:type="dxa"/>
            <w:vAlign w:val="center"/>
          </w:tcPr>
          <w:p>
            <w:pPr>
              <w:pStyle w:val="12"/>
            </w:pPr>
            <w:r>
              <w:t>完成时限</w:t>
            </w:r>
          </w:p>
        </w:tc>
        <w:tc>
          <w:tcPr>
            <w:tcW w:w="2268" w:type="dxa"/>
            <w:vAlign w:val="center"/>
          </w:tcPr>
          <w:p>
            <w:pPr>
              <w:pStyle w:val="12"/>
            </w:pPr>
            <w:r>
              <w:t>12月底之前</w:t>
            </w:r>
          </w:p>
        </w:tc>
        <w:tc>
          <w:tcPr>
            <w:tcW w:w="1276" w:type="dxa"/>
            <w:vAlign w:val="center"/>
          </w:tcPr>
          <w:p>
            <w:pPr>
              <w:pStyle w:val="12"/>
            </w:pPr>
            <w:r>
              <w:t>项目的完成情况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资金使用率</w:t>
            </w:r>
          </w:p>
        </w:tc>
        <w:tc>
          <w:tcPr>
            <w:tcW w:w="5386" w:type="dxa"/>
            <w:vAlign w:val="center"/>
          </w:tcPr>
          <w:p>
            <w:pPr>
              <w:pStyle w:val="12"/>
            </w:pPr>
            <w:r>
              <w:t>用于全国、省、市两会期间信访维稳经费；长期驻京赴省值班人员经费；化解信访案件经费以及日常工作经费</w:t>
            </w:r>
          </w:p>
        </w:tc>
        <w:tc>
          <w:tcPr>
            <w:tcW w:w="2268" w:type="dxa"/>
            <w:vAlign w:val="center"/>
          </w:tcPr>
          <w:p>
            <w:pPr>
              <w:pStyle w:val="12"/>
            </w:pPr>
            <w:r>
              <w:t>≤年初预算数</w:t>
            </w:r>
          </w:p>
        </w:tc>
        <w:tc>
          <w:tcPr>
            <w:tcW w:w="1276" w:type="dxa"/>
            <w:vAlign w:val="center"/>
          </w:tcPr>
          <w:p>
            <w:pPr>
              <w:pStyle w:val="12"/>
            </w:pPr>
            <w:r>
              <w:t>资金使用情况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信访工作宣传落实率</w:t>
            </w:r>
          </w:p>
        </w:tc>
        <w:tc>
          <w:tcPr>
            <w:tcW w:w="5386" w:type="dxa"/>
            <w:vAlign w:val="center"/>
          </w:tcPr>
          <w:p>
            <w:pPr>
              <w:pStyle w:val="12"/>
            </w:pPr>
            <w:r>
              <w:t xml:space="preserve"> 信访工作宣传执行情况</w:t>
            </w:r>
          </w:p>
        </w:tc>
        <w:tc>
          <w:tcPr>
            <w:tcW w:w="2268" w:type="dxa"/>
            <w:vAlign w:val="center"/>
          </w:tcPr>
          <w:p>
            <w:pPr>
              <w:pStyle w:val="12"/>
            </w:pPr>
            <w:r>
              <w:t>≥4次</w:t>
            </w:r>
          </w:p>
        </w:tc>
        <w:tc>
          <w:tcPr>
            <w:tcW w:w="1276" w:type="dxa"/>
            <w:vAlign w:val="center"/>
          </w:tcPr>
          <w:p>
            <w:pPr>
              <w:pStyle w:val="12"/>
            </w:pPr>
            <w:r>
              <w:t xml:space="preserve"> 信访工作宣传次数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形成信访工作法制化、规范化</w:t>
            </w:r>
          </w:p>
        </w:tc>
        <w:tc>
          <w:tcPr>
            <w:tcW w:w="5386" w:type="dxa"/>
            <w:vAlign w:val="center"/>
          </w:tcPr>
          <w:p>
            <w:pPr>
              <w:pStyle w:val="12"/>
            </w:pPr>
            <w:r>
              <w:t>信访形势持续好转</w:t>
            </w:r>
          </w:p>
        </w:tc>
        <w:tc>
          <w:tcPr>
            <w:tcW w:w="2268" w:type="dxa"/>
            <w:vAlign w:val="center"/>
          </w:tcPr>
          <w:p>
            <w:pPr>
              <w:pStyle w:val="12"/>
            </w:pPr>
            <w:r>
              <w:t xml:space="preserve"> 效果明显</w:t>
            </w:r>
          </w:p>
        </w:tc>
        <w:tc>
          <w:tcPr>
            <w:tcW w:w="1276" w:type="dxa"/>
            <w:vAlign w:val="center"/>
          </w:tcPr>
          <w:p>
            <w:pPr>
              <w:pStyle w:val="12"/>
            </w:pPr>
            <w:r>
              <w:t>信访形势持续好转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信访群众满意度</w:t>
            </w:r>
          </w:p>
        </w:tc>
        <w:tc>
          <w:tcPr>
            <w:tcW w:w="5386" w:type="dxa"/>
            <w:vAlign w:val="center"/>
          </w:tcPr>
          <w:p>
            <w:pPr>
              <w:pStyle w:val="12"/>
            </w:pPr>
            <w:r>
              <w:t xml:space="preserve"> 信访群众满意度</w:t>
            </w:r>
          </w:p>
        </w:tc>
        <w:tc>
          <w:tcPr>
            <w:tcW w:w="2268" w:type="dxa"/>
            <w:vAlign w:val="center"/>
          </w:tcPr>
          <w:p>
            <w:pPr>
              <w:pStyle w:val="12"/>
            </w:pPr>
            <w:r>
              <w:t>≥95%</w:t>
            </w:r>
          </w:p>
        </w:tc>
        <w:tc>
          <w:tcPr>
            <w:tcW w:w="1276" w:type="dxa"/>
            <w:vAlign w:val="center"/>
          </w:tcPr>
          <w:p>
            <w:pPr>
              <w:pStyle w:val="12"/>
            </w:pPr>
            <w:r>
              <w:t xml:space="preserve"> 信访群众满意度</w:t>
            </w:r>
          </w:p>
        </w:tc>
      </w:tr>
    </w:tbl>
    <w:p>
      <w:pPr>
        <w:sectPr>
          <w:type w:val="continuous"/>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289唐山市开平区信访局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1.65</w:t>
            </w:r>
          </w:p>
        </w:tc>
        <w:tc>
          <w:tcPr>
            <w:tcW w:w="964" w:type="dxa"/>
            <w:vAlign w:val="center"/>
          </w:tcPr>
          <w:p>
            <w:pPr>
              <w:pStyle w:val="15"/>
            </w:pPr>
            <w:r>
              <w:t>1.65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唐山市开平区信访局本级小计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1.65</w:t>
            </w:r>
          </w:p>
        </w:tc>
        <w:tc>
          <w:tcPr>
            <w:tcW w:w="964" w:type="dxa"/>
            <w:vAlign w:val="center"/>
          </w:tcPr>
          <w:p>
            <w:pPr>
              <w:pStyle w:val="15"/>
            </w:pPr>
            <w:r>
              <w:t>1.65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本级信访维稳经费</w:t>
            </w:r>
          </w:p>
        </w:tc>
        <w:tc>
          <w:tcPr>
            <w:tcW w:w="964" w:type="dxa"/>
            <w:vAlign w:val="center"/>
          </w:tcPr>
          <w:p>
            <w:pPr>
              <w:pStyle w:val="11"/>
            </w:pPr>
            <w:r>
              <w:t>1200.00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本级信访维稳经费</w:t>
            </w:r>
          </w:p>
        </w:tc>
        <w:tc>
          <w:tcPr>
            <w:tcW w:w="964" w:type="dxa"/>
            <w:vAlign w:val="center"/>
          </w:tcPr>
          <w:p>
            <w:pPr>
              <w:pStyle w:val="11"/>
            </w:pPr>
            <w:r>
              <w:t>1200.00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0.65</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唐山市开平区信访局（含所属单位）上年末固定资产金额为149.65万元（详见下表）。本年度拟购置固定资产总额为</w:t>
      </w:r>
      <w:r>
        <w:rPr>
          <w:rFonts w:hint="eastAsia" w:eastAsiaTheme="minorEastAsia"/>
          <w:color w:val="000000"/>
          <w:sz w:val="28"/>
          <w:lang w:eastAsia="zh-CN"/>
        </w:rPr>
        <w:t>1.65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289唐山市开平区信访局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18</w:t>
            </w:r>
          </w:p>
        </w:tc>
        <w:tc>
          <w:tcPr>
            <w:tcW w:w="2835" w:type="dxa"/>
            <w:vAlign w:val="center"/>
          </w:tcPr>
          <w:p>
            <w:pPr>
              <w:pStyle w:val="11"/>
            </w:pPr>
            <w:r>
              <w:t>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18</w:t>
            </w:r>
          </w:p>
        </w:tc>
        <w:tc>
          <w:tcPr>
            <w:tcW w:w="2835" w:type="dxa"/>
            <w:vAlign w:val="center"/>
          </w:tcPr>
          <w:p>
            <w:pPr>
              <w:pStyle w:val="11"/>
            </w:pPr>
            <w:r>
              <w:t>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717</w:t>
            </w:r>
          </w:p>
        </w:tc>
        <w:tc>
          <w:tcPr>
            <w:tcW w:w="2835" w:type="dxa"/>
            <w:vAlign w:val="center"/>
          </w:tcPr>
          <w:p>
            <w:pPr>
              <w:pStyle w:val="11"/>
            </w:pPr>
            <w:r>
              <w:t>127.06</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52FA7"/>
    <w:rsid w:val="00052FA7"/>
    <w:rsid w:val="000B4156"/>
    <w:rsid w:val="00422362"/>
    <w:rsid w:val="005E75E9"/>
    <w:rsid w:val="007D16E5"/>
    <w:rsid w:val="00886C67"/>
    <w:rsid w:val="009903A0"/>
    <w:rsid w:val="009C5101"/>
    <w:rsid w:val="00A21B33"/>
    <w:rsid w:val="00A817B2"/>
    <w:rsid w:val="00CF0D22"/>
    <w:rsid w:val="00DD45F2"/>
    <w:rsid w:val="00EE4E67"/>
    <w:rsid w:val="00F4060C"/>
    <w:rsid w:val="00F47CF1"/>
    <w:rsid w:val="07C21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 w:type="paragraph" w:customStyle="1" w:styleId="30">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1706</Words>
  <Characters>9727</Characters>
  <Lines>81</Lines>
  <Paragraphs>22</Paragraphs>
  <TotalTime>397</TotalTime>
  <ScaleCrop>false</ScaleCrop>
  <LinksUpToDate>false</LinksUpToDate>
  <CharactersWithSpaces>11411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2025-02-11T07:18:00Z</dcterms:created>
  <dc:creator>Administrator</dc:creator>
  <cp:lastModifiedBy>hp</cp:lastModifiedBy>
  <dcterms:modified xsi:type="dcterms:W3CDTF">2025-02-18T07:03:28Z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