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media/image1.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pPr>
      <w:bookmarkStart w:id="0" w:name="_GoBack"/>
      <w:bookmarkEnd w:id="0"/>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4"/>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5"/>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6"/>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BZqWWv2AAAAAsBAAAPAAAAAAAA&#10;AAEAIAAAACIAAABkcnMvZG93bnJldi54bWxQSwECFAAUAAAACACHTuJA5W10YaABAAARAwAADgAA&#10;AAAAAAABACAAAAAnAQAAZHJzL2Uyb0RvYy54bWxQSwUGAAAAAAYABgBZAQAAOQUAAAAA&#10;">
                <v:fill on="f" focussize="0,0"/>
                <v:stroke on="f"/>
                <v:imagedata o:title=""/>
                <o:lock v:ext="edit" aspectratio="f"/>
                <v:textbox>
                  <w:txbxContent>
                    <w:p>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pPr>
    </w:p>
    <w:p>
      <w:pPr>
        <w:widowControl/>
        <w:jc w:val="left"/>
        <w:rPr>
          <w:rFonts w:hint="eastAsia"/>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287001</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：唐山市开平区委老干部局(本级)</w:t>
      </w:r>
    </w:p>
    <w:p>
      <w:pPr>
        <w:spacing w:line="600" w:lineRule="auto"/>
        <w:jc w:val="left"/>
        <w:rPr>
          <w:rFonts w:hint="default" w:ascii="楷体_GB2312" w:hAnsi="楷体_GB2312" w:eastAsia="楷体_GB2312" w:cs="楷体_GB2312"/>
          <w:color w:val="000000"/>
          <w:sz w:val="40"/>
          <w:szCs w:val="40"/>
          <w:lang w:val="en-US" w:eastAsia="zh-CN"/>
        </w:rPr>
      </w:pPr>
    </w:p>
    <w:p>
      <w:pPr>
        <w:spacing w:line="600" w:lineRule="auto"/>
        <w:jc w:val="center"/>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二〇二四年八月</w:t>
      </w:r>
    </w:p>
    <w:p>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pPr>
        <w:spacing w:line="600" w:lineRule="auto"/>
        <w:jc w:val="center"/>
        <w:rPr>
          <w:rFonts w:hint="eastAsia" w:ascii="楷体_GB2312" w:hAnsi="楷体_GB2312" w:eastAsia="楷体_GB2312" w:cs="楷体_GB2312"/>
          <w:color w:val="000000"/>
          <w:sz w:val="40"/>
          <w:szCs w:val="40"/>
        </w:rPr>
      </w:pPr>
    </w:p>
    <w:p>
      <w:pPr>
        <w:rPr>
          <w:rFonts w:ascii="黑体" w:hAnsi="黑体" w:eastAsia="黑体" w:cs="黑体"/>
          <w:b/>
          <w:bCs/>
          <w:sz w:val="72"/>
          <w:szCs w:val="96"/>
        </w:rPr>
      </w:pPr>
    </w:p>
    <w:p>
      <w:pPr>
        <w:rPr>
          <w:rFonts w:ascii="黑体" w:hAnsi="黑体" w:eastAsia="黑体" w:cs="黑体"/>
          <w:b/>
          <w:bCs/>
          <w:sz w:val="72"/>
          <w:szCs w:val="96"/>
        </w:rPr>
      </w:pPr>
    </w:p>
    <w:p>
      <w:pPr>
        <w:rPr>
          <w:rFonts w:ascii="黑体" w:hAnsi="黑体" w:eastAsia="黑体" w:cs="黑体"/>
          <w:b/>
          <w:bCs/>
          <w:sz w:val="72"/>
          <w:szCs w:val="96"/>
        </w:rPr>
      </w:pPr>
      <w:r>
        <w:rPr>
          <w:rFonts w:hint="eastAsia" w:ascii="黑体" w:hAnsi="黑体" w:eastAsia="黑体" w:cs="黑体"/>
          <w:b/>
          <w:bCs/>
          <w:sz w:val="72"/>
          <w:szCs w:val="96"/>
        </w:rPr>
        <w:t>2023年度部门决算公开文本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both"/>
        <w:rPr>
          <w:rFonts w:ascii="黑体" w:hAnsi="黑体" w:eastAsia="黑体" w:cs="黑体"/>
          <w:sz w:val="56"/>
          <w:szCs w:val="72"/>
        </w:rPr>
      </w:pPr>
    </w:p>
    <w:p>
      <w:pPr>
        <w:snapToGrid w:val="0"/>
        <w:jc w:val="center"/>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中共开平区委老干部局</w:t>
      </w:r>
    </w:p>
    <w:p>
      <w:pPr>
        <w:snapToGrid w:val="0"/>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3"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二〇二四年八月</w:t>
      </w:r>
    </w:p>
    <w:p>
      <w:pPr>
        <w:widowControl/>
        <w:spacing w:line="600" w:lineRule="exact"/>
        <w:jc w:val="left"/>
        <w:rPr>
          <w:rFonts w:ascii="黑体" w:hAnsi="黑体" w:eastAsia="黑体" w:cs="黑体"/>
          <w:bCs/>
          <w:sz w:val="32"/>
          <w:szCs w:val="32"/>
        </w:rPr>
      </w:pPr>
    </w:p>
    <w:p>
      <w:pPr>
        <w:rPr>
          <w:rFonts w:hint="eastAsia" w:ascii="仿宋" w:hAnsi="仿宋" w:eastAsia="仿宋" w:cs="仿宋"/>
          <w:sz w:val="32"/>
          <w:szCs w:val="32"/>
        </w:rPr>
      </w:pPr>
      <w:r>
        <w:rPr>
          <w:rFonts w:hint="eastAsia" w:ascii="仿宋" w:hAnsi="仿宋" w:eastAsia="仿宋" w:cs="仿宋"/>
          <w:sz w:val="32"/>
          <w:szCs w:val="32"/>
        </w:rPr>
        <w:t>注：</w:t>
      </w:r>
    </w:p>
    <w:p>
      <w:pPr>
        <w:rPr>
          <w:rFonts w:hint="eastAsia" w:ascii="仿宋" w:hAnsi="仿宋" w:eastAsia="仿宋" w:cs="仿宋"/>
          <w:sz w:val="32"/>
          <w:szCs w:val="32"/>
        </w:rPr>
      </w:pPr>
      <w:r>
        <w:rPr>
          <w:rFonts w:hint="eastAsia" w:ascii="仿宋" w:hAnsi="仿宋" w:eastAsia="仿宋" w:cs="仿宋"/>
          <w:sz w:val="32"/>
          <w:szCs w:val="32"/>
        </w:rPr>
        <w:t>一、本模板所有标黄部分需要在正式文本中予以删除。</w:t>
      </w:r>
    </w:p>
    <w:p>
      <w:pPr>
        <w:rPr>
          <w:rFonts w:hint="eastAsia" w:ascii="仿宋" w:hAnsi="仿宋" w:eastAsia="仿宋" w:cs="仿宋"/>
          <w:sz w:val="32"/>
          <w:szCs w:val="32"/>
        </w:rPr>
      </w:pPr>
      <w:r>
        <w:rPr>
          <w:rFonts w:hint="eastAsia" w:ascii="仿宋" w:hAnsi="仿宋" w:eastAsia="仿宋" w:cs="仿宋"/>
          <w:sz w:val="32"/>
          <w:szCs w:val="32"/>
        </w:rPr>
        <w:t>二、情况说明</w:t>
      </w:r>
    </w:p>
    <w:p>
      <w:pPr>
        <w:rPr>
          <w:rFonts w:hint="eastAsia" w:ascii="仿宋" w:hAnsi="仿宋" w:eastAsia="仿宋" w:cs="仿宋"/>
          <w:sz w:val="32"/>
          <w:szCs w:val="32"/>
        </w:rPr>
      </w:pPr>
      <w:r>
        <w:rPr>
          <w:rFonts w:hint="eastAsia" w:ascii="仿宋" w:hAnsi="仿宋" w:eastAsia="仿宋" w:cs="仿宋"/>
          <w:sz w:val="32"/>
          <w:szCs w:val="32"/>
        </w:rPr>
        <w:t>1. 情况说明公开格式供大家参考，各部门在撰写公开情况说明时，应至少包括但不限于模板中的公开说明内容。</w:t>
      </w:r>
    </w:p>
    <w:p>
      <w:pPr>
        <w:rPr>
          <w:rFonts w:hint="eastAsia" w:ascii="仿宋" w:hAnsi="仿宋" w:eastAsia="仿宋" w:cs="仿宋"/>
          <w:sz w:val="32"/>
          <w:szCs w:val="32"/>
        </w:rPr>
      </w:pPr>
      <w:r>
        <w:rPr>
          <w:rFonts w:hint="eastAsia" w:ascii="仿宋" w:hAnsi="仿宋" w:eastAsia="仿宋" w:cs="仿宋"/>
          <w:sz w:val="32"/>
          <w:szCs w:val="32"/>
        </w:rPr>
        <w:t>2. 说明中出现增加（减少）、增长（降低）、情况一/二等需要部门进行选择使用情况的，根据实际情况选择，不可再保留“增加（减少），增长（降低）”等字样；</w:t>
      </w:r>
    </w:p>
    <w:p>
      <w:pPr>
        <w:rPr>
          <w:rFonts w:hint="eastAsia" w:ascii="仿宋" w:hAnsi="仿宋" w:eastAsia="仿宋" w:cs="仿宋"/>
          <w:sz w:val="32"/>
          <w:szCs w:val="32"/>
        </w:rPr>
      </w:pPr>
      <w:r>
        <w:rPr>
          <w:rFonts w:hint="eastAsia" w:ascii="仿宋" w:hAnsi="仿宋" w:eastAsia="仿宋" w:cs="仿宋"/>
          <w:sz w:val="32"/>
          <w:szCs w:val="32"/>
        </w:rPr>
        <w:t>三、公开表样</w:t>
      </w:r>
    </w:p>
    <w:p>
      <w:pPr>
        <w:rPr>
          <w:rFonts w:hint="eastAsia" w:ascii="仿宋" w:hAnsi="仿宋" w:eastAsia="仿宋" w:cs="仿宋"/>
          <w:sz w:val="32"/>
          <w:szCs w:val="32"/>
        </w:rPr>
      </w:pPr>
      <w:r>
        <w:rPr>
          <w:rFonts w:hint="eastAsia" w:ascii="仿宋" w:hAnsi="仿宋" w:eastAsia="仿宋" w:cs="仿宋"/>
          <w:sz w:val="32"/>
          <w:szCs w:val="32"/>
        </w:rPr>
        <w:t>1. 公开表样所有9张表格均应公开列示，单位万元，保留两位小数。</w:t>
      </w:r>
    </w:p>
    <w:p>
      <w:pPr>
        <w:rPr>
          <w:rFonts w:hint="eastAsia" w:ascii="仿宋" w:hAnsi="仿宋" w:eastAsia="仿宋" w:cs="仿宋"/>
          <w:sz w:val="32"/>
          <w:szCs w:val="32"/>
        </w:rPr>
      </w:pPr>
      <w:r>
        <w:rPr>
          <w:rFonts w:hint="eastAsia" w:ascii="仿宋" w:hAnsi="仿宋" w:eastAsia="仿宋" w:cs="仿宋"/>
          <w:sz w:val="32"/>
          <w:szCs w:val="32"/>
        </w:rPr>
        <w:t>2. 支出功能分类细化到项级，经济分类细化到款级。</w:t>
      </w:r>
    </w:p>
    <w:p>
      <w:pPr>
        <w:rPr>
          <w:rFonts w:hint="eastAsia" w:ascii="仿宋" w:hAnsi="仿宋" w:eastAsia="仿宋" w:cs="仿宋"/>
          <w:sz w:val="32"/>
          <w:szCs w:val="32"/>
        </w:rPr>
      </w:pPr>
      <w:r>
        <w:rPr>
          <w:rFonts w:hint="eastAsia" w:ascii="仿宋" w:hAnsi="仿宋" w:eastAsia="仿宋" w:cs="仿宋"/>
          <w:sz w:val="32"/>
          <w:szCs w:val="32"/>
        </w:rPr>
        <w:t>3. 零值指标不列示数值0。</w:t>
      </w:r>
    </w:p>
    <w:p>
      <w:pPr>
        <w:rPr>
          <w:rFonts w:hint="eastAsia" w:ascii="仿宋" w:hAnsi="仿宋" w:eastAsia="仿宋" w:cs="仿宋"/>
          <w:sz w:val="32"/>
          <w:szCs w:val="32"/>
        </w:rPr>
      </w:pPr>
      <w:r>
        <w:rPr>
          <w:rFonts w:hint="eastAsia" w:ascii="仿宋" w:hAnsi="仿宋" w:eastAsia="仿宋" w:cs="仿宋"/>
          <w:sz w:val="32"/>
          <w:szCs w:val="32"/>
        </w:rPr>
        <w:t>4. 如遇空表，表下方需明确标注“本部门本年度无相关收入（或支出、收支及结转结余等）情况，按要求空表列示。”字样。</w:t>
      </w:r>
    </w:p>
    <w:p>
      <w:pPr>
        <w:rPr>
          <w:rFonts w:hint="eastAsia" w:ascii="仿宋" w:hAnsi="仿宋" w:eastAsia="仿宋" w:cs="仿宋"/>
          <w:sz w:val="32"/>
          <w:szCs w:val="32"/>
        </w:rPr>
        <w:sectPr>
          <w:headerReference r:id="rId5" w:type="first"/>
          <w:footerReference r:id="rId7" w:type="first"/>
          <w:headerReference r:id="rId4" w:type="default"/>
          <w:footerReference r:id="rId6" w:type="default"/>
          <w:pgSz w:w="11906" w:h="16838"/>
          <w:pgMar w:top="2041" w:right="1531" w:bottom="2041" w:left="1531" w:header="851" w:footer="992" w:gutter="0"/>
          <w:pgBorders>
            <w:top w:val="none" w:sz="0" w:space="0"/>
            <w:left w:val="none" w:sz="0" w:space="0"/>
            <w:bottom w:val="none" w:sz="0" w:space="0"/>
            <w:right w:val="none" w:sz="0" w:space="0"/>
          </w:pgBorders>
          <w:cols w:space="0" w:num="1"/>
          <w:titlePg/>
          <w:docGrid w:type="lines" w:linePitch="312" w:charSpace="0"/>
        </w:sectPr>
      </w:pPr>
    </w:p>
    <w:p>
      <w:pPr>
        <w:tabs>
          <w:tab w:val="left" w:pos="2728"/>
        </w:tabs>
        <w:jc w:val="center"/>
        <w:rPr>
          <w:rFonts w:ascii="黑体" w:hAnsi="Times New Roman" w:eastAsia="黑体" w:cs="Times New Roman"/>
          <w:sz w:val="48"/>
          <w:szCs w:val="48"/>
        </w:rPr>
      </w:pPr>
    </w:p>
    <w:p>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sectPr>
          <w:headerReference r:id="rId9" w:type="first"/>
          <w:footerReference r:id="rId11" w:type="first"/>
          <w:headerReference r:id="rId8" w:type="default"/>
          <w:footerReference r:id="rId10"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rPr>
          <w:rFonts w:hint="default" w:ascii="Arial" w:hAnsi="Arial" w:eastAsia="Arial" w:cs="Arial"/>
          <w:i w:val="0"/>
          <w:iCs w:val="0"/>
          <w:caps w:val="0"/>
          <w:color w:val="000000"/>
          <w:spacing w:val="0"/>
          <w:sz w:val="18"/>
          <w:szCs w:val="18"/>
          <w:highlight w:val="none"/>
          <w:shd w:val="clear" w:fill="FFFFFF"/>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单位</w:t>
      </w:r>
      <w:r>
        <w:rPr>
          <w:rFonts w:hint="eastAsia" w:ascii="黑体" w:hAnsi="宋体" w:eastAsia="黑体" w:cs="黑体"/>
          <w:i w:val="0"/>
          <w:iCs w:val="0"/>
          <w:caps w:val="0"/>
          <w:color w:val="000000"/>
          <w:spacing w:val="0"/>
          <w:sz w:val="72"/>
          <w:szCs w:val="72"/>
          <w:highlight w:val="none"/>
          <w:shd w:val="clear" w:fill="FFFFFF"/>
        </w:rPr>
        <w:t>概况</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单位</w:t>
      </w:r>
      <w:r>
        <w:rPr>
          <w:rFonts w:hint="eastAsia" w:ascii="黑体" w:hAnsi="宋体" w:eastAsia="黑体" w:cs="黑体"/>
          <w:i w:val="0"/>
          <w:iCs w:val="0"/>
          <w:caps w:val="0"/>
          <w:color w:val="000000"/>
          <w:spacing w:val="0"/>
          <w:sz w:val="32"/>
          <w:szCs w:val="32"/>
          <w:highlight w:val="none"/>
          <w:shd w:val="clear" w:fill="FFFFFF"/>
        </w:rPr>
        <w:t>职责</w:t>
      </w: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（一）全面贯彻加强党对离退休干部工作集中统一领导要求。负 责宣传贯彻落实党中央、 国务院，省委、省政府、市委、市政府和区 委、区政府关于离退休干部工作的方针政策；起草或参与起草全区离 退休干部工作有关具体规定和办法；总结宣传全区离退休干部工作和 先进典型。</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（二）负责指导、督促、检查各级各部门离退休干部工作；组织 和协调有关部门做好离退休干部工作。</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（三）负责督促检查各级各部门落实离退休干部的政治和生活待 遇，做好走访慰问工作。抓好离休干部“ 两费 ”（离休费、医药费） 的落实；调查研究离退休干部政治和生活待遇中存在的问题，协调有 关部门提出解决办法。</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 四）加强对全区离退休干部的政治引领和教育管理。组织起草 和研究制定加强新形势下离退休干部党组织建设、做好离退休干部思 想政治工作的制度办法和措施；指导加强对离退休干部党组织书记的 教育培训工作。</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（五）指导各级老干部活动中心（站、室）、老年大学（学校） 和老干部门诊部等学习活动阵地建设与管理；指导各级老干部休养所 创新发展。</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（六）指导各级各单位组织离退休干部利用自身优势，在政治、经济、文化和青少年教育等各领域发挥作用，增添正能量。</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（七） 了解离退休干部对医疗保健方面的意见和要求。组织指导 离退休干部开展健康科学的文化健身、保健讲座、健康疗养、参观学 习等活动。</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（八）负责易地安置离休干部服务管理工作；代办离休荣誉证。</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（九）负责回区老干部探亲访友和各省区市县老干部工作部门到 区的联络接待工作。</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（十）会同有关部门起草治丧办法。指导逝世老干部的善后工作， 协助承办区委交办的丧葬事宜。</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（十一）承担区老干部工作领导小组的日常工作。</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Arial" w:hAnsi="Arial" w:eastAsia="Arial" w:cs="Arial"/>
          <w:i w:val="0"/>
          <w:iCs w:val="0"/>
          <w:caps w:val="0"/>
          <w:color w:val="auto"/>
          <w:spacing w:val="0"/>
          <w:sz w:val="32"/>
          <w:szCs w:val="32"/>
          <w:highlight w:val="none"/>
        </w:rPr>
      </w:pPr>
      <w:r>
        <w:rPr>
          <w:rFonts w:hint="default" w:ascii="仿宋_GB2312" w:hAnsi="仿宋_GB2312" w:eastAsia="仿宋_GB2312" w:cs="仿宋_GB2312"/>
          <w:i w:val="0"/>
          <w:iCs w:val="0"/>
          <w:caps w:val="0"/>
          <w:color w:val="auto"/>
          <w:spacing w:val="0"/>
          <w:sz w:val="32"/>
          <w:szCs w:val="32"/>
          <w:highlight w:val="none"/>
          <w:shd w:val="clear" w:fill="FFFFFF"/>
        </w:rPr>
        <w:t>（十二）完成区委交办的其他任务。</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二、机构设置</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rPr>
        <w:t>从决算编报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构成看，纳入</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2023</w:t>
      </w:r>
      <w:r>
        <w:rPr>
          <w:rFonts w:hint="default" w:ascii="仿宋_GB2312" w:hAnsi="仿宋_GB2312" w:eastAsia="仿宋_GB2312" w:cs="仿宋_GB2312"/>
          <w:i w:val="0"/>
          <w:iCs w:val="0"/>
          <w:caps w:val="0"/>
          <w:color w:val="auto"/>
          <w:spacing w:val="0"/>
          <w:sz w:val="32"/>
          <w:szCs w:val="32"/>
          <w:highlight w:val="none"/>
          <w:shd w:val="clear" w:fill="FFFFFF"/>
        </w:rPr>
        <w:t>年度</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本部门</w:t>
      </w:r>
      <w:r>
        <w:rPr>
          <w:rFonts w:hint="default" w:ascii="仿宋_GB2312" w:hAnsi="仿宋_GB2312" w:eastAsia="仿宋_GB2312" w:cs="仿宋_GB2312"/>
          <w:i w:val="0"/>
          <w:iCs w:val="0"/>
          <w:caps w:val="0"/>
          <w:color w:val="auto"/>
          <w:spacing w:val="0"/>
          <w:sz w:val="32"/>
          <w:szCs w:val="32"/>
          <w:highlight w:val="none"/>
          <w:shd w:val="clear" w:fill="FFFFFF"/>
        </w:rPr>
        <w:t>决算汇编范围的独立核算</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（以下简称“</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单位</w:t>
      </w:r>
      <w:r>
        <w:rPr>
          <w:rFonts w:hint="default" w:ascii="仿宋_GB2312" w:hAnsi="仿宋_GB2312" w:eastAsia="仿宋_GB2312" w:cs="仿宋_GB2312"/>
          <w:i w:val="0"/>
          <w:iCs w:val="0"/>
          <w:caps w:val="0"/>
          <w:color w:val="auto"/>
          <w:spacing w:val="0"/>
          <w:sz w:val="32"/>
          <w:szCs w:val="32"/>
          <w:highlight w:val="none"/>
          <w:shd w:val="clear" w:fill="FFFFFF"/>
        </w:rPr>
        <w:t>”）共</w:t>
      </w:r>
      <w:r>
        <w:rPr>
          <w:rFonts w:hint="eastAsia" w:ascii="仿宋_GB2312" w:hAnsi="仿宋_GB2312" w:eastAsia="仿宋_GB2312" w:cs="仿宋_GB2312"/>
          <w:i w:val="0"/>
          <w:iCs w:val="0"/>
          <w:caps w:val="0"/>
          <w:color w:val="auto"/>
          <w:spacing w:val="0"/>
          <w:sz w:val="32"/>
          <w:szCs w:val="32"/>
          <w:highlight w:val="none"/>
          <w:shd w:val="clear" w:fill="FFFFFF"/>
          <w:lang w:val="en-US" w:eastAsia="zh-CN"/>
        </w:rPr>
        <w:t>1</w:t>
      </w:r>
      <w:r>
        <w:rPr>
          <w:rFonts w:hint="default" w:ascii="仿宋_GB2312" w:hAnsi="仿宋_GB2312" w:eastAsia="仿宋_GB2312" w:cs="仿宋_GB2312"/>
          <w:i w:val="0"/>
          <w:iCs w:val="0"/>
          <w:caps w:val="0"/>
          <w:color w:val="auto"/>
          <w:spacing w:val="0"/>
          <w:sz w:val="32"/>
          <w:szCs w:val="32"/>
          <w:highlight w:val="none"/>
          <w:shd w:val="clear" w:fill="FFFFFF"/>
        </w:rPr>
        <w:t>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3485" w:type="dxa"/>
            <w:vAlign w:val="top"/>
          </w:tcPr>
          <w:p>
            <w:pPr>
              <w:spacing w:before="210" w:line="299" w:lineRule="auto"/>
              <w:ind w:left="123" w:leftChars="0" w:right="105" w:rightChars="0" w:firstLine="35" w:firstLineChars="0"/>
              <w:rPr>
                <w:rFonts w:ascii="仿宋_GB2312" w:hAnsi="Calibri" w:eastAsia="仿宋_GB2312" w:cs="ArialUnicodeMS"/>
                <w:kern w:val="0"/>
                <w:sz w:val="28"/>
                <w:szCs w:val="28"/>
              </w:rPr>
            </w:pPr>
            <w:r>
              <w:rPr>
                <w:rFonts w:ascii="仿宋" w:hAnsi="仿宋" w:eastAsia="仿宋" w:cs="仿宋"/>
                <w:spacing w:val="12"/>
                <w:sz w:val="28"/>
                <w:szCs w:val="28"/>
              </w:rPr>
              <w:t>中共唐山市开平区委老干</w:t>
            </w:r>
            <w:r>
              <w:rPr>
                <w:rFonts w:ascii="仿宋" w:hAnsi="仿宋" w:eastAsia="仿宋" w:cs="仿宋"/>
                <w:spacing w:val="1"/>
                <w:sz w:val="28"/>
                <w:szCs w:val="28"/>
              </w:rPr>
              <w:t xml:space="preserve"> </w:t>
            </w:r>
            <w:r>
              <w:rPr>
                <w:rFonts w:ascii="仿宋" w:hAnsi="仿宋" w:eastAsia="仿宋" w:cs="仿宋"/>
                <w:spacing w:val="-3"/>
                <w:sz w:val="28"/>
                <w:szCs w:val="28"/>
              </w:rPr>
              <w:t>部局(本级)</w:t>
            </w:r>
          </w:p>
        </w:tc>
        <w:tc>
          <w:tcPr>
            <w:tcW w:w="2445" w:type="dxa"/>
            <w:vAlign w:val="top"/>
          </w:tcPr>
          <w:p>
            <w:pPr>
              <w:spacing w:before="210" w:line="222" w:lineRule="auto"/>
              <w:ind w:left="680" w:leftChars="0"/>
              <w:rPr>
                <w:rFonts w:ascii="仿宋_GB2312" w:hAnsi="Calibri" w:eastAsia="仿宋_GB2312" w:cs="ArialUnicodeMS"/>
                <w:kern w:val="0"/>
                <w:sz w:val="28"/>
                <w:szCs w:val="28"/>
              </w:rPr>
            </w:pPr>
            <w:r>
              <w:rPr>
                <w:rFonts w:ascii="仿宋" w:hAnsi="仿宋" w:eastAsia="仿宋" w:cs="仿宋"/>
                <w:spacing w:val="-5"/>
                <w:sz w:val="28"/>
                <w:szCs w:val="28"/>
              </w:rPr>
              <w:t>行政单位</w:t>
            </w:r>
          </w:p>
        </w:tc>
        <w:tc>
          <w:tcPr>
            <w:tcW w:w="2665" w:type="dxa"/>
            <w:vAlign w:val="top"/>
          </w:tcPr>
          <w:p>
            <w:pPr>
              <w:spacing w:before="210" w:line="224" w:lineRule="auto"/>
              <w:ind w:left="791" w:leftChars="0"/>
              <w:rPr>
                <w:rFonts w:ascii="仿宋_GB2312" w:hAnsi="Calibri" w:eastAsia="仿宋_GB2312" w:cs="ArialUnicodeMS"/>
                <w:kern w:val="0"/>
                <w:sz w:val="28"/>
                <w:szCs w:val="28"/>
              </w:rPr>
            </w:pPr>
            <w:r>
              <w:rPr>
                <w:rFonts w:ascii="仿宋" w:hAnsi="仿宋" w:eastAsia="仿宋" w:cs="仿宋"/>
                <w:spacing w:val="-6"/>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eastAsia" w:ascii="仿宋_GB2312" w:hAnsi="仿宋_GB2312" w:eastAsia="仿宋_GB2312" w:cs="仿宋_GB2312"/>
          <w:i w:val="0"/>
          <w:iCs w:val="0"/>
          <w:caps w:val="0"/>
          <w:color w:val="auto"/>
          <w:spacing w:val="0"/>
          <w:sz w:val="32"/>
          <w:szCs w:val="32"/>
          <w:highlight w:val="none"/>
          <w:shd w:val="clear" w:fill="FFFFFF"/>
        </w:rPr>
      </w:pPr>
      <w:r>
        <w:rPr>
          <w:rFonts w:hint="default" w:ascii="仿宋_GB2312" w:hAnsi="仿宋_GB2312" w:eastAsia="仿宋_GB2312" w:cs="仿宋_GB2312"/>
          <w:i w:val="0"/>
          <w:iCs w:val="0"/>
          <w:caps w:val="0"/>
          <w:color w:val="auto"/>
          <w:spacing w:val="0"/>
          <w:sz w:val="32"/>
          <w:szCs w:val="32"/>
          <w:highlight w:val="none"/>
          <w:shd w:val="clear" w:fill="FFFFFF"/>
          <w:lang w:val="en-US" w:eastAsia="zh-CN"/>
        </w:rPr>
        <w:t>我部门无二级预算单位，因此，唐山市开平区支持重点建设中心2023年度部门决算即唐山市开平区支持重点建设中心本级 2023年度决算。</w:t>
      </w: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eastAsia" w:ascii="仿宋_GB2312" w:hAnsi="仿宋_GB2312" w:eastAsia="仿宋_GB2312" w:cs="仿宋_GB2312"/>
          <w:i w:val="0"/>
          <w:iCs w:val="0"/>
          <w:caps w:val="0"/>
          <w:color w:val="auto"/>
          <w:spacing w:val="0"/>
          <w:sz w:val="32"/>
          <w:szCs w:val="32"/>
          <w:highlight w:val="none"/>
          <w:shd w:val="clear" w:fill="FFFFFF"/>
        </w:rPr>
      </w:pPr>
      <w:r>
        <w:rPr>
          <w:rFonts w:hint="eastAsia" w:ascii="仿宋_GB2312" w:hAnsi="仿宋_GB2312" w:eastAsia="仿宋_GB2312" w:cs="仿宋_GB2312"/>
          <w:i w:val="0"/>
          <w:iCs w:val="0"/>
          <w:caps w:val="0"/>
          <w:color w:val="auto"/>
          <w:spacing w:val="0"/>
          <w:sz w:val="32"/>
          <w:szCs w:val="32"/>
          <w:highlight w:val="none"/>
          <w:shd w:val="clear" w:fill="FFFFFF"/>
        </w:rPr>
        <w:br w:type="page"/>
      </w:r>
    </w:p>
    <w:p>
      <w:pPr>
        <w:widowControl/>
        <w:spacing w:after="160" w:line="580" w:lineRule="exact"/>
        <w:ind w:firstLine="640" w:firstLineChars="200"/>
        <w:rPr>
          <w:rFonts w:hint="eastAsia" w:ascii="Times New Roman" w:hAnsi="Times New Roman" w:eastAsia="黑体" w:cs="Times New Roman"/>
          <w:sz w:val="32"/>
          <w:szCs w:val="32"/>
          <w:highlight w:val="yellow"/>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12"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tbl>
      <w:tblPr>
        <w:tblStyle w:val="12"/>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编制部门（单位）：唐山市开平区委老干部局(本级)</w:t>
            </w:r>
          </w:p>
        </w:tc>
        <w:tc>
          <w:tcPr>
            <w:tcW w:w="1262" w:type="pct"/>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356.70</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24.46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356.70</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356.82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3.24</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359.94</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359.94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2"/>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编制部门（单位）：唐山市开平区委老干部局(本级)                                                                                                         </w:t>
            </w:r>
          </w:p>
        </w:tc>
        <w:tc>
          <w:tcPr>
            <w:tcW w:w="3405"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356.70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356.70</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298.77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298.77</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党委办公厅（室）及相关机构事务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127.23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127.23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2013101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127.23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127.23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其他一般公共服务支出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171.53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171.53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2019999</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其他一般公共服务支出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171.53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171.53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23.46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23.46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23.46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23.46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23.46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23.46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24.46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24.46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21004</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公共卫生</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2100401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疾病预防控制机构</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4.24</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20.21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20.21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20.21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20.21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10.02</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2"/>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编制部门（单位）：唐山市开平区委老干部局(本级)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356.82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180.93</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175.89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298.88</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127.23</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171.65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党委办公厅（室）及相关机构事务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127.65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127.23</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2013101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127.65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127.23</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20199</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其他一般公共服务支出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171.23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171.23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2019999</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其他一般公共服务支出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171.23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171.23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23.46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23.46</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23.46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23.46</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23.46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23.46</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24.46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20.21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21004</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公共卫生</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2100401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疾病预防控制机构</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4.24</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20.21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20.21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20.21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20.21</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10.02</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10.02</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10.02</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编制部门（单位）：唐山市开平区委老干部局(本级)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356.70</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298.88</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298.88</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23.46</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23.46</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24.46</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24.46</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10.02</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10.02</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356.70</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356.82</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356.82</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3.24</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3.13</w:t>
            </w:r>
          </w:p>
        </w:tc>
        <w:tc>
          <w:tcPr>
            <w:tcW w:w="520" w:type="pct"/>
            <w:tcBorders>
              <w:top w:val="nil"/>
              <w:left w:val="nil"/>
              <w:bottom w:val="single" w:color="000000" w:sz="4" w:space="0"/>
              <w:right w:val="single" w:color="000000" w:sz="4"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3.13</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3.24</w:t>
            </w: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359.94</w:t>
            </w:r>
          </w:p>
        </w:tc>
        <w:tc>
          <w:tcPr>
            <w:tcW w:w="895" w:type="pct"/>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359.94</w:t>
            </w: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359.94</w:t>
            </w:r>
          </w:p>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2"/>
        <w:tblW w:w="5455"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83"/>
        <w:gridCol w:w="3216"/>
        <w:gridCol w:w="1044"/>
        <w:gridCol w:w="762"/>
        <w:gridCol w:w="794"/>
        <w:gridCol w:w="383"/>
        <w:gridCol w:w="12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856"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编制部门（单位）：唐山市开平区委老干部局(本级)</w:t>
            </w:r>
          </w:p>
        </w:tc>
        <w:tc>
          <w:tcPr>
            <w:tcW w:w="1551" w:type="pct"/>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1" w:type="pct"/>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52"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4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9"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3"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9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4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9"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3"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3"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447"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356.82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180.93</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175.89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298.88</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127.23</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171.65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党委办公厅（室）及相关机构事务</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127.65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127.23</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2013101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127.65</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127.23</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20199</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其他一般公共服务支出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171.23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2019999</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其他一般公共服务支出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171.23</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171.23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23.46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23.46</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23.46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23.46</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23.46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23.46</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24.46</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20.21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21004</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公共卫生</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2100401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疾病预防控制机构</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4.24</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20.21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20.21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20.21</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20.21</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10.02</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10.02</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69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48"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10.02</w:t>
            </w:r>
          </w:p>
        </w:tc>
        <w:tc>
          <w:tcPr>
            <w:tcW w:w="1169"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10.02</w:t>
            </w:r>
          </w:p>
        </w:tc>
        <w:tc>
          <w:tcPr>
            <w:tcW w:w="1213"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编制部门（单位）：唐山市开平区委老干部局(本级)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140.17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19.92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43.26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3.59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33.46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8.68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6.12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12.72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5.02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3.75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20.21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0.67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10.02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20.67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20.65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0.83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2.50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4.67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3.54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160.84</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20.09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2"/>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27"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编制部门（单位）：唐山市开平区委老干部局(本级)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注：本表反映部门本年度政府性基金预算财政拨款收入、支出及结转和结余情况。本年度无相关收入支出情况，按要求空表列示。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708" w:type="pct"/>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编制部门（单位）：唐山市开平区委老干部局(本级)</w:t>
            </w:r>
          </w:p>
        </w:tc>
        <w:tc>
          <w:tcPr>
            <w:tcW w:w="1666" w:type="pct"/>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2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484" w:type="pct"/>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15" w:type="pct"/>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484" w:type="pct"/>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260"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831" w:type="pct"/>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831" w:type="pct"/>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821" w:type="pct"/>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54" w:type="pct"/>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60" w:type="pct"/>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31" w:type="pct"/>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21"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828"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828"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82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515" w:type="pct"/>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828" w:type="pct"/>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28"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注：本表反映部门本年度国有资本经营预算财政拨款支出情况。本年度无相关收入支出情况，按要求空表列示。</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编制部门（单位）：唐山市开平区委老干部局(本级)</w:t>
            </w:r>
          </w:p>
        </w:tc>
        <w:tc>
          <w:tcPr>
            <w:tcW w:w="93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2.50</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2.50</w:t>
            </w: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2.50</w:t>
            </w:r>
          </w:p>
        </w:tc>
        <w:tc>
          <w:tcPr>
            <w:tcW w:w="33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2.50</w:t>
            </w:r>
          </w:p>
        </w:tc>
        <w:tc>
          <w:tcPr>
            <w:tcW w:w="48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2.50</w:t>
            </w:r>
          </w:p>
        </w:tc>
        <w:tc>
          <w:tcPr>
            <w:tcW w:w="44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2.50</w:t>
            </w:r>
          </w:p>
        </w:tc>
        <w:tc>
          <w:tcPr>
            <w:tcW w:w="511"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bidi="ar-SA"/>
        </w:rPr>
      </w:pPr>
      <w:r>
        <w:rPr>
          <w:rFonts w:hint="default" w:ascii="Times New Roman" w:hAnsi="Times New Roman" w:eastAsia="仿宋_GB2312" w:cs="Times New Roman"/>
          <w:kern w:val="2"/>
          <w:sz w:val="32"/>
          <w:szCs w:val="32"/>
          <w:lang w:eastAsia="zh-CN"/>
        </w:rPr>
        <w:t>本单位2023年度收、支总计（含结转和结余）</w:t>
      </w:r>
      <w:r>
        <w:rPr>
          <w:rFonts w:hint="default" w:ascii="Times New Roman" w:hAnsi="Times New Roman" w:eastAsia="仿宋_GB2312" w:cs="Times New Roman"/>
          <w:kern w:val="2"/>
          <w:sz w:val="32"/>
          <w:szCs w:val="32"/>
          <w:lang w:val="zh-CN" w:eastAsia="zh-CN"/>
        </w:rPr>
        <w:t>359.94</w:t>
      </w:r>
      <w:r>
        <w:rPr>
          <w:rFonts w:hint="default" w:ascii="Times New Roman" w:hAnsi="Times New Roman" w:eastAsia="仿宋_GB2312" w:cs="Times New Roman"/>
          <w:kern w:val="2"/>
          <w:sz w:val="32"/>
          <w:szCs w:val="32"/>
          <w:lang w:eastAsia="zh-CN"/>
        </w:rPr>
        <w:t>万元。与2022年度决算相比，收支各减少</w:t>
      </w:r>
      <w:r>
        <w:rPr>
          <w:rFonts w:hint="eastAsia" w:ascii="Times New Roman" w:hAnsi="Times New Roman" w:eastAsia="仿宋_GB2312" w:cs="Times New Roman"/>
          <w:kern w:val="2"/>
          <w:sz w:val="32"/>
          <w:szCs w:val="32"/>
          <w:lang w:val="en-US" w:eastAsia="zh-CN"/>
        </w:rPr>
        <w:t>12.79</w:t>
      </w:r>
      <w:r>
        <w:rPr>
          <w:rFonts w:hint="default" w:ascii="Times New Roman" w:hAnsi="Times New Roman" w:eastAsia="仿宋_GB2312" w:cs="Times New Roman"/>
          <w:kern w:val="2"/>
          <w:sz w:val="32"/>
          <w:szCs w:val="32"/>
          <w:lang w:eastAsia="zh-CN"/>
        </w:rPr>
        <w:t>万元，下降</w:t>
      </w:r>
      <w:r>
        <w:rPr>
          <w:rFonts w:hint="eastAsia" w:ascii="Times New Roman" w:hAnsi="Times New Roman" w:eastAsia="仿宋_GB2312" w:cs="Times New Roman"/>
          <w:kern w:val="2"/>
          <w:sz w:val="32"/>
          <w:szCs w:val="32"/>
          <w:lang w:val="en-US" w:eastAsia="zh-CN"/>
        </w:rPr>
        <w:t>3.4</w:t>
      </w:r>
      <w:r>
        <w:rPr>
          <w:rFonts w:hint="default" w:ascii="Times New Roman" w:hAnsi="Times New Roman" w:eastAsia="仿宋_GB2312" w:cs="Times New Roman"/>
          <w:kern w:val="2"/>
          <w:sz w:val="32"/>
          <w:szCs w:val="32"/>
          <w:lang w:eastAsia="zh-CN"/>
        </w:rPr>
        <w:t>%，主要原因是</w:t>
      </w:r>
      <w:r>
        <w:rPr>
          <w:rFonts w:hint="eastAsia" w:ascii="Times New Roman" w:hAnsi="Times New Roman" w:eastAsia="仿宋_GB2312" w:cs="Times New Roman"/>
          <w:kern w:val="2"/>
          <w:sz w:val="32"/>
          <w:szCs w:val="32"/>
          <w:lang w:val="en-US" w:eastAsia="zh-CN"/>
        </w:rPr>
        <w:t>今年的项目支出较去年有所减少</w:t>
      </w:r>
      <w:r>
        <w:rPr>
          <w:rFonts w:hint="default" w:ascii="Times New Roman" w:hAnsi="Times New Roman" w:eastAsia="仿宋_GB2312" w:cs="Times New Roman"/>
          <w:kern w:val="2"/>
          <w:sz w:val="32"/>
          <w:szCs w:val="32"/>
          <w:lang w:eastAsia="zh-CN"/>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default" w:ascii="Times New Roman" w:hAnsi="Times New Roman" w:eastAsia="Arial" w:cs="Times New Roman"/>
          <w:i w:val="0"/>
          <w:iCs w:val="0"/>
          <w:caps w:val="0"/>
          <w:color w:val="000000"/>
          <w:spacing w:val="0"/>
          <w:sz w:val="18"/>
          <w:szCs w:val="18"/>
          <w:highlight w:val="none"/>
          <w:shd w:val="clear" w:fill="FFFFFF"/>
        </w:rPr>
        <w:t>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356.7</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，其中：财政拨款收入356.7万元，占100%；上级补助收入0万元，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zh-CN"/>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eastAsia="zh-CN"/>
        </w:rPr>
        <w:t>本单位2023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356.82万元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180.93万元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占50.71%；</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175.89万元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占49.29%；</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年度财政拨款本年收入356.7</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元,比上年减少</w:t>
      </w:r>
      <w:r>
        <w:rPr>
          <w:rFonts w:hint="eastAsia" w:ascii="Times New Roman" w:hAnsi="Times New Roman" w:eastAsia="仿宋_GB2312" w:cs="Times New Roman"/>
          <w:color w:val="auto"/>
          <w:kern w:val="2"/>
          <w:sz w:val="32"/>
          <w:szCs w:val="32"/>
          <w:lang w:val="en-US" w:eastAsia="zh-CN" w:bidi="ar-SA"/>
        </w:rPr>
        <w:t>10.79</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2.9</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val="en-US" w:eastAsia="zh-CN"/>
        </w:rPr>
        <w:t>今年的项目收入较去年有所减少</w:t>
      </w:r>
      <w:r>
        <w:rPr>
          <w:rFonts w:hint="default" w:ascii="Times New Roman" w:hAnsi="Times New Roman" w:eastAsia="仿宋_GB2312" w:cs="Times New Roman"/>
          <w:color w:val="auto"/>
          <w:kern w:val="2"/>
          <w:sz w:val="32"/>
          <w:szCs w:val="32"/>
          <w:lang w:val="zh-CN" w:eastAsia="zh-CN" w:bidi="ar-SA"/>
        </w:rPr>
        <w:t>；本年支出 356.82万元，比上年减少</w:t>
      </w:r>
      <w:r>
        <w:rPr>
          <w:rFonts w:hint="eastAsia" w:ascii="Times New Roman" w:hAnsi="Times New Roman" w:eastAsia="仿宋_GB2312" w:cs="Times New Roman"/>
          <w:color w:val="auto"/>
          <w:kern w:val="2"/>
          <w:sz w:val="32"/>
          <w:szCs w:val="32"/>
          <w:lang w:val="en-US" w:eastAsia="zh-CN" w:bidi="ar-SA"/>
        </w:rPr>
        <w:t>12.67</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3.4</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val="en-US" w:eastAsia="zh-CN"/>
        </w:rPr>
        <w:t>今年的项目支出较去年有所减少</w:t>
      </w:r>
      <w:r>
        <w:rPr>
          <w:rFonts w:hint="default" w:ascii="Times New Roman" w:hAnsi="Times New Roman" w:eastAsia="仿宋_GB2312" w:cs="Times New Roman"/>
          <w:color w:val="auto"/>
          <w:kern w:val="2"/>
          <w:sz w:val="32"/>
          <w:szCs w:val="32"/>
          <w:lang w:val="zh-CN" w:eastAsia="zh-CN" w:bidi="ar-SA"/>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一般公共预算财政拨款本年收入356.7</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w:t>
      </w:r>
      <w:r>
        <w:rPr>
          <w:rFonts w:hint="default" w:ascii="Times New Roman" w:hAnsi="Times New Roman" w:eastAsia="仿宋_GB2312" w:cs="Times New Roman"/>
          <w:color w:val="auto"/>
          <w:kern w:val="2"/>
          <w:sz w:val="32"/>
          <w:szCs w:val="32"/>
          <w:lang w:val="zh-CN" w:eastAsia="zh-CN" w:bidi="ar-SA"/>
        </w:rPr>
        <w:t>减少</w:t>
      </w:r>
      <w:r>
        <w:rPr>
          <w:rFonts w:hint="eastAsia" w:ascii="Times New Roman" w:hAnsi="Times New Roman" w:eastAsia="仿宋_GB2312" w:cs="Times New Roman"/>
          <w:color w:val="auto"/>
          <w:kern w:val="2"/>
          <w:sz w:val="32"/>
          <w:szCs w:val="32"/>
          <w:lang w:val="en-US" w:eastAsia="zh-CN" w:bidi="ar-SA"/>
        </w:rPr>
        <w:t>10.79</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2.9</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val="en-US" w:eastAsia="zh-CN"/>
        </w:rPr>
        <w:t>今年的项目收入较去年有所减少</w:t>
      </w:r>
      <w:r>
        <w:rPr>
          <w:rFonts w:hint="default" w:ascii="Times New Roman" w:hAnsi="Times New Roman" w:eastAsia="仿宋_GB2312" w:cs="Times New Roman"/>
          <w:color w:val="auto"/>
          <w:kern w:val="2"/>
          <w:sz w:val="32"/>
          <w:szCs w:val="32"/>
          <w:lang w:val="zh-CN" w:eastAsia="zh-CN" w:bidi="ar-SA"/>
        </w:rPr>
        <w:t>；本年支出 356.82万元，比上年减少</w:t>
      </w:r>
      <w:r>
        <w:rPr>
          <w:rFonts w:hint="eastAsia" w:ascii="Times New Roman" w:hAnsi="Times New Roman" w:eastAsia="仿宋_GB2312" w:cs="Times New Roman"/>
          <w:color w:val="auto"/>
          <w:kern w:val="2"/>
          <w:sz w:val="32"/>
          <w:szCs w:val="32"/>
          <w:lang w:val="en-US" w:eastAsia="zh-CN" w:bidi="ar-SA"/>
        </w:rPr>
        <w:t>12.67</w:t>
      </w:r>
      <w:r>
        <w:rPr>
          <w:rFonts w:hint="default" w:ascii="Times New Roman" w:hAnsi="Times New Roman" w:eastAsia="仿宋_GB2312" w:cs="Times New Roman"/>
          <w:color w:val="auto"/>
          <w:kern w:val="2"/>
          <w:sz w:val="32"/>
          <w:szCs w:val="32"/>
          <w:lang w:val="zh-CN" w:eastAsia="zh-CN" w:bidi="ar-SA"/>
        </w:rPr>
        <w:t>万元，降低</w:t>
      </w:r>
      <w:r>
        <w:rPr>
          <w:rFonts w:hint="eastAsia" w:ascii="Times New Roman" w:hAnsi="Times New Roman" w:eastAsia="仿宋_GB2312" w:cs="Times New Roman"/>
          <w:color w:val="auto"/>
          <w:kern w:val="2"/>
          <w:sz w:val="32"/>
          <w:szCs w:val="32"/>
          <w:lang w:val="en-US" w:eastAsia="zh-CN" w:bidi="ar-SA"/>
        </w:rPr>
        <w:t>3.4</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kern w:val="2"/>
          <w:sz w:val="32"/>
          <w:szCs w:val="32"/>
          <w:lang w:val="en-US" w:eastAsia="zh-CN"/>
        </w:rPr>
        <w:t>今年的项目支出较去年有所减少</w:t>
      </w:r>
    </w:p>
    <w:p>
      <w:pPr>
        <w:autoSpaceDE w:val="0"/>
        <w:autoSpaceDN w:val="0"/>
        <w:adjustRightInd w:val="0"/>
        <w:spacing w:line="580" w:lineRule="exact"/>
        <w:ind w:firstLine="640" w:firstLineChars="200"/>
        <w:jc w:val="both"/>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2.政府性基金预算财政拨款本年收入0万元</w:t>
      </w:r>
      <w:r>
        <w:rPr>
          <w:rFonts w:hint="eastAsia"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rPr>
        <w:t>与上年持平；本年支出0万元，与上年持平。</w:t>
      </w:r>
    </w:p>
    <w:p>
      <w:pPr>
        <w:snapToGrid w:val="0"/>
        <w:spacing w:line="580" w:lineRule="exact"/>
        <w:ind w:firstLine="640" w:firstLineChars="200"/>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3.国有资本经营预算财政拨款本年收入0万元，与上年持平；本年支出0万元，与上年持平。</w:t>
      </w:r>
    </w:p>
    <w:p>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年度财政拨款本年收入356.7万元，完成年初预算的84.76%，比年初预算减少</w:t>
      </w:r>
      <w:r>
        <w:rPr>
          <w:rFonts w:hint="eastAsia" w:ascii="Times New Roman" w:hAnsi="Times New Roman" w:eastAsia="仿宋_GB2312" w:cs="Times New Roman"/>
          <w:color w:val="auto"/>
          <w:kern w:val="2"/>
          <w:sz w:val="32"/>
          <w:szCs w:val="32"/>
          <w:lang w:val="en-US" w:eastAsia="zh-CN" w:bidi="ar-SA"/>
        </w:rPr>
        <w:t>64.15</w:t>
      </w:r>
      <w:r>
        <w:rPr>
          <w:rFonts w:hint="default" w:ascii="Times New Roman" w:hAnsi="Times New Roman" w:eastAsia="仿宋_GB2312" w:cs="Times New Roman"/>
          <w:color w:val="auto"/>
          <w:kern w:val="2"/>
          <w:sz w:val="32"/>
          <w:szCs w:val="32"/>
          <w:lang w:val="zh-CN" w:eastAsia="zh-CN" w:bidi="ar-SA"/>
        </w:rPr>
        <w:t>万元，决算数小于预算数主要原因是</w:t>
      </w:r>
      <w:r>
        <w:rPr>
          <w:rFonts w:hint="eastAsia" w:ascii="Times New Roman" w:hAnsi="Times New Roman" w:eastAsia="仿宋_GB2312" w:cs="Times New Roman"/>
          <w:color w:val="auto"/>
          <w:kern w:val="2"/>
          <w:sz w:val="32"/>
          <w:szCs w:val="32"/>
          <w:lang w:val="en-US" w:eastAsia="zh-CN" w:bidi="ar-SA"/>
        </w:rPr>
        <w:t>项目预算收入、人员预算收入和日常公用预算收入都有不同程度的减少</w:t>
      </w:r>
      <w:r>
        <w:rPr>
          <w:rFonts w:hint="default" w:ascii="Times New Roman" w:hAnsi="Times New Roman" w:eastAsia="仿宋_GB2312" w:cs="Times New Roman"/>
          <w:color w:val="auto"/>
          <w:kern w:val="2"/>
          <w:sz w:val="32"/>
          <w:szCs w:val="32"/>
          <w:lang w:val="zh-CN" w:eastAsia="zh-CN" w:bidi="ar-SA"/>
        </w:rPr>
        <w:t>；本年支出356.82万元，完成年初预算的84.79%，比年初预算减少</w:t>
      </w:r>
      <w:r>
        <w:rPr>
          <w:rFonts w:hint="eastAsia" w:ascii="Times New Roman" w:hAnsi="Times New Roman" w:eastAsia="仿宋_GB2312" w:cs="Times New Roman"/>
          <w:color w:val="auto"/>
          <w:kern w:val="2"/>
          <w:sz w:val="32"/>
          <w:szCs w:val="32"/>
          <w:lang w:val="en-US" w:eastAsia="zh-CN" w:bidi="ar-SA"/>
        </w:rPr>
        <w:t>64.03</w:t>
      </w:r>
      <w:r>
        <w:rPr>
          <w:rFonts w:hint="default" w:ascii="Times New Roman" w:hAnsi="Times New Roman" w:eastAsia="仿宋_GB2312" w:cs="Times New Roman"/>
          <w:color w:val="auto"/>
          <w:kern w:val="2"/>
          <w:sz w:val="32"/>
          <w:szCs w:val="32"/>
          <w:lang w:val="zh-CN" w:eastAsia="zh-CN" w:bidi="ar-SA"/>
        </w:rPr>
        <w:t>万元，决算数小于</w:t>
      </w:r>
      <w:r>
        <w:rPr>
          <w:rFonts w:hint="default" w:ascii="Times New Roman" w:hAnsi="Times New Roman" w:eastAsia="仿宋_GB2312" w:cs="Times New Roman"/>
          <w:kern w:val="2"/>
          <w:sz w:val="32"/>
          <w:szCs w:val="32"/>
          <w:lang w:val="zh-CN"/>
        </w:rPr>
        <w:t>预算数主要原因是</w:t>
      </w:r>
      <w:r>
        <w:rPr>
          <w:rFonts w:hint="eastAsia" w:ascii="Times New Roman" w:hAnsi="Times New Roman" w:eastAsia="仿宋_GB2312" w:cs="Times New Roman"/>
          <w:color w:val="auto"/>
          <w:kern w:val="2"/>
          <w:sz w:val="32"/>
          <w:szCs w:val="32"/>
          <w:lang w:val="en-US" w:eastAsia="zh-CN" w:bidi="ar-SA"/>
        </w:rPr>
        <w:t>项目预算支出、人员预算支出和日常公用预算支出都有不同程度的减少</w:t>
      </w:r>
      <w:r>
        <w:rPr>
          <w:rFonts w:hint="default" w:ascii="Times New Roman" w:hAnsi="Times New Roman" w:eastAsia="仿宋_GB2312" w:cs="Times New Roman"/>
          <w:kern w:val="2"/>
          <w:sz w:val="32"/>
          <w:szCs w:val="32"/>
          <w:lang w:val="zh-CN"/>
        </w:rPr>
        <w:t>。具体情况如下：</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收入356.7万元，完成年初预算的 84.76%，</w:t>
      </w:r>
      <w:r>
        <w:rPr>
          <w:rFonts w:hint="default" w:ascii="Times New Roman" w:hAnsi="Times New Roman" w:eastAsia="仿宋_GB2312" w:cs="Times New Roman"/>
          <w:color w:val="auto"/>
          <w:kern w:val="2"/>
          <w:sz w:val="32"/>
          <w:szCs w:val="32"/>
          <w:lang w:val="zh-CN" w:eastAsia="zh-CN" w:bidi="ar-SA"/>
        </w:rPr>
        <w:t>比年初预算减少</w:t>
      </w:r>
      <w:r>
        <w:rPr>
          <w:rFonts w:hint="eastAsia" w:ascii="Times New Roman" w:hAnsi="Times New Roman" w:eastAsia="仿宋_GB2312" w:cs="Times New Roman"/>
          <w:color w:val="auto"/>
          <w:kern w:val="2"/>
          <w:sz w:val="32"/>
          <w:szCs w:val="32"/>
          <w:lang w:val="en-US" w:eastAsia="zh-CN" w:bidi="ar-SA"/>
        </w:rPr>
        <w:t>64.15</w:t>
      </w:r>
      <w:r>
        <w:rPr>
          <w:rFonts w:hint="default" w:ascii="Times New Roman" w:hAnsi="Times New Roman" w:eastAsia="仿宋_GB2312" w:cs="Times New Roman"/>
          <w:color w:val="auto"/>
          <w:kern w:val="2"/>
          <w:sz w:val="32"/>
          <w:szCs w:val="32"/>
          <w:lang w:val="zh-CN" w:eastAsia="zh-CN" w:bidi="ar-SA"/>
        </w:rPr>
        <w:t>万元，决算数小于预算数主要原因是</w:t>
      </w:r>
      <w:r>
        <w:rPr>
          <w:rFonts w:hint="eastAsia" w:ascii="Times New Roman" w:hAnsi="Times New Roman" w:eastAsia="仿宋_GB2312" w:cs="Times New Roman"/>
          <w:color w:val="auto"/>
          <w:kern w:val="2"/>
          <w:sz w:val="32"/>
          <w:szCs w:val="32"/>
          <w:lang w:val="en-US" w:eastAsia="zh-CN" w:bidi="ar-SA"/>
        </w:rPr>
        <w:t>项目预算收入、人员预算收入和日常公用预算收入都有不同程度的减少</w:t>
      </w:r>
      <w:r>
        <w:rPr>
          <w:rFonts w:hint="default" w:ascii="Times New Roman" w:hAnsi="Times New Roman" w:eastAsia="仿宋_GB2312" w:cs="Times New Roman"/>
          <w:color w:val="auto"/>
          <w:kern w:val="2"/>
          <w:sz w:val="32"/>
          <w:szCs w:val="32"/>
          <w:lang w:val="zh-CN" w:eastAsia="zh-CN" w:bidi="ar-SA"/>
        </w:rPr>
        <w:t>；本年支出356.82万元，完成年初预算的84.79%，比年初预算减少</w:t>
      </w:r>
      <w:r>
        <w:rPr>
          <w:rFonts w:hint="eastAsia" w:ascii="Times New Roman" w:hAnsi="Times New Roman" w:eastAsia="仿宋_GB2312" w:cs="Times New Roman"/>
          <w:color w:val="auto"/>
          <w:kern w:val="2"/>
          <w:sz w:val="32"/>
          <w:szCs w:val="32"/>
          <w:lang w:val="en-US" w:eastAsia="zh-CN" w:bidi="ar-SA"/>
        </w:rPr>
        <w:t>64.03</w:t>
      </w:r>
      <w:r>
        <w:rPr>
          <w:rFonts w:hint="default" w:ascii="Times New Roman" w:hAnsi="Times New Roman" w:eastAsia="仿宋_GB2312" w:cs="Times New Roman"/>
          <w:color w:val="auto"/>
          <w:kern w:val="2"/>
          <w:sz w:val="32"/>
          <w:szCs w:val="32"/>
          <w:lang w:val="zh-CN" w:eastAsia="zh-CN" w:bidi="ar-SA"/>
        </w:rPr>
        <w:t>万元，决算数小于</w:t>
      </w:r>
      <w:r>
        <w:rPr>
          <w:rFonts w:hint="default" w:ascii="Times New Roman" w:hAnsi="Times New Roman" w:eastAsia="仿宋_GB2312" w:cs="Times New Roman"/>
          <w:kern w:val="2"/>
          <w:sz w:val="32"/>
          <w:szCs w:val="32"/>
          <w:lang w:val="zh-CN"/>
        </w:rPr>
        <w:t>预算数主要原因是</w:t>
      </w:r>
      <w:r>
        <w:rPr>
          <w:rFonts w:hint="eastAsia" w:ascii="Times New Roman" w:hAnsi="Times New Roman" w:eastAsia="仿宋_GB2312" w:cs="Times New Roman"/>
          <w:color w:val="auto"/>
          <w:kern w:val="2"/>
          <w:sz w:val="32"/>
          <w:szCs w:val="32"/>
          <w:lang w:val="en-US" w:eastAsia="zh-CN" w:bidi="ar-SA"/>
        </w:rPr>
        <w:t>项目预算支出、人员预算支出和日常公用预算支出都有不同程度的减少</w:t>
      </w:r>
      <w:r>
        <w:rPr>
          <w:rFonts w:hint="default" w:ascii="Times New Roman" w:hAnsi="Times New Roman" w:eastAsia="仿宋_GB2312" w:cs="Times New Roman"/>
          <w:kern w:val="2"/>
          <w:sz w:val="32"/>
          <w:szCs w:val="32"/>
          <w:lang w:val="zh-CN"/>
        </w:rPr>
        <w:t>。</w:t>
      </w:r>
    </w:p>
    <w:p>
      <w:pPr>
        <w:pageBreakBefore w:val="0"/>
        <w:kinsoku/>
        <w:wordWrap/>
        <w:overflowPunct/>
        <w:topLinePunct w:val="0"/>
        <w:autoSpaceDE w:val="0"/>
        <w:autoSpaceDN w:val="0"/>
        <w:bidi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rPr>
      </w:pPr>
      <w:r>
        <w:rPr>
          <w:rFonts w:hint="default" w:ascii="Times New Roman" w:hAnsi="Times New Roman" w:eastAsia="仿宋_GB2312" w:cs="Times New Roman"/>
          <w:kern w:val="2"/>
          <w:sz w:val="32"/>
          <w:szCs w:val="32"/>
          <w:lang w:val="en-US" w:eastAsia="zh-CN"/>
        </w:rPr>
        <w:t>2.政府性基金预算财政拨款本年收入完成年初预算0%，比年初预算增加0万元；支出完成年初预算0%，比年初预算增加0万元。</w:t>
      </w:r>
    </w:p>
    <w:p>
      <w:pPr>
        <w:pageBreakBefore w:val="0"/>
        <w:kinsoku/>
        <w:wordWrap/>
        <w:overflowPunct/>
        <w:topLinePunct w:val="0"/>
        <w:autoSpaceDE w:val="0"/>
        <w:autoSpaceDN w:val="0"/>
        <w:bidi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rPr>
      </w:pPr>
      <w:r>
        <w:rPr>
          <w:rFonts w:hint="default" w:ascii="Times New Roman" w:hAnsi="Times New Roman" w:eastAsia="仿宋_GB2312" w:cs="Times New Roman"/>
          <w:kern w:val="2"/>
          <w:sz w:val="32"/>
          <w:szCs w:val="32"/>
          <w:lang w:val="en-US" w:eastAsia="zh-CN"/>
        </w:rPr>
        <w:t>3.国有资本经营预算财政拨款本年收入完成年初预算0%,比年初预算增加0万元；支出完成年初预算0%，比年初预算增加0万元。</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年度财政拨款支出356.82万元，主要用于以下方面：</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一般公共服务（类）支出298.88万元，占83.76%；社会保障和就业 （类）支出23.46万元，占6.57%；卫生健康（类）支出24.46万元，占6.85%；住房保障（类）支出10.02万元，占2.81%。</w:t>
      </w:r>
    </w:p>
    <w:p>
      <w:pPr>
        <w:pStyle w:val="11"/>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年度财政拨款基本支出180.93万元，其中：</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color w:val="auto"/>
          <w:kern w:val="2"/>
          <w:sz w:val="32"/>
          <w:szCs w:val="32"/>
          <w:lang w:val="zh-CN" w:eastAsia="zh-CN" w:bidi="ar-SA"/>
        </w:rPr>
        <w:t>人员经费160.84万元，主要包括基本工资、津贴补贴、奖金、绩效工资、机关事业部门基本养老保险缴费、职业年金缴费、职工基本医疗保险缴费、住房公积金、其他社会保障缴费、 生活补助、奖励金。</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公用经费20.09万元，主要包括办公费、邮电费、工会经费、福利费、公务用车运行维护费、其他交通费用、其他商品和服务支出、办公设备购置。</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年度“三公”经费财政拨款支出预算为2.5万元，支出决算为 2.5万元，完成预算的 100%，较预算增加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与预算持平</w:t>
      </w:r>
      <w:r>
        <w:rPr>
          <w:rFonts w:hint="default" w:ascii="Times New Roman" w:hAnsi="Times New Roman" w:eastAsia="仿宋_GB2312" w:cs="Times New Roman"/>
          <w:color w:val="auto"/>
          <w:kern w:val="2"/>
          <w:sz w:val="32"/>
          <w:szCs w:val="32"/>
          <w:lang w:val="zh-CN" w:eastAsia="zh-CN" w:bidi="ar-SA"/>
        </w:rPr>
        <w:t>；较2022年度决算增加</w:t>
      </w:r>
      <w:r>
        <w:rPr>
          <w:rFonts w:hint="eastAsia" w:ascii="Times New Roman" w:hAnsi="Times New Roman" w:eastAsia="仿宋_GB2312" w:cs="Times New Roman"/>
          <w:color w:val="auto"/>
          <w:kern w:val="2"/>
          <w:sz w:val="32"/>
          <w:szCs w:val="32"/>
          <w:lang w:val="en-US" w:eastAsia="zh-CN" w:bidi="ar-SA"/>
        </w:rPr>
        <w:t>1.13</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82.5</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增加了1辆公车</w:t>
      </w:r>
      <w:r>
        <w:rPr>
          <w:rFonts w:hint="default" w:ascii="Times New Roman" w:hAnsi="Times New Roman" w:eastAsia="仿宋_GB2312" w:cs="Times New Roman"/>
          <w:color w:val="auto"/>
          <w:kern w:val="2"/>
          <w:sz w:val="32"/>
          <w:szCs w:val="32"/>
          <w:lang w:val="zh-CN" w:eastAsia="zh-CN" w:bidi="ar-SA"/>
        </w:rPr>
        <w:t>。</w:t>
      </w:r>
    </w:p>
    <w:p>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kern w:val="2"/>
          <w:sz w:val="32"/>
          <w:szCs w:val="32"/>
          <w:lang w:eastAsia="zh-CN"/>
        </w:rPr>
        <w:t>本部门202</w:t>
      </w:r>
      <w:r>
        <w:rPr>
          <w:rFonts w:hint="eastAsia"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eastAsia="zh-CN"/>
        </w:rPr>
        <w:t>年度因公出国（境）费支出预算为0万元，支出决算0万元，完成预算的0%。因公出国（境）费支出较预算增加0万元，增长0%；较上年增加0万元，增长0%。无本单位组织的出国（境）团组。</w:t>
      </w:r>
    </w:p>
    <w:p>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年度公务用车购置及运行维护费预算为2.5万元，支出决算 2.5万元，完成预算的100%,较预算增加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与预算持平</w:t>
      </w:r>
      <w:r>
        <w:rPr>
          <w:rFonts w:hint="default" w:ascii="Times New Roman" w:hAnsi="Times New Roman" w:eastAsia="仿宋_GB2312" w:cs="Times New Roman"/>
          <w:color w:val="auto"/>
          <w:kern w:val="2"/>
          <w:sz w:val="32"/>
          <w:szCs w:val="32"/>
          <w:lang w:val="zh-CN" w:eastAsia="zh-CN" w:bidi="ar-SA"/>
        </w:rPr>
        <w:t>；较2022年度决算增加</w:t>
      </w:r>
      <w:r>
        <w:rPr>
          <w:rFonts w:hint="eastAsia" w:ascii="Times New Roman" w:hAnsi="Times New Roman" w:eastAsia="仿宋_GB2312" w:cs="Times New Roman"/>
          <w:color w:val="auto"/>
          <w:kern w:val="2"/>
          <w:sz w:val="32"/>
          <w:szCs w:val="32"/>
          <w:lang w:val="en-US" w:eastAsia="zh-CN" w:bidi="ar-SA"/>
        </w:rPr>
        <w:t>1.13</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82.5</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增加了1辆公车</w:t>
      </w:r>
      <w:r>
        <w:rPr>
          <w:rFonts w:hint="default" w:ascii="Times New Roman" w:hAnsi="Times New Roman" w:eastAsia="仿宋_GB2312" w:cs="Times New Roman"/>
          <w:color w:val="auto"/>
          <w:kern w:val="2"/>
          <w:sz w:val="32"/>
          <w:szCs w:val="32"/>
          <w:lang w:val="zh-CN" w:eastAsia="zh-CN" w:bidi="ar-SA"/>
        </w:rPr>
        <w:t>。其中：</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Arial" w:cs="Times New Roman"/>
          <w:highlight w:val="none"/>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kern w:val="2"/>
          <w:sz w:val="32"/>
          <w:szCs w:val="32"/>
          <w:lang w:eastAsia="zh-CN"/>
        </w:rPr>
        <w:t>本部门202</w:t>
      </w:r>
      <w:r>
        <w:rPr>
          <w:rFonts w:hint="eastAsia"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eastAsia="zh-CN"/>
        </w:rPr>
        <w:t>年度公务用车购置量0辆，发生“公务用车购置”经费支出0万元。公务用车购置费支出较预算增加0万元，增长0%,主要是本部门（或单位）本年度无公务用车购置经费支出。较上年增加0万元，增长0%。</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2.5</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年度单位公务用车保有量2辆，发生运行维护费支出2.5万元。公车运行维护费支出较预算增加</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与预算持平</w:t>
      </w:r>
      <w:r>
        <w:rPr>
          <w:rFonts w:hint="default" w:ascii="Times New Roman" w:hAnsi="Times New Roman" w:eastAsia="仿宋_GB2312" w:cs="Times New Roman"/>
          <w:color w:val="auto"/>
          <w:kern w:val="2"/>
          <w:sz w:val="32"/>
          <w:szCs w:val="32"/>
          <w:lang w:val="zh-CN" w:eastAsia="zh-CN" w:bidi="ar-SA"/>
        </w:rPr>
        <w:t>；较2022年度决算增加</w:t>
      </w:r>
      <w:r>
        <w:rPr>
          <w:rFonts w:hint="eastAsia" w:ascii="Times New Roman" w:hAnsi="Times New Roman" w:eastAsia="仿宋_GB2312" w:cs="Times New Roman"/>
          <w:color w:val="auto"/>
          <w:kern w:val="2"/>
          <w:sz w:val="32"/>
          <w:szCs w:val="32"/>
          <w:lang w:val="en-US" w:eastAsia="zh-CN" w:bidi="ar-SA"/>
        </w:rPr>
        <w:t>1.13</w:t>
      </w:r>
      <w:r>
        <w:rPr>
          <w:rFonts w:hint="default" w:ascii="Times New Roman" w:hAnsi="Times New Roman" w:eastAsia="仿宋_GB2312" w:cs="Times New Roman"/>
          <w:color w:val="auto"/>
          <w:kern w:val="2"/>
          <w:sz w:val="32"/>
          <w:szCs w:val="32"/>
          <w:lang w:val="zh-CN" w:eastAsia="zh-CN" w:bidi="ar-SA"/>
        </w:rPr>
        <w:t>万元，增长</w:t>
      </w:r>
      <w:r>
        <w:rPr>
          <w:rFonts w:hint="eastAsia" w:ascii="Times New Roman" w:hAnsi="Times New Roman" w:eastAsia="仿宋_GB2312" w:cs="Times New Roman"/>
          <w:color w:val="auto"/>
          <w:kern w:val="2"/>
          <w:sz w:val="32"/>
          <w:szCs w:val="32"/>
          <w:lang w:val="en-US" w:eastAsia="zh-CN" w:bidi="ar-SA"/>
        </w:rPr>
        <w:t>82.5</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增加了1辆公车</w:t>
      </w:r>
      <w:r>
        <w:rPr>
          <w:rFonts w:hint="default" w:ascii="Times New Roman" w:hAnsi="Times New Roman" w:eastAsia="仿宋_GB2312" w:cs="Times New Roman"/>
          <w:color w:val="auto"/>
          <w:kern w:val="2"/>
          <w:sz w:val="32"/>
          <w:szCs w:val="32"/>
          <w:lang w:val="zh-CN" w:eastAsia="zh-CN" w:bidi="ar-SA"/>
        </w:rPr>
        <w:t>。</w:t>
      </w:r>
    </w:p>
    <w:p>
      <w:pPr>
        <w:keepNext w:val="0"/>
        <w:keepLines w:val="0"/>
        <w:pageBreakBefore w:val="0"/>
        <w:kinsoku/>
        <w:wordWrap/>
        <w:overflowPunct/>
        <w:topLinePunct w:val="0"/>
        <w:autoSpaceDE/>
        <w:autoSpaceDN/>
        <w:bidi w:val="0"/>
        <w:adjustRightInd w:val="0"/>
        <w:snapToGrid w:val="0"/>
        <w:spacing w:line="580" w:lineRule="exact"/>
        <w:ind w:firstLine="643" w:firstLineChars="200"/>
        <w:textAlignment w:val="auto"/>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kern w:val="2"/>
          <w:sz w:val="32"/>
          <w:szCs w:val="32"/>
          <w:lang w:eastAsia="zh-CN"/>
        </w:rPr>
        <w:t>本部门202</w:t>
      </w:r>
      <w:r>
        <w:rPr>
          <w:rFonts w:hint="eastAsia"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eastAsia="zh-CN"/>
        </w:rPr>
        <w:t>年度公务接待费支出预算为0万元，支出决算0万元，完成预算的0%。本部门202</w:t>
      </w:r>
      <w:r>
        <w:rPr>
          <w:rFonts w:hint="eastAsia"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eastAsia="zh-CN"/>
        </w:rPr>
        <w:t>年度未发生公务接待费支出。</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580" w:lineRule="exact"/>
        <w:ind w:left="0" w:right="0" w:firstLine="660" w:firstLineChars="200"/>
        <w:jc w:val="both"/>
        <w:textAlignment w:val="auto"/>
        <w:outlineLvl w:val="1"/>
        <w:rPr>
          <w:rFonts w:hint="default" w:ascii="Times New Roman" w:hAnsi="Times New Roman" w:eastAsia="黑体" w:cs="Times New Roman"/>
          <w:i w:val="0"/>
          <w:iCs w:val="0"/>
          <w:caps w:val="0"/>
          <w:color w:val="333333"/>
          <w:spacing w:val="0"/>
          <w:sz w:val="33"/>
          <w:szCs w:val="33"/>
          <w:highlight w:val="none"/>
          <w:shd w:val="clear" w:fill="FFFFFF"/>
          <w:lang w:eastAsia="zh-CN"/>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580" w:lineRule="exact"/>
        <w:ind w:left="0" w:right="0"/>
        <w:jc w:val="both"/>
        <w:textAlignment w:val="auto"/>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宋体" w:cs="Times New Roman"/>
          <w:i w:val="0"/>
          <w:iCs w:val="0"/>
          <w:caps w:val="0"/>
          <w:color w:val="333333"/>
          <w:spacing w:val="0"/>
          <w:sz w:val="19"/>
          <w:szCs w:val="19"/>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年度机关运行经费支出20.09万元，较2022年度</w:t>
      </w:r>
      <w:r>
        <w:rPr>
          <w:rFonts w:hint="eastAsia" w:ascii="Times New Roman" w:hAnsi="Times New Roman" w:eastAsia="仿宋_GB2312" w:cs="Times New Roman"/>
          <w:color w:val="auto"/>
          <w:kern w:val="2"/>
          <w:sz w:val="32"/>
          <w:szCs w:val="32"/>
          <w:lang w:val="en-US" w:eastAsia="zh-CN" w:bidi="ar-SA"/>
        </w:rPr>
        <w:t>减少1.65</w:t>
      </w:r>
      <w:r>
        <w:rPr>
          <w:rFonts w:hint="default" w:ascii="Times New Roman" w:hAnsi="Times New Roman" w:eastAsia="仿宋_GB2312" w:cs="Times New Roman"/>
          <w:color w:val="auto"/>
          <w:kern w:val="2"/>
          <w:sz w:val="32"/>
          <w:szCs w:val="32"/>
          <w:lang w:val="zh-CN" w:eastAsia="zh-CN" w:bidi="ar-SA"/>
        </w:rPr>
        <w:t>万元，</w:t>
      </w:r>
      <w:r>
        <w:rPr>
          <w:rFonts w:hint="eastAsia" w:ascii="Times New Roman" w:hAnsi="Times New Roman" w:eastAsia="仿宋_GB2312" w:cs="Times New Roman"/>
          <w:color w:val="auto"/>
          <w:kern w:val="2"/>
          <w:sz w:val="32"/>
          <w:szCs w:val="32"/>
          <w:lang w:val="en-US" w:eastAsia="zh-CN" w:bidi="ar-SA"/>
        </w:rPr>
        <w:t>下降7.6</w:t>
      </w:r>
      <w:r>
        <w:rPr>
          <w:rFonts w:hint="default" w:ascii="Times New Roman" w:hAnsi="Times New Roman" w:eastAsia="仿宋_GB2312" w:cs="Times New Roman"/>
          <w:color w:val="auto"/>
          <w:kern w:val="2"/>
          <w:sz w:val="32"/>
          <w:szCs w:val="32"/>
          <w:lang w:val="zh-CN" w:eastAsia="zh-CN" w:bidi="ar-SA"/>
        </w:rPr>
        <w:t>%。主要原因是</w:t>
      </w:r>
      <w:r>
        <w:rPr>
          <w:rFonts w:hint="eastAsia" w:ascii="Times New Roman" w:hAnsi="Times New Roman" w:eastAsia="仿宋_GB2312" w:cs="Times New Roman"/>
          <w:color w:val="auto"/>
          <w:kern w:val="2"/>
          <w:sz w:val="32"/>
          <w:szCs w:val="32"/>
          <w:lang w:val="en-US" w:eastAsia="zh-CN" w:bidi="ar-SA"/>
        </w:rPr>
        <w:t>压缩公用经费支出</w:t>
      </w:r>
      <w:r>
        <w:rPr>
          <w:rFonts w:hint="default" w:ascii="Times New Roman" w:hAnsi="Times New Roman" w:eastAsia="仿宋_GB2312" w:cs="Times New Roman"/>
          <w:color w:val="auto"/>
          <w:kern w:val="2"/>
          <w:sz w:val="32"/>
          <w:szCs w:val="32"/>
          <w:lang w:val="zh-CN" w:eastAsia="zh-CN" w:bidi="ar-SA"/>
        </w:rPr>
        <w:t>。</w:t>
      </w:r>
    </w:p>
    <w:p>
      <w:pPr>
        <w:keepNext w:val="0"/>
        <w:keepLines w:val="0"/>
        <w:pageBreakBefore w:val="0"/>
        <w:kinsoku/>
        <w:wordWrap/>
        <w:overflowPunct/>
        <w:topLinePunct w:val="0"/>
        <w:autoSpaceDE/>
        <w:autoSpaceDN/>
        <w:bidi w:val="0"/>
        <w:adjustRightInd w:val="0"/>
        <w:snapToGrid w:val="0"/>
        <w:spacing w:line="580" w:lineRule="exact"/>
        <w:ind w:firstLine="660" w:firstLineChars="200"/>
        <w:textAlignment w:val="auto"/>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pacing w:before="0" w:beforeAutospacing="0" w:after="0" w:afterAutospacing="0" w:line="580" w:lineRule="exact"/>
        <w:ind w:left="0" w:right="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本单位202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年度政府采购支出总额0万元，从采购类型来看，政府采购货物支出0万元、政府采购工程支出0万元、政府采购服务支出0万元。授予中小企业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0万元，占政府采购支出总额的0%，其中授予小微企业合同金额0万元，占政府采购支出总额的0%。</w:t>
      </w:r>
    </w:p>
    <w:p>
      <w:pPr>
        <w:keepNext w:val="0"/>
        <w:keepLines w:val="0"/>
        <w:pageBreakBefore w:val="0"/>
        <w:kinsoku/>
        <w:wordWrap/>
        <w:overflowPunct/>
        <w:topLinePunct w:val="0"/>
        <w:autoSpaceDE/>
        <w:autoSpaceDN/>
        <w:bidi w:val="0"/>
        <w:adjustRightInd/>
        <w:snapToGrid w:val="0"/>
        <w:spacing w:line="580" w:lineRule="exact"/>
        <w:ind w:firstLine="66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w:t>
      </w:r>
      <w:r>
        <w:rPr>
          <w:rFonts w:hint="default" w:ascii="Times New Roman" w:hAnsi="Times New Roman" w:eastAsia="仿宋_GB2312" w:cs="Times New Roman"/>
          <w:color w:val="auto"/>
          <w:kern w:val="2"/>
          <w:sz w:val="32"/>
          <w:szCs w:val="32"/>
          <w:lang w:val="en-US" w:eastAsia="zh-CN" w:bidi="ar-SA"/>
        </w:rPr>
        <w:t>本部门共有车</w:t>
      </w:r>
      <w:r>
        <w:rPr>
          <w:rFonts w:hint="eastAsia" w:ascii="Times New Roman" w:hAnsi="Times New Roman" w:eastAsia="仿宋_GB2312" w:cs="Times New Roman"/>
          <w:color w:val="auto"/>
          <w:kern w:val="2"/>
          <w:sz w:val="32"/>
          <w:szCs w:val="32"/>
          <w:lang w:val="en-US" w:eastAsia="zh-CN" w:bidi="ar-SA"/>
        </w:rPr>
        <w:t>2</w:t>
      </w:r>
      <w:r>
        <w:rPr>
          <w:rFonts w:hint="default" w:ascii="Times New Roman" w:hAnsi="Times New Roman" w:eastAsia="仿宋_GB2312" w:cs="Times New Roman"/>
          <w:color w:val="auto"/>
          <w:kern w:val="2"/>
          <w:sz w:val="32"/>
          <w:szCs w:val="32"/>
          <w:lang w:val="en-US" w:eastAsia="zh-CN" w:bidi="ar-SA"/>
        </w:rPr>
        <w:t>辆</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en-US" w:eastAsia="zh-CN" w:bidi="ar-SA"/>
        </w:rPr>
        <w:t>与上年持平</w:t>
      </w:r>
      <w:r>
        <w:rPr>
          <w:rFonts w:hint="default" w:ascii="Times New Roman" w:hAnsi="Times New Roman" w:eastAsia="仿宋_GB2312" w:cs="Times New Roman"/>
          <w:color w:val="auto"/>
          <w:kern w:val="2"/>
          <w:sz w:val="32"/>
          <w:szCs w:val="32"/>
          <w:lang w:val="zh-CN" w:eastAsia="zh-CN" w:bidi="ar-SA"/>
        </w:rPr>
        <w:t>。其中，副部（省）级及以上领导用车本单位共有车辆2辆辆，主要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用车0辆，机要通信用车0辆，应急保障用车0辆，执法执勤用车0辆，特种专业技术用车0辆，离退休干部用车2辆，其他用车0辆。单位价值100万元（含）以上设备（不含车辆）0台（套）。</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九、预算绩效情况说明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rPr>
      </w:pPr>
      <w:r>
        <w:rPr>
          <w:rFonts w:hint="eastAsia" w:ascii="仿宋" w:hAnsi="仿宋" w:eastAsia="仿宋" w:cs="仿宋"/>
          <w:sz w:val="32"/>
          <w:szCs w:val="32"/>
        </w:rPr>
        <w:t>（一）预算绩效管理工作开展情况。</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根据预算绩效管理要求，本部门组织对 2023年度项目支出全面开展绩效自评，其中，一般公共预算一级项目 2 个，二级项目3个，共涉及资金175.89万元，占一般公共预算项目支出总额的 100%。</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rPr>
      </w:pPr>
      <w:r>
        <w:rPr>
          <w:rFonts w:hint="eastAsia" w:ascii="仿宋" w:hAnsi="仿宋" w:eastAsia="仿宋" w:cs="仿宋"/>
          <w:sz w:val="32"/>
          <w:szCs w:val="32"/>
        </w:rPr>
        <w:t>（二） 部门决算中项目绩效自评结果。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本部门在今年部门决算公开中反映老干部节日慰问资金绩效自评 结果。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一、基本情况</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2023 年度，上级财政部门共拨入老干部节日慰问经费 13 万元， 其中：春节慰问经费 7.1 万元、 中秋节慰问经费 5.9 万元，。</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老干部节日慰问项目自评综述：根据年初设定的绩效目标，老干 部节日慰问项目绩效自评得分为 99 分（绩效自评表附后）。全年预算 数为 13 万元，执行数为 13 万元，完成预算的 100%。项目绩效目标完 成情况：一是普遍走访老干部，送去节日的问候；二是了解老干部情 况，帮助他们解决实际问题。发现的问题：一是离休干部高龄、高发 病期需要更多的关心关怀；二是条件允许的情况下组织老干部参加各 项互动，发挥余热。下一步改进措施：一是要加强老干部局机关的自 身建设；二是积极引导老干部建言献策，为我区各项工作的发展做出 贡献。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项目效果</w:t>
      </w:r>
    </w:p>
    <w:p>
      <w:pPr>
        <w:keepNext w:val="0"/>
        <w:keepLines w:val="0"/>
        <w:pageBreakBefore w:val="0"/>
        <w:widowControl w:val="0"/>
        <w:tabs>
          <w:tab w:val="left" w:pos="593"/>
        </w:tabs>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auto"/>
          <w:kern w:val="0"/>
          <w:sz w:val="32"/>
          <w:szCs w:val="32"/>
          <w:lang w:val="en-US" w:eastAsia="zh-CN" w:bidi="ar-SA"/>
        </w:rPr>
      </w:pPr>
      <w:r>
        <w:rPr>
          <w:rFonts w:hint="eastAsia" w:cs="宋体"/>
          <w:color w:val="auto"/>
          <w:kern w:val="0"/>
          <w:sz w:val="24"/>
          <w:szCs w:val="24"/>
          <w:lang w:val="en-US" w:eastAsia="zh-CN" w:bidi="ar-SA"/>
        </w:rPr>
        <w:tab/>
      </w:r>
      <w:r>
        <w:rPr>
          <w:rFonts w:hint="eastAsia" w:ascii="仿宋" w:hAnsi="仿宋" w:eastAsia="仿宋" w:cs="仿宋"/>
          <w:color w:val="auto"/>
          <w:kern w:val="0"/>
          <w:sz w:val="32"/>
          <w:szCs w:val="32"/>
          <w:lang w:val="en-US" w:eastAsia="zh-CN" w:bidi="ar-SA"/>
        </w:rPr>
        <w:t>一是全面落实生活待遇，重大节日，区四大班子主要领导带队，各镇街、区直各单位和学校，对全区2700名离退休老干部进行走访慰问。协调有关部门，为老干部解决疑难问题40余个；送别离退休老干部、老领导11名；组织老干部参加重要会议，听取老干部的意见建议，收集到意见建议20余条。增强对特困老干部的关心关怀和扶助，帮助协调解决他们在生活中遇到的难题，确保他们的正常生活。规范完善了老干部学习、活动及演出等内容，区直各单位离退休干部管理员规范使用“燕赵红枫•河北省离退休干部服务管理系统”，实施精准化、动态化、常态化管理，引领老同志共享信息化带来的便利，使老干部能听到党的声音，得到正规渠道的医疗保健康养知识。</w:t>
      </w:r>
    </w:p>
    <w:p>
      <w:pPr>
        <w:keepNext w:val="0"/>
        <w:keepLines w:val="0"/>
        <w:pageBreakBefore w:val="0"/>
        <w:widowControl w:val="0"/>
        <w:tabs>
          <w:tab w:val="left" w:pos="593"/>
        </w:tabs>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bidi="ar-SA"/>
        </w:rPr>
        <w:t xml:space="preserve">   二是老有所为，引领离退休干部为全区经济社会发展增添正能量。</w:t>
      </w:r>
    </w:p>
    <w:p>
      <w:pPr>
        <w:keepNext w:val="0"/>
        <w:keepLines w:val="0"/>
        <w:pageBreakBefore w:val="0"/>
        <w:widowControl w:val="0"/>
        <w:tabs>
          <w:tab w:val="left" w:pos="593"/>
        </w:tabs>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bidi="ar-SA"/>
        </w:rPr>
        <w:t>各离退休干部党支部、“老党员驿站”及“五老工作站”的老同志们，在全区经济社会发展、文明城创建、信访维稳及关心下一代等工作中，积极肯干，各显神通，共集体学习习近平新时代中国特色社会主义思想和党的二十大精神5次，开展文明城创建志愿服务800余人次，维稳调解30余人次，开展关心下一代活动20余场次，科技帮扶服务2次，献计献策30余条，等等。努力搭建平台，鼓励支持老干部利用自身丰富的经验和优势作用，积极建言献策，建立了由28名老教师、老医师、老专家为骨干的开平区银发人才库，为全区发展出谋划策，这28名老同志已推荐入选了唐山市银发人才库。今年，我区在全市第1个完成了省局部署的《冀录.老干部看近十年改革发展新变化》录制工作（唐山花海——蝶变芳华），并于今年国庆节期间在唐山市电视台播放，目前已报送省委老干部局、省电视台进行审核。</w:t>
      </w:r>
    </w:p>
    <w:p>
      <w:pPr>
        <w:keepNext w:val="0"/>
        <w:keepLines w:val="0"/>
        <w:pageBreakBefore w:val="0"/>
        <w:widowControl w:val="0"/>
        <w:tabs>
          <w:tab w:val="left" w:pos="593"/>
        </w:tabs>
        <w:kinsoku/>
        <w:wordWrap/>
        <w:overflowPunct/>
        <w:topLinePunct w:val="0"/>
        <w:autoSpaceDE/>
        <w:autoSpaceDN/>
        <w:bidi w:val="0"/>
        <w:adjustRightInd/>
        <w:snapToGrid/>
        <w:spacing w:line="360" w:lineRule="auto"/>
        <w:jc w:val="left"/>
        <w:textAlignment w:val="auto"/>
        <w:rPr>
          <w:rFonts w:hint="eastAsia" w:ascii="仿宋" w:hAnsi="仿宋" w:eastAsia="仿宋" w:cs="仿宋"/>
          <w:color w:val="auto"/>
          <w:kern w:val="0"/>
          <w:sz w:val="32"/>
          <w:szCs w:val="32"/>
          <w:lang w:val="en-US" w:eastAsia="zh-CN" w:bidi="ar-SA"/>
        </w:rPr>
      </w:pPr>
      <w:r>
        <w:rPr>
          <w:rFonts w:hint="eastAsia" w:ascii="仿宋" w:hAnsi="仿宋" w:eastAsia="仿宋" w:cs="仿宋"/>
          <w:color w:val="auto"/>
          <w:kern w:val="0"/>
          <w:sz w:val="32"/>
          <w:szCs w:val="32"/>
          <w:lang w:val="en-US" w:eastAsia="zh-CN" w:bidi="ar-SA"/>
        </w:rPr>
        <w:t>三是深入推进了关心下一代工作踏实开展。开平区“关心下一代工作委员会”、“科技之光五老工作站”、“新时代五老工作站”、越河镇“康博民俗博物馆五老工作站”、开平街道“绿庭五老工作站”、马家沟街道“新区社区五老工作站”等关心下一代站点。“新时代五老工作站”不断发挥其对贫困学生的扶贫济困作用，踏实开展贫困助学及“道德讲堂”等活动，促进贫困学生健康成长，今年以来，共捐助贫困学生100多人次，捐助总金额30万余元。“科技之光五老工作站”发挥老科技工作者的优势作用，深入工厂、田野、校园，广泛宣传科普知识3场，等等。“五老”的正能量行动，推进了“枫红唐山”正能量品牌不断打响，引领老干部为全区经济社会发展贡献正能量。</w:t>
      </w:r>
    </w:p>
    <w:p>
      <w:pPr>
        <w:keepNext w:val="0"/>
        <w:keepLines w:val="0"/>
        <w:pageBreakBefore w:val="0"/>
        <w:widowControl w:val="0"/>
        <w:tabs>
          <w:tab w:val="left" w:pos="593"/>
        </w:tabs>
        <w:kinsoku/>
        <w:wordWrap/>
        <w:overflowPunct/>
        <w:topLinePunct w:val="0"/>
        <w:autoSpaceDE/>
        <w:autoSpaceDN/>
        <w:bidi w:val="0"/>
        <w:adjustRightInd/>
        <w:snapToGrid/>
        <w:spacing w:line="360" w:lineRule="auto"/>
        <w:ind w:firstLine="640" w:firstLineChars="200"/>
        <w:jc w:val="left"/>
        <w:textAlignment w:val="auto"/>
        <w:rPr>
          <w:rFonts w:hint="eastAsia" w:ascii="仿宋" w:hAnsi="仿宋" w:eastAsia="仿宋" w:cs="仿宋"/>
          <w:color w:val="auto"/>
          <w:kern w:val="0"/>
          <w:sz w:val="32"/>
          <w:szCs w:val="32"/>
          <w:lang w:val="en-US" w:eastAsia="zh-CN" w:bidi="ar-SA"/>
        </w:rPr>
      </w:pPr>
    </w:p>
    <w:p>
      <w:pPr>
        <w:tabs>
          <w:tab w:val="left" w:pos="593"/>
        </w:tabs>
        <w:bidi w:val="0"/>
        <w:jc w:val="left"/>
        <w:rPr>
          <w:rFonts w:hint="eastAsia" w:ascii="仿宋" w:hAnsi="仿宋" w:eastAsia="仿宋" w:cs="仿宋"/>
          <w:color w:val="auto"/>
          <w:kern w:val="0"/>
          <w:sz w:val="32"/>
          <w:szCs w:val="32"/>
          <w:lang w:val="en-US" w:eastAsia="zh-CN" w:bidi="ar-SA"/>
        </w:rPr>
      </w:pPr>
    </w:p>
    <w:p>
      <w:pPr>
        <w:tabs>
          <w:tab w:val="left" w:pos="593"/>
        </w:tabs>
        <w:bidi w:val="0"/>
        <w:jc w:val="left"/>
        <w:rPr>
          <w:rFonts w:hint="eastAsia" w:ascii="仿宋" w:hAnsi="仿宋" w:eastAsia="仿宋" w:cs="仿宋"/>
          <w:color w:val="auto"/>
          <w:kern w:val="0"/>
          <w:sz w:val="32"/>
          <w:szCs w:val="32"/>
          <w:lang w:val="en-US" w:eastAsia="zh-CN" w:bidi="ar-SA"/>
        </w:rPr>
        <w:sectPr>
          <w:pgSz w:w="11906" w:h="16839"/>
          <w:pgMar w:top="400" w:right="1135" w:bottom="0" w:left="1152" w:header="0" w:footer="0" w:gutter="0"/>
          <w:cols w:space="720" w:num="1"/>
        </w:sectPr>
      </w:pPr>
    </w:p>
    <w:p>
      <w:r>
        <w:t>绩效自评表</w:t>
      </w:r>
    </w:p>
    <w:p>
      <w:r>
        <w:t>填报单位：                                        中共开平区委老干部局                                    金额单位：元</w:t>
      </w:r>
    </w:p>
    <w:p/>
    <w:tbl>
      <w:tblPr>
        <w:tblStyle w:val="26"/>
        <w:tblW w:w="967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85"/>
        <w:gridCol w:w="1199"/>
        <w:gridCol w:w="1061"/>
        <w:gridCol w:w="1062"/>
        <w:gridCol w:w="876"/>
        <w:gridCol w:w="1876"/>
        <w:gridCol w:w="1092"/>
        <w:gridCol w:w="121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418" w:hRule="atLeast"/>
        </w:trPr>
        <w:tc>
          <w:tcPr>
            <w:tcW w:w="1285" w:type="dxa"/>
            <w:vAlign w:val="top"/>
          </w:tcPr>
          <w:p>
            <w:r>
              <w:t>一、 基本情况</w:t>
            </w:r>
          </w:p>
        </w:tc>
        <w:tc>
          <w:tcPr>
            <w:tcW w:w="1199" w:type="dxa"/>
            <w:vAlign w:val="top"/>
          </w:tcPr>
          <w:p>
            <w:r>
              <w:t>项目名称</w:t>
            </w:r>
          </w:p>
        </w:tc>
        <w:tc>
          <w:tcPr>
            <w:tcW w:w="2123" w:type="dxa"/>
            <w:gridSpan w:val="2"/>
            <w:vAlign w:val="top"/>
          </w:tcPr>
          <w:p>
            <w:r>
              <w:t>老干部慰问</w:t>
            </w:r>
          </w:p>
        </w:tc>
        <w:tc>
          <w:tcPr>
            <w:tcW w:w="876" w:type="dxa"/>
            <w:vAlign w:val="top"/>
          </w:tcPr>
          <w:p>
            <w:r>
              <w:t>实施单位</w:t>
            </w:r>
          </w:p>
        </w:tc>
        <w:tc>
          <w:tcPr>
            <w:tcW w:w="4187" w:type="dxa"/>
            <w:gridSpan w:val="3"/>
            <w:vAlign w:val="top"/>
          </w:tcPr>
          <w:p>
            <w:r>
              <w:t>开平区委老干部局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85" w:type="dxa"/>
            <w:vMerge w:val="restart"/>
            <w:tcBorders>
              <w:bottom w:val="nil"/>
            </w:tcBorders>
            <w:vAlign w:val="top"/>
          </w:tcPr>
          <w:p/>
          <w:p/>
          <w:p>
            <w:r>
              <w:t>二、预算执行情 况</w:t>
            </w:r>
          </w:p>
        </w:tc>
        <w:tc>
          <w:tcPr>
            <w:tcW w:w="2260" w:type="dxa"/>
            <w:gridSpan w:val="2"/>
            <w:vAlign w:val="top"/>
          </w:tcPr>
          <w:p>
            <w:r>
              <w:t>预算安排情况（调整后）</w:t>
            </w:r>
          </w:p>
        </w:tc>
        <w:tc>
          <w:tcPr>
            <w:tcW w:w="1938" w:type="dxa"/>
            <w:gridSpan w:val="2"/>
            <w:vAlign w:val="top"/>
          </w:tcPr>
          <w:p>
            <w:r>
              <w:t>资金到位情况</w:t>
            </w:r>
          </w:p>
        </w:tc>
        <w:tc>
          <w:tcPr>
            <w:tcW w:w="2968" w:type="dxa"/>
            <w:gridSpan w:val="2"/>
            <w:vAlign w:val="top"/>
          </w:tcPr>
          <w:p>
            <w:r>
              <w:t>资金执行情况</w:t>
            </w:r>
          </w:p>
        </w:tc>
        <w:tc>
          <w:tcPr>
            <w:tcW w:w="1219" w:type="dxa"/>
            <w:vAlign w:val="top"/>
          </w:tcPr>
          <w:p>
            <w:r>
              <w:t>预算执行进度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85" w:type="dxa"/>
            <w:vMerge w:val="continue"/>
            <w:tcBorders>
              <w:top w:val="nil"/>
              <w:bottom w:val="nil"/>
            </w:tcBorders>
            <w:vAlign w:val="top"/>
          </w:tcPr>
          <w:p/>
        </w:tc>
        <w:tc>
          <w:tcPr>
            <w:tcW w:w="1199" w:type="dxa"/>
            <w:vAlign w:val="top"/>
          </w:tcPr>
          <w:p>
            <w:r>
              <w:t>预算数：</w:t>
            </w:r>
          </w:p>
        </w:tc>
        <w:tc>
          <w:tcPr>
            <w:tcW w:w="1061" w:type="dxa"/>
            <w:vAlign w:val="top"/>
          </w:tcPr>
          <w:p>
            <w:r>
              <w:t>13</w:t>
            </w:r>
          </w:p>
        </w:tc>
        <w:tc>
          <w:tcPr>
            <w:tcW w:w="1062" w:type="dxa"/>
            <w:vAlign w:val="top"/>
          </w:tcPr>
          <w:p>
            <w:r>
              <w:t>到位数：</w:t>
            </w:r>
          </w:p>
        </w:tc>
        <w:tc>
          <w:tcPr>
            <w:tcW w:w="876" w:type="dxa"/>
            <w:vAlign w:val="top"/>
          </w:tcPr>
          <w:p>
            <w:r>
              <w:t>13</w:t>
            </w:r>
          </w:p>
        </w:tc>
        <w:tc>
          <w:tcPr>
            <w:tcW w:w="1876" w:type="dxa"/>
            <w:vAlign w:val="top"/>
          </w:tcPr>
          <w:p>
            <w:r>
              <w:t>执行数：</w:t>
            </w:r>
          </w:p>
        </w:tc>
        <w:tc>
          <w:tcPr>
            <w:tcW w:w="1092" w:type="dxa"/>
            <w:vAlign w:val="top"/>
          </w:tcPr>
          <w:p>
            <w:r>
              <w:t>13</w:t>
            </w:r>
          </w:p>
        </w:tc>
        <w:tc>
          <w:tcPr>
            <w:tcW w:w="1219" w:type="dxa"/>
            <w:vMerge w:val="restart"/>
            <w:tcBorders>
              <w:bottom w:val="nil"/>
            </w:tcBorders>
            <w:vAlign w:val="top"/>
          </w:tcPr>
          <w:p/>
          <w:p>
            <w:r>
              <w:t>（=执行数/预 算数*100%）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1285" w:type="dxa"/>
            <w:vMerge w:val="continue"/>
            <w:tcBorders>
              <w:top w:val="nil"/>
              <w:bottom w:val="nil"/>
            </w:tcBorders>
            <w:vAlign w:val="top"/>
          </w:tcPr>
          <w:p/>
        </w:tc>
        <w:tc>
          <w:tcPr>
            <w:tcW w:w="1199" w:type="dxa"/>
            <w:vAlign w:val="top"/>
          </w:tcPr>
          <w:p>
            <w:r>
              <w:t>其中：财政资 金</w:t>
            </w:r>
          </w:p>
        </w:tc>
        <w:tc>
          <w:tcPr>
            <w:tcW w:w="1061" w:type="dxa"/>
            <w:vAlign w:val="top"/>
          </w:tcPr>
          <w:p>
            <w:r>
              <w:t>13</w:t>
            </w:r>
          </w:p>
        </w:tc>
        <w:tc>
          <w:tcPr>
            <w:tcW w:w="1062" w:type="dxa"/>
            <w:vAlign w:val="top"/>
          </w:tcPr>
          <w:p>
            <w:r>
              <w:t>其中：财政 资金</w:t>
            </w:r>
          </w:p>
        </w:tc>
        <w:tc>
          <w:tcPr>
            <w:tcW w:w="876" w:type="dxa"/>
            <w:vAlign w:val="top"/>
          </w:tcPr>
          <w:p>
            <w:r>
              <w:t>13</w:t>
            </w:r>
          </w:p>
        </w:tc>
        <w:tc>
          <w:tcPr>
            <w:tcW w:w="1876" w:type="dxa"/>
            <w:vAlign w:val="top"/>
          </w:tcPr>
          <w:p>
            <w:r>
              <w:t>其中：财政资金</w:t>
            </w:r>
          </w:p>
        </w:tc>
        <w:tc>
          <w:tcPr>
            <w:tcW w:w="1092" w:type="dxa"/>
            <w:vAlign w:val="top"/>
          </w:tcPr>
          <w:p>
            <w:r>
              <w:t>13</w:t>
            </w:r>
          </w:p>
        </w:tc>
        <w:tc>
          <w:tcPr>
            <w:tcW w:w="1219" w:type="dxa"/>
            <w:vMerge w:val="continue"/>
            <w:tcBorders>
              <w:top w:val="nil"/>
              <w:bottom w:val="nil"/>
            </w:tcBorders>
            <w:vAlign w:val="top"/>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85" w:type="dxa"/>
            <w:vMerge w:val="continue"/>
            <w:tcBorders>
              <w:top w:val="nil"/>
            </w:tcBorders>
            <w:vAlign w:val="top"/>
          </w:tcPr>
          <w:p/>
        </w:tc>
        <w:tc>
          <w:tcPr>
            <w:tcW w:w="1199" w:type="dxa"/>
            <w:vAlign w:val="top"/>
          </w:tcPr>
          <w:p>
            <w:r>
              <w:t>其他</w:t>
            </w:r>
          </w:p>
        </w:tc>
        <w:tc>
          <w:tcPr>
            <w:tcW w:w="1061" w:type="dxa"/>
            <w:vAlign w:val="top"/>
          </w:tcPr>
          <w:p/>
        </w:tc>
        <w:tc>
          <w:tcPr>
            <w:tcW w:w="1062" w:type="dxa"/>
            <w:vAlign w:val="top"/>
          </w:tcPr>
          <w:p>
            <w:r>
              <w:t>其他</w:t>
            </w:r>
          </w:p>
        </w:tc>
        <w:tc>
          <w:tcPr>
            <w:tcW w:w="876" w:type="dxa"/>
            <w:vAlign w:val="top"/>
          </w:tcPr>
          <w:p/>
        </w:tc>
        <w:tc>
          <w:tcPr>
            <w:tcW w:w="1876" w:type="dxa"/>
            <w:vAlign w:val="top"/>
          </w:tcPr>
          <w:p>
            <w:r>
              <w:t>其他</w:t>
            </w:r>
          </w:p>
        </w:tc>
        <w:tc>
          <w:tcPr>
            <w:tcW w:w="1092" w:type="dxa"/>
            <w:vAlign w:val="top"/>
          </w:tcPr>
          <w:p/>
        </w:tc>
        <w:tc>
          <w:tcPr>
            <w:tcW w:w="1219" w:type="dxa"/>
            <w:vMerge w:val="continue"/>
            <w:tcBorders>
              <w:top w:val="nil"/>
            </w:tcBorders>
            <w:vAlign w:val="top"/>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85" w:type="dxa"/>
            <w:vMerge w:val="restart"/>
            <w:tcBorders>
              <w:bottom w:val="nil"/>
            </w:tcBorders>
            <w:vAlign w:val="top"/>
          </w:tcPr>
          <w:p>
            <w:r>
              <w:t>三、目标完成情 况</w:t>
            </w:r>
          </w:p>
        </w:tc>
        <w:tc>
          <w:tcPr>
            <w:tcW w:w="3322" w:type="dxa"/>
            <w:gridSpan w:val="3"/>
            <w:vAlign w:val="top"/>
          </w:tcPr>
          <w:p>
            <w:r>
              <w:t>年度预期目标</w:t>
            </w:r>
          </w:p>
        </w:tc>
        <w:tc>
          <w:tcPr>
            <w:tcW w:w="3844" w:type="dxa"/>
            <w:gridSpan w:val="3"/>
            <w:vAlign w:val="top"/>
          </w:tcPr>
          <w:p>
            <w:r>
              <w:t>具体完成情况</w:t>
            </w:r>
          </w:p>
        </w:tc>
        <w:tc>
          <w:tcPr>
            <w:tcW w:w="1219" w:type="dxa"/>
            <w:vAlign w:val="top"/>
          </w:tcPr>
          <w:p>
            <w:r>
              <w:t>总体完成率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trPr>
        <w:tc>
          <w:tcPr>
            <w:tcW w:w="1285" w:type="dxa"/>
            <w:vMerge w:val="continue"/>
            <w:tcBorders>
              <w:top w:val="nil"/>
            </w:tcBorders>
            <w:vAlign w:val="top"/>
          </w:tcPr>
          <w:p/>
        </w:tc>
        <w:tc>
          <w:tcPr>
            <w:tcW w:w="3322" w:type="dxa"/>
            <w:gridSpan w:val="3"/>
            <w:vAlign w:val="top"/>
          </w:tcPr>
          <w:p>
            <w:r>
              <w:t>100%</w:t>
            </w:r>
          </w:p>
        </w:tc>
        <w:tc>
          <w:tcPr>
            <w:tcW w:w="3844" w:type="dxa"/>
            <w:gridSpan w:val="3"/>
            <w:vAlign w:val="top"/>
          </w:tcPr>
          <w:p>
            <w:r>
              <w:t>100%</w:t>
            </w:r>
          </w:p>
        </w:tc>
        <w:tc>
          <w:tcPr>
            <w:tcW w:w="1219" w:type="dxa"/>
            <w:vAlign w:val="top"/>
          </w:tcPr>
          <w:p>
            <w: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1285" w:type="dxa"/>
            <w:vMerge w:val="restart"/>
            <w:tcBorders>
              <w:bottom w:val="nil"/>
            </w:tcBorders>
            <w:vAlign w:val="top"/>
          </w:tcPr>
          <w:p/>
          <w:p/>
          <w:p/>
          <w:p/>
          <w:p/>
          <w:p/>
          <w:p/>
          <w:p/>
          <w:p/>
          <w:p/>
          <w:p/>
          <w:p/>
          <w:p/>
          <w:p/>
          <w:p/>
          <w:p/>
          <w:p/>
          <w:p/>
          <w:p/>
          <w:p>
            <w:r>
              <w:t>四、 年度绩效 指标完成情况</w:t>
            </w:r>
          </w:p>
        </w:tc>
        <w:tc>
          <w:tcPr>
            <w:tcW w:w="1199" w:type="dxa"/>
            <w:vAlign w:val="top"/>
          </w:tcPr>
          <w:p>
            <w:r>
              <w:t>一级指标</w:t>
            </w:r>
          </w:p>
        </w:tc>
        <w:tc>
          <w:tcPr>
            <w:tcW w:w="1061" w:type="dxa"/>
            <w:vAlign w:val="top"/>
          </w:tcPr>
          <w:p>
            <w:r>
              <w:t>二级指标</w:t>
            </w:r>
          </w:p>
        </w:tc>
        <w:tc>
          <w:tcPr>
            <w:tcW w:w="1938" w:type="dxa"/>
            <w:gridSpan w:val="2"/>
            <w:vAlign w:val="top"/>
          </w:tcPr>
          <w:p>
            <w:r>
              <w:t>三级指标</w:t>
            </w:r>
          </w:p>
        </w:tc>
        <w:tc>
          <w:tcPr>
            <w:tcW w:w="1876" w:type="dxa"/>
            <w:vAlign w:val="top"/>
          </w:tcPr>
          <w:p>
            <w:r>
              <w:t>预期指标值</w:t>
            </w:r>
          </w:p>
        </w:tc>
        <w:tc>
          <w:tcPr>
            <w:tcW w:w="1092" w:type="dxa"/>
            <w:vAlign w:val="top"/>
          </w:tcPr>
          <w:p>
            <w:r>
              <w:t>实际完成值</w:t>
            </w:r>
          </w:p>
        </w:tc>
        <w:tc>
          <w:tcPr>
            <w:tcW w:w="1219" w:type="dxa"/>
            <w:vAlign w:val="top"/>
          </w:tcPr>
          <w:p>
            <w:r>
              <w:t>自评得分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85" w:type="dxa"/>
            <w:vMerge w:val="continue"/>
            <w:tcBorders>
              <w:top w:val="nil"/>
              <w:bottom w:val="nil"/>
            </w:tcBorders>
            <w:vAlign w:val="top"/>
          </w:tcPr>
          <w:p/>
        </w:tc>
        <w:tc>
          <w:tcPr>
            <w:tcW w:w="1199" w:type="dxa"/>
            <w:vMerge w:val="restart"/>
            <w:tcBorders>
              <w:bottom w:val="nil"/>
            </w:tcBorders>
            <w:vAlign w:val="top"/>
          </w:tcPr>
          <w:p/>
          <w:p/>
          <w:p/>
          <w:p/>
          <w:p/>
          <w:p/>
          <w:p>
            <w:r>
              <w:t>产出指标（50）</w:t>
            </w:r>
          </w:p>
        </w:tc>
        <w:tc>
          <w:tcPr>
            <w:tcW w:w="1061" w:type="dxa"/>
            <w:vMerge w:val="restart"/>
            <w:tcBorders>
              <w:bottom w:val="nil"/>
            </w:tcBorders>
            <w:vAlign w:val="top"/>
          </w:tcPr>
          <w:p>
            <w:r>
              <w:t>数量指标</w:t>
            </w:r>
          </w:p>
        </w:tc>
        <w:tc>
          <w:tcPr>
            <w:tcW w:w="1938" w:type="dxa"/>
            <w:gridSpan w:val="2"/>
            <w:vAlign w:val="top"/>
          </w:tcPr>
          <w:p>
            <w:r>
              <w:t>发放慰问费等支付比例</w:t>
            </w:r>
          </w:p>
        </w:tc>
        <w:tc>
          <w:tcPr>
            <w:tcW w:w="1876" w:type="dxa"/>
            <w:vAlign w:val="top"/>
          </w:tcPr>
          <w:p>
            <w:r>
              <w:t>100%</w:t>
            </w:r>
          </w:p>
        </w:tc>
        <w:tc>
          <w:tcPr>
            <w:tcW w:w="1092" w:type="dxa"/>
            <w:vAlign w:val="top"/>
          </w:tcPr>
          <w:p>
            <w:r>
              <w:t>100%</w:t>
            </w:r>
          </w:p>
        </w:tc>
        <w:tc>
          <w:tcPr>
            <w:tcW w:w="1219" w:type="dxa"/>
            <w:vAlign w:val="top"/>
          </w:tcPr>
          <w:p>
            <w: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85" w:type="dxa"/>
            <w:vMerge w:val="continue"/>
            <w:tcBorders>
              <w:top w:val="nil"/>
              <w:bottom w:val="nil"/>
            </w:tcBorders>
            <w:vAlign w:val="top"/>
          </w:tcPr>
          <w:p/>
        </w:tc>
        <w:tc>
          <w:tcPr>
            <w:tcW w:w="1199" w:type="dxa"/>
            <w:vMerge w:val="continue"/>
            <w:tcBorders>
              <w:top w:val="nil"/>
              <w:bottom w:val="nil"/>
            </w:tcBorders>
            <w:vAlign w:val="top"/>
          </w:tcPr>
          <w:p/>
        </w:tc>
        <w:tc>
          <w:tcPr>
            <w:tcW w:w="1061" w:type="dxa"/>
            <w:vMerge w:val="continue"/>
            <w:tcBorders>
              <w:top w:val="nil"/>
            </w:tcBorders>
            <w:vAlign w:val="top"/>
          </w:tcPr>
          <w:p/>
        </w:tc>
        <w:tc>
          <w:tcPr>
            <w:tcW w:w="1938" w:type="dxa"/>
            <w:gridSpan w:val="2"/>
            <w:vAlign w:val="top"/>
          </w:tcPr>
          <w:p>
            <w:r>
              <w:t>慰问人数比例</w:t>
            </w:r>
          </w:p>
        </w:tc>
        <w:tc>
          <w:tcPr>
            <w:tcW w:w="1876" w:type="dxa"/>
            <w:vAlign w:val="top"/>
          </w:tcPr>
          <w:p>
            <w:r>
              <w:t>100%</w:t>
            </w:r>
          </w:p>
        </w:tc>
        <w:tc>
          <w:tcPr>
            <w:tcW w:w="1092" w:type="dxa"/>
            <w:vAlign w:val="top"/>
          </w:tcPr>
          <w:p>
            <w:r>
              <w:t>100%</w:t>
            </w:r>
          </w:p>
        </w:tc>
        <w:tc>
          <w:tcPr>
            <w:tcW w:w="1219" w:type="dxa"/>
            <w:vAlign w:val="top"/>
          </w:tcPr>
          <w:p>
            <w: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85" w:type="dxa"/>
            <w:vMerge w:val="continue"/>
            <w:tcBorders>
              <w:top w:val="nil"/>
              <w:bottom w:val="nil"/>
            </w:tcBorders>
            <w:vAlign w:val="top"/>
          </w:tcPr>
          <w:p/>
        </w:tc>
        <w:tc>
          <w:tcPr>
            <w:tcW w:w="1199" w:type="dxa"/>
            <w:vMerge w:val="continue"/>
            <w:tcBorders>
              <w:top w:val="nil"/>
              <w:bottom w:val="nil"/>
            </w:tcBorders>
            <w:vAlign w:val="top"/>
          </w:tcPr>
          <w:p/>
        </w:tc>
        <w:tc>
          <w:tcPr>
            <w:tcW w:w="1061" w:type="dxa"/>
            <w:vMerge w:val="restart"/>
            <w:tcBorders>
              <w:bottom w:val="nil"/>
            </w:tcBorders>
            <w:vAlign w:val="top"/>
          </w:tcPr>
          <w:p>
            <w:r>
              <w:t>质量指标</w:t>
            </w:r>
          </w:p>
        </w:tc>
        <w:tc>
          <w:tcPr>
            <w:tcW w:w="1938" w:type="dxa"/>
            <w:gridSpan w:val="2"/>
            <w:vAlign w:val="top"/>
          </w:tcPr>
          <w:p>
            <w:r>
              <w:t>指标 1</w:t>
            </w:r>
          </w:p>
        </w:tc>
        <w:tc>
          <w:tcPr>
            <w:tcW w:w="1876" w:type="dxa"/>
            <w:vAlign w:val="top"/>
          </w:tcPr>
          <w:p/>
        </w:tc>
        <w:tc>
          <w:tcPr>
            <w:tcW w:w="1092" w:type="dxa"/>
            <w:vAlign w:val="top"/>
          </w:tcPr>
          <w:p/>
        </w:tc>
        <w:tc>
          <w:tcPr>
            <w:tcW w:w="1219" w:type="dxa"/>
            <w:vAlign w:val="top"/>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85" w:type="dxa"/>
            <w:vMerge w:val="continue"/>
            <w:tcBorders>
              <w:top w:val="nil"/>
              <w:bottom w:val="nil"/>
            </w:tcBorders>
            <w:vAlign w:val="top"/>
          </w:tcPr>
          <w:p/>
        </w:tc>
        <w:tc>
          <w:tcPr>
            <w:tcW w:w="1199" w:type="dxa"/>
            <w:vMerge w:val="continue"/>
            <w:tcBorders>
              <w:top w:val="nil"/>
              <w:bottom w:val="nil"/>
            </w:tcBorders>
            <w:vAlign w:val="top"/>
          </w:tcPr>
          <w:p/>
        </w:tc>
        <w:tc>
          <w:tcPr>
            <w:tcW w:w="1061" w:type="dxa"/>
            <w:vMerge w:val="continue"/>
            <w:tcBorders>
              <w:top w:val="nil"/>
            </w:tcBorders>
            <w:vAlign w:val="top"/>
          </w:tcPr>
          <w:p/>
        </w:tc>
        <w:tc>
          <w:tcPr>
            <w:tcW w:w="1938" w:type="dxa"/>
            <w:gridSpan w:val="2"/>
            <w:vAlign w:val="top"/>
          </w:tcPr>
          <w:p>
            <w:r>
              <w:t>指标 2</w:t>
            </w:r>
          </w:p>
        </w:tc>
        <w:tc>
          <w:tcPr>
            <w:tcW w:w="1876" w:type="dxa"/>
            <w:vAlign w:val="top"/>
          </w:tcPr>
          <w:p/>
        </w:tc>
        <w:tc>
          <w:tcPr>
            <w:tcW w:w="1092" w:type="dxa"/>
            <w:vAlign w:val="top"/>
          </w:tcPr>
          <w:p/>
        </w:tc>
        <w:tc>
          <w:tcPr>
            <w:tcW w:w="1219" w:type="dxa"/>
            <w:vAlign w:val="top"/>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85" w:type="dxa"/>
            <w:vMerge w:val="continue"/>
            <w:tcBorders>
              <w:top w:val="nil"/>
              <w:bottom w:val="nil"/>
            </w:tcBorders>
            <w:vAlign w:val="top"/>
          </w:tcPr>
          <w:p/>
        </w:tc>
        <w:tc>
          <w:tcPr>
            <w:tcW w:w="1199" w:type="dxa"/>
            <w:vMerge w:val="continue"/>
            <w:tcBorders>
              <w:top w:val="nil"/>
              <w:bottom w:val="nil"/>
            </w:tcBorders>
            <w:vAlign w:val="top"/>
          </w:tcPr>
          <w:p/>
        </w:tc>
        <w:tc>
          <w:tcPr>
            <w:tcW w:w="1061" w:type="dxa"/>
            <w:vMerge w:val="restart"/>
            <w:tcBorders>
              <w:bottom w:val="nil"/>
            </w:tcBorders>
            <w:vAlign w:val="top"/>
          </w:tcPr>
          <w:p/>
          <w:p>
            <w:r>
              <w:t>时效指标</w:t>
            </w:r>
          </w:p>
        </w:tc>
        <w:tc>
          <w:tcPr>
            <w:tcW w:w="1938" w:type="dxa"/>
            <w:gridSpan w:val="2"/>
            <w:vAlign w:val="top"/>
          </w:tcPr>
          <w:p>
            <w:r>
              <w:t>资金支出及时率</w:t>
            </w:r>
          </w:p>
        </w:tc>
        <w:tc>
          <w:tcPr>
            <w:tcW w:w="1876" w:type="dxa"/>
            <w:vAlign w:val="top"/>
          </w:tcPr>
          <w:p>
            <w:r>
              <w:t>&lt;=7天</w:t>
            </w:r>
          </w:p>
        </w:tc>
        <w:tc>
          <w:tcPr>
            <w:tcW w:w="1092" w:type="dxa"/>
            <w:vAlign w:val="top"/>
          </w:tcPr>
          <w:p>
            <w:r>
              <w:t>&lt;=7天</w:t>
            </w:r>
          </w:p>
        </w:tc>
        <w:tc>
          <w:tcPr>
            <w:tcW w:w="1219" w:type="dxa"/>
            <w:vAlign w:val="top"/>
          </w:tcPr>
          <w:p>
            <w: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85" w:type="dxa"/>
            <w:vMerge w:val="continue"/>
            <w:tcBorders>
              <w:top w:val="nil"/>
              <w:bottom w:val="nil"/>
            </w:tcBorders>
            <w:vAlign w:val="top"/>
          </w:tcPr>
          <w:p/>
        </w:tc>
        <w:tc>
          <w:tcPr>
            <w:tcW w:w="1199" w:type="dxa"/>
            <w:vMerge w:val="continue"/>
            <w:tcBorders>
              <w:top w:val="nil"/>
              <w:bottom w:val="nil"/>
            </w:tcBorders>
            <w:vAlign w:val="top"/>
          </w:tcPr>
          <w:p/>
        </w:tc>
        <w:tc>
          <w:tcPr>
            <w:tcW w:w="1061" w:type="dxa"/>
            <w:vMerge w:val="continue"/>
            <w:tcBorders>
              <w:top w:val="nil"/>
              <w:bottom w:val="nil"/>
            </w:tcBorders>
            <w:vAlign w:val="top"/>
          </w:tcPr>
          <w:p/>
        </w:tc>
        <w:tc>
          <w:tcPr>
            <w:tcW w:w="1938" w:type="dxa"/>
            <w:gridSpan w:val="2"/>
            <w:vAlign w:val="top"/>
          </w:tcPr>
          <w:p>
            <w:r>
              <w:t>指标 2</w:t>
            </w:r>
          </w:p>
        </w:tc>
        <w:tc>
          <w:tcPr>
            <w:tcW w:w="1876" w:type="dxa"/>
            <w:vAlign w:val="top"/>
          </w:tcPr>
          <w:p/>
        </w:tc>
        <w:tc>
          <w:tcPr>
            <w:tcW w:w="1092" w:type="dxa"/>
            <w:vAlign w:val="top"/>
          </w:tcPr>
          <w:p/>
        </w:tc>
        <w:tc>
          <w:tcPr>
            <w:tcW w:w="1219" w:type="dxa"/>
            <w:vAlign w:val="top"/>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85" w:type="dxa"/>
            <w:vMerge w:val="continue"/>
            <w:tcBorders>
              <w:top w:val="nil"/>
              <w:bottom w:val="nil"/>
            </w:tcBorders>
            <w:vAlign w:val="top"/>
          </w:tcPr>
          <w:p/>
        </w:tc>
        <w:tc>
          <w:tcPr>
            <w:tcW w:w="1199" w:type="dxa"/>
            <w:vMerge w:val="continue"/>
            <w:tcBorders>
              <w:top w:val="nil"/>
              <w:bottom w:val="nil"/>
            </w:tcBorders>
            <w:vAlign w:val="top"/>
          </w:tcPr>
          <w:p/>
        </w:tc>
        <w:tc>
          <w:tcPr>
            <w:tcW w:w="1061" w:type="dxa"/>
            <w:vMerge w:val="continue"/>
            <w:tcBorders>
              <w:top w:val="nil"/>
            </w:tcBorders>
            <w:vAlign w:val="top"/>
          </w:tcPr>
          <w:p/>
        </w:tc>
        <w:tc>
          <w:tcPr>
            <w:tcW w:w="1938" w:type="dxa"/>
            <w:gridSpan w:val="2"/>
            <w:vAlign w:val="top"/>
          </w:tcPr>
          <w:p>
            <w:r>
              <w:t>…</w:t>
            </w:r>
          </w:p>
        </w:tc>
        <w:tc>
          <w:tcPr>
            <w:tcW w:w="1876" w:type="dxa"/>
            <w:vAlign w:val="top"/>
          </w:tcPr>
          <w:p/>
        </w:tc>
        <w:tc>
          <w:tcPr>
            <w:tcW w:w="1092" w:type="dxa"/>
            <w:vAlign w:val="top"/>
          </w:tcPr>
          <w:p/>
        </w:tc>
        <w:tc>
          <w:tcPr>
            <w:tcW w:w="1219" w:type="dxa"/>
            <w:vAlign w:val="top"/>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85" w:type="dxa"/>
            <w:vMerge w:val="continue"/>
            <w:tcBorders>
              <w:top w:val="nil"/>
              <w:bottom w:val="nil"/>
            </w:tcBorders>
            <w:vAlign w:val="top"/>
          </w:tcPr>
          <w:p/>
        </w:tc>
        <w:tc>
          <w:tcPr>
            <w:tcW w:w="1199" w:type="dxa"/>
            <w:vMerge w:val="continue"/>
            <w:tcBorders>
              <w:top w:val="nil"/>
              <w:bottom w:val="nil"/>
            </w:tcBorders>
            <w:vAlign w:val="top"/>
          </w:tcPr>
          <w:p/>
        </w:tc>
        <w:tc>
          <w:tcPr>
            <w:tcW w:w="1061" w:type="dxa"/>
            <w:vMerge w:val="restart"/>
            <w:tcBorders>
              <w:bottom w:val="nil"/>
            </w:tcBorders>
            <w:vAlign w:val="top"/>
          </w:tcPr>
          <w:p/>
          <w:p>
            <w:r>
              <w:t>成本指标</w:t>
            </w:r>
          </w:p>
        </w:tc>
        <w:tc>
          <w:tcPr>
            <w:tcW w:w="1938" w:type="dxa"/>
            <w:gridSpan w:val="2"/>
            <w:vAlign w:val="top"/>
          </w:tcPr>
          <w:p>
            <w:r>
              <w:t>指标 1</w:t>
            </w:r>
          </w:p>
        </w:tc>
        <w:tc>
          <w:tcPr>
            <w:tcW w:w="1876" w:type="dxa"/>
            <w:vAlign w:val="top"/>
          </w:tcPr>
          <w:p/>
        </w:tc>
        <w:tc>
          <w:tcPr>
            <w:tcW w:w="1092" w:type="dxa"/>
            <w:vAlign w:val="top"/>
          </w:tcPr>
          <w:p/>
        </w:tc>
        <w:tc>
          <w:tcPr>
            <w:tcW w:w="1219" w:type="dxa"/>
            <w:vAlign w:val="top"/>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85" w:type="dxa"/>
            <w:vMerge w:val="continue"/>
            <w:tcBorders>
              <w:top w:val="nil"/>
              <w:bottom w:val="nil"/>
            </w:tcBorders>
            <w:vAlign w:val="top"/>
          </w:tcPr>
          <w:p/>
        </w:tc>
        <w:tc>
          <w:tcPr>
            <w:tcW w:w="1199" w:type="dxa"/>
            <w:vMerge w:val="continue"/>
            <w:tcBorders>
              <w:top w:val="nil"/>
              <w:bottom w:val="nil"/>
            </w:tcBorders>
            <w:vAlign w:val="top"/>
          </w:tcPr>
          <w:p/>
        </w:tc>
        <w:tc>
          <w:tcPr>
            <w:tcW w:w="1061" w:type="dxa"/>
            <w:vMerge w:val="continue"/>
            <w:tcBorders>
              <w:top w:val="nil"/>
              <w:bottom w:val="nil"/>
            </w:tcBorders>
            <w:vAlign w:val="top"/>
          </w:tcPr>
          <w:p/>
        </w:tc>
        <w:tc>
          <w:tcPr>
            <w:tcW w:w="1938" w:type="dxa"/>
            <w:gridSpan w:val="2"/>
            <w:vAlign w:val="top"/>
          </w:tcPr>
          <w:p>
            <w:r>
              <w:t>指标 2</w:t>
            </w:r>
          </w:p>
        </w:tc>
        <w:tc>
          <w:tcPr>
            <w:tcW w:w="1876" w:type="dxa"/>
            <w:vAlign w:val="top"/>
          </w:tcPr>
          <w:p/>
        </w:tc>
        <w:tc>
          <w:tcPr>
            <w:tcW w:w="1092" w:type="dxa"/>
            <w:vAlign w:val="top"/>
          </w:tcPr>
          <w:p/>
        </w:tc>
        <w:tc>
          <w:tcPr>
            <w:tcW w:w="1219" w:type="dxa"/>
            <w:vAlign w:val="top"/>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85" w:type="dxa"/>
            <w:vMerge w:val="continue"/>
            <w:tcBorders>
              <w:top w:val="nil"/>
              <w:bottom w:val="nil"/>
            </w:tcBorders>
            <w:vAlign w:val="top"/>
          </w:tcPr>
          <w:p/>
        </w:tc>
        <w:tc>
          <w:tcPr>
            <w:tcW w:w="1199" w:type="dxa"/>
            <w:vMerge w:val="continue"/>
            <w:tcBorders>
              <w:top w:val="nil"/>
            </w:tcBorders>
            <w:vAlign w:val="top"/>
          </w:tcPr>
          <w:p/>
        </w:tc>
        <w:tc>
          <w:tcPr>
            <w:tcW w:w="1061" w:type="dxa"/>
            <w:vMerge w:val="continue"/>
            <w:tcBorders>
              <w:top w:val="nil"/>
            </w:tcBorders>
            <w:vAlign w:val="top"/>
          </w:tcPr>
          <w:p/>
        </w:tc>
        <w:tc>
          <w:tcPr>
            <w:tcW w:w="1938" w:type="dxa"/>
            <w:gridSpan w:val="2"/>
            <w:vAlign w:val="top"/>
          </w:tcPr>
          <w:p>
            <w:r>
              <w:t>…</w:t>
            </w:r>
          </w:p>
        </w:tc>
        <w:tc>
          <w:tcPr>
            <w:tcW w:w="1876" w:type="dxa"/>
            <w:vAlign w:val="top"/>
          </w:tcPr>
          <w:p/>
        </w:tc>
        <w:tc>
          <w:tcPr>
            <w:tcW w:w="1092" w:type="dxa"/>
            <w:vAlign w:val="top"/>
          </w:tcPr>
          <w:p/>
        </w:tc>
        <w:tc>
          <w:tcPr>
            <w:tcW w:w="1219" w:type="dxa"/>
            <w:vAlign w:val="top"/>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85" w:type="dxa"/>
            <w:vMerge w:val="continue"/>
            <w:tcBorders>
              <w:top w:val="nil"/>
              <w:bottom w:val="nil"/>
            </w:tcBorders>
            <w:vAlign w:val="top"/>
          </w:tcPr>
          <w:p/>
        </w:tc>
        <w:tc>
          <w:tcPr>
            <w:tcW w:w="1199" w:type="dxa"/>
            <w:vMerge w:val="restart"/>
            <w:tcBorders>
              <w:bottom w:val="nil"/>
            </w:tcBorders>
            <w:vAlign w:val="top"/>
          </w:tcPr>
          <w:p/>
          <w:p/>
          <w:p/>
          <w:p/>
          <w:p/>
          <w:p/>
          <w:p/>
          <w:p/>
          <w:p/>
          <w:p>
            <w:r>
              <w:t>效益指标（30）</w:t>
            </w:r>
          </w:p>
        </w:tc>
        <w:tc>
          <w:tcPr>
            <w:tcW w:w="1061" w:type="dxa"/>
            <w:vMerge w:val="restart"/>
            <w:tcBorders>
              <w:bottom w:val="nil"/>
            </w:tcBorders>
            <w:vAlign w:val="top"/>
          </w:tcPr>
          <w:p>
            <w:r>
              <w:t>经济效益指 标</w:t>
            </w:r>
          </w:p>
        </w:tc>
        <w:tc>
          <w:tcPr>
            <w:tcW w:w="1938" w:type="dxa"/>
            <w:gridSpan w:val="2"/>
            <w:vAlign w:val="top"/>
          </w:tcPr>
          <w:p>
            <w:r>
              <w:t>指标 1</w:t>
            </w:r>
          </w:p>
        </w:tc>
        <w:tc>
          <w:tcPr>
            <w:tcW w:w="1876" w:type="dxa"/>
            <w:vAlign w:val="top"/>
          </w:tcPr>
          <w:p/>
        </w:tc>
        <w:tc>
          <w:tcPr>
            <w:tcW w:w="1092" w:type="dxa"/>
            <w:vAlign w:val="top"/>
          </w:tcPr>
          <w:p/>
        </w:tc>
        <w:tc>
          <w:tcPr>
            <w:tcW w:w="1219" w:type="dxa"/>
            <w:vAlign w:val="top"/>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85" w:type="dxa"/>
            <w:vMerge w:val="continue"/>
            <w:tcBorders>
              <w:top w:val="nil"/>
              <w:bottom w:val="nil"/>
            </w:tcBorders>
            <w:vAlign w:val="top"/>
          </w:tcPr>
          <w:p/>
        </w:tc>
        <w:tc>
          <w:tcPr>
            <w:tcW w:w="1199" w:type="dxa"/>
            <w:vMerge w:val="continue"/>
            <w:tcBorders>
              <w:top w:val="nil"/>
              <w:bottom w:val="nil"/>
            </w:tcBorders>
            <w:vAlign w:val="top"/>
          </w:tcPr>
          <w:p/>
        </w:tc>
        <w:tc>
          <w:tcPr>
            <w:tcW w:w="1061" w:type="dxa"/>
            <w:vMerge w:val="continue"/>
            <w:tcBorders>
              <w:top w:val="nil"/>
              <w:bottom w:val="nil"/>
            </w:tcBorders>
            <w:vAlign w:val="top"/>
          </w:tcPr>
          <w:p/>
        </w:tc>
        <w:tc>
          <w:tcPr>
            <w:tcW w:w="1938" w:type="dxa"/>
            <w:gridSpan w:val="2"/>
            <w:vAlign w:val="top"/>
          </w:tcPr>
          <w:p>
            <w:r>
              <w:t>指标 2</w:t>
            </w:r>
          </w:p>
        </w:tc>
        <w:tc>
          <w:tcPr>
            <w:tcW w:w="1876" w:type="dxa"/>
            <w:vAlign w:val="top"/>
          </w:tcPr>
          <w:p/>
        </w:tc>
        <w:tc>
          <w:tcPr>
            <w:tcW w:w="1092" w:type="dxa"/>
            <w:vAlign w:val="top"/>
          </w:tcPr>
          <w:p/>
        </w:tc>
        <w:tc>
          <w:tcPr>
            <w:tcW w:w="1219" w:type="dxa"/>
            <w:vAlign w:val="top"/>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85" w:type="dxa"/>
            <w:vMerge w:val="continue"/>
            <w:tcBorders>
              <w:top w:val="nil"/>
              <w:bottom w:val="nil"/>
            </w:tcBorders>
            <w:vAlign w:val="top"/>
          </w:tcPr>
          <w:p/>
        </w:tc>
        <w:tc>
          <w:tcPr>
            <w:tcW w:w="1199" w:type="dxa"/>
            <w:vMerge w:val="continue"/>
            <w:tcBorders>
              <w:top w:val="nil"/>
              <w:bottom w:val="nil"/>
            </w:tcBorders>
            <w:vAlign w:val="top"/>
          </w:tcPr>
          <w:p/>
        </w:tc>
        <w:tc>
          <w:tcPr>
            <w:tcW w:w="1061" w:type="dxa"/>
            <w:vMerge w:val="continue"/>
            <w:tcBorders>
              <w:top w:val="nil"/>
            </w:tcBorders>
            <w:vAlign w:val="top"/>
          </w:tcPr>
          <w:p/>
        </w:tc>
        <w:tc>
          <w:tcPr>
            <w:tcW w:w="1938" w:type="dxa"/>
            <w:gridSpan w:val="2"/>
            <w:vAlign w:val="top"/>
          </w:tcPr>
          <w:p>
            <w:r>
              <w:t>…</w:t>
            </w:r>
          </w:p>
        </w:tc>
        <w:tc>
          <w:tcPr>
            <w:tcW w:w="1876" w:type="dxa"/>
            <w:vAlign w:val="top"/>
          </w:tcPr>
          <w:p/>
        </w:tc>
        <w:tc>
          <w:tcPr>
            <w:tcW w:w="1092" w:type="dxa"/>
            <w:vAlign w:val="top"/>
          </w:tcPr>
          <w:p/>
        </w:tc>
        <w:tc>
          <w:tcPr>
            <w:tcW w:w="1219" w:type="dxa"/>
            <w:vAlign w:val="top"/>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85" w:type="dxa"/>
            <w:vMerge w:val="continue"/>
            <w:tcBorders>
              <w:top w:val="nil"/>
              <w:bottom w:val="nil"/>
            </w:tcBorders>
            <w:vAlign w:val="top"/>
          </w:tcPr>
          <w:p/>
        </w:tc>
        <w:tc>
          <w:tcPr>
            <w:tcW w:w="1199" w:type="dxa"/>
            <w:vMerge w:val="continue"/>
            <w:tcBorders>
              <w:top w:val="nil"/>
              <w:bottom w:val="nil"/>
            </w:tcBorders>
            <w:vAlign w:val="top"/>
          </w:tcPr>
          <w:p/>
        </w:tc>
        <w:tc>
          <w:tcPr>
            <w:tcW w:w="1061" w:type="dxa"/>
            <w:vMerge w:val="restart"/>
            <w:tcBorders>
              <w:bottom w:val="nil"/>
            </w:tcBorders>
            <w:vAlign w:val="top"/>
          </w:tcPr>
          <w:p/>
          <w:p/>
          <w:p>
            <w:r>
              <w:t>社会效益指 标</w:t>
            </w:r>
          </w:p>
        </w:tc>
        <w:tc>
          <w:tcPr>
            <w:tcW w:w="1938" w:type="dxa"/>
            <w:gridSpan w:val="2"/>
            <w:vAlign w:val="top"/>
          </w:tcPr>
          <w:p>
            <w:r>
              <w:t>待遇落实率</w:t>
            </w:r>
          </w:p>
        </w:tc>
        <w:tc>
          <w:tcPr>
            <w:tcW w:w="1876" w:type="dxa"/>
            <w:vAlign w:val="top"/>
          </w:tcPr>
          <w:p>
            <w:r>
              <w:t>100%</w:t>
            </w:r>
          </w:p>
        </w:tc>
        <w:tc>
          <w:tcPr>
            <w:tcW w:w="1092" w:type="dxa"/>
            <w:vAlign w:val="top"/>
          </w:tcPr>
          <w:p>
            <w:r>
              <w:t>100%</w:t>
            </w:r>
          </w:p>
        </w:tc>
        <w:tc>
          <w:tcPr>
            <w:tcW w:w="1219" w:type="dxa"/>
            <w:vAlign w:val="top"/>
          </w:tcPr>
          <w:p>
            <w: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6" w:hRule="atLeast"/>
        </w:trPr>
        <w:tc>
          <w:tcPr>
            <w:tcW w:w="1285" w:type="dxa"/>
            <w:vMerge w:val="continue"/>
            <w:tcBorders>
              <w:top w:val="nil"/>
              <w:bottom w:val="nil"/>
            </w:tcBorders>
            <w:vAlign w:val="top"/>
          </w:tcPr>
          <w:p/>
        </w:tc>
        <w:tc>
          <w:tcPr>
            <w:tcW w:w="1199" w:type="dxa"/>
            <w:vMerge w:val="continue"/>
            <w:tcBorders>
              <w:top w:val="nil"/>
              <w:bottom w:val="nil"/>
            </w:tcBorders>
            <w:vAlign w:val="top"/>
          </w:tcPr>
          <w:p/>
        </w:tc>
        <w:tc>
          <w:tcPr>
            <w:tcW w:w="1061" w:type="dxa"/>
            <w:vMerge w:val="continue"/>
            <w:tcBorders>
              <w:top w:val="nil"/>
              <w:bottom w:val="nil"/>
            </w:tcBorders>
            <w:vAlign w:val="top"/>
          </w:tcPr>
          <w:p/>
        </w:tc>
        <w:tc>
          <w:tcPr>
            <w:tcW w:w="1938" w:type="dxa"/>
            <w:gridSpan w:val="2"/>
            <w:vAlign w:val="top"/>
          </w:tcPr>
          <w:p/>
          <w:p>
            <w:r>
              <w:t>老干部建言献策水平</w:t>
            </w:r>
          </w:p>
        </w:tc>
        <w:tc>
          <w:tcPr>
            <w:tcW w:w="1876" w:type="dxa"/>
            <w:vAlign w:val="top"/>
          </w:tcPr>
          <w:p>
            <w:r>
              <w:t>通过及时落实各项待</w:t>
            </w:r>
          </w:p>
          <w:p>
            <w:r>
              <w:t>遇，组织各项活动，促</w:t>
            </w:r>
          </w:p>
          <w:p>
            <w:r>
              <w:t>进老干部发挥作用</w:t>
            </w:r>
          </w:p>
        </w:tc>
        <w:tc>
          <w:tcPr>
            <w:tcW w:w="1092" w:type="dxa"/>
            <w:vAlign w:val="top"/>
          </w:tcPr>
          <w:p/>
          <w:p>
            <w:r>
              <w:t>100%</w:t>
            </w:r>
          </w:p>
        </w:tc>
        <w:tc>
          <w:tcPr>
            <w:tcW w:w="1219" w:type="dxa"/>
            <w:vAlign w:val="top"/>
          </w:tcPr>
          <w:p/>
          <w:p>
            <w:r>
              <w:t>99%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85" w:type="dxa"/>
            <w:vMerge w:val="continue"/>
            <w:tcBorders>
              <w:top w:val="nil"/>
              <w:bottom w:val="nil"/>
            </w:tcBorders>
            <w:vAlign w:val="top"/>
          </w:tcPr>
          <w:p/>
        </w:tc>
        <w:tc>
          <w:tcPr>
            <w:tcW w:w="1199" w:type="dxa"/>
            <w:vMerge w:val="continue"/>
            <w:tcBorders>
              <w:top w:val="nil"/>
              <w:bottom w:val="nil"/>
            </w:tcBorders>
            <w:vAlign w:val="top"/>
          </w:tcPr>
          <w:p/>
        </w:tc>
        <w:tc>
          <w:tcPr>
            <w:tcW w:w="1061" w:type="dxa"/>
            <w:vMerge w:val="continue"/>
            <w:tcBorders>
              <w:top w:val="nil"/>
            </w:tcBorders>
            <w:vAlign w:val="top"/>
          </w:tcPr>
          <w:p/>
        </w:tc>
        <w:tc>
          <w:tcPr>
            <w:tcW w:w="1938" w:type="dxa"/>
            <w:gridSpan w:val="2"/>
            <w:vAlign w:val="top"/>
          </w:tcPr>
          <w:p>
            <w:r>
              <w:t>…</w:t>
            </w:r>
          </w:p>
        </w:tc>
        <w:tc>
          <w:tcPr>
            <w:tcW w:w="1876" w:type="dxa"/>
            <w:vAlign w:val="top"/>
          </w:tcPr>
          <w:p/>
        </w:tc>
        <w:tc>
          <w:tcPr>
            <w:tcW w:w="1092" w:type="dxa"/>
            <w:vAlign w:val="top"/>
          </w:tcPr>
          <w:p/>
        </w:tc>
        <w:tc>
          <w:tcPr>
            <w:tcW w:w="1219" w:type="dxa"/>
            <w:vAlign w:val="top"/>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85" w:type="dxa"/>
            <w:vMerge w:val="continue"/>
            <w:tcBorders>
              <w:top w:val="nil"/>
              <w:bottom w:val="nil"/>
            </w:tcBorders>
            <w:vAlign w:val="top"/>
          </w:tcPr>
          <w:p/>
        </w:tc>
        <w:tc>
          <w:tcPr>
            <w:tcW w:w="1199" w:type="dxa"/>
            <w:vMerge w:val="continue"/>
            <w:tcBorders>
              <w:top w:val="nil"/>
              <w:bottom w:val="nil"/>
            </w:tcBorders>
            <w:vAlign w:val="top"/>
          </w:tcPr>
          <w:p/>
        </w:tc>
        <w:tc>
          <w:tcPr>
            <w:tcW w:w="1061" w:type="dxa"/>
            <w:vMerge w:val="restart"/>
            <w:tcBorders>
              <w:bottom w:val="nil"/>
            </w:tcBorders>
            <w:vAlign w:val="top"/>
          </w:tcPr>
          <w:p>
            <w:r>
              <w:t>生态效益指 标</w:t>
            </w:r>
          </w:p>
        </w:tc>
        <w:tc>
          <w:tcPr>
            <w:tcW w:w="1938" w:type="dxa"/>
            <w:gridSpan w:val="2"/>
            <w:vAlign w:val="top"/>
          </w:tcPr>
          <w:p>
            <w:r>
              <w:t>指标 1</w:t>
            </w:r>
          </w:p>
        </w:tc>
        <w:tc>
          <w:tcPr>
            <w:tcW w:w="1876" w:type="dxa"/>
            <w:vAlign w:val="top"/>
          </w:tcPr>
          <w:p/>
        </w:tc>
        <w:tc>
          <w:tcPr>
            <w:tcW w:w="1092" w:type="dxa"/>
            <w:vAlign w:val="top"/>
          </w:tcPr>
          <w:p/>
        </w:tc>
        <w:tc>
          <w:tcPr>
            <w:tcW w:w="1219" w:type="dxa"/>
            <w:vAlign w:val="top"/>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85" w:type="dxa"/>
            <w:vMerge w:val="continue"/>
            <w:tcBorders>
              <w:top w:val="nil"/>
              <w:bottom w:val="nil"/>
            </w:tcBorders>
            <w:vAlign w:val="top"/>
          </w:tcPr>
          <w:p/>
        </w:tc>
        <w:tc>
          <w:tcPr>
            <w:tcW w:w="1199" w:type="dxa"/>
            <w:vMerge w:val="continue"/>
            <w:tcBorders>
              <w:top w:val="nil"/>
              <w:bottom w:val="nil"/>
            </w:tcBorders>
            <w:vAlign w:val="top"/>
          </w:tcPr>
          <w:p/>
        </w:tc>
        <w:tc>
          <w:tcPr>
            <w:tcW w:w="1061" w:type="dxa"/>
            <w:vMerge w:val="continue"/>
            <w:tcBorders>
              <w:top w:val="nil"/>
            </w:tcBorders>
            <w:vAlign w:val="top"/>
          </w:tcPr>
          <w:p/>
        </w:tc>
        <w:tc>
          <w:tcPr>
            <w:tcW w:w="1938" w:type="dxa"/>
            <w:gridSpan w:val="2"/>
            <w:vAlign w:val="top"/>
          </w:tcPr>
          <w:p>
            <w:r>
              <w:t>指标 2</w:t>
            </w:r>
          </w:p>
        </w:tc>
        <w:tc>
          <w:tcPr>
            <w:tcW w:w="1876" w:type="dxa"/>
            <w:vAlign w:val="top"/>
          </w:tcPr>
          <w:p/>
        </w:tc>
        <w:tc>
          <w:tcPr>
            <w:tcW w:w="1092" w:type="dxa"/>
            <w:vAlign w:val="top"/>
          </w:tcPr>
          <w:p/>
        </w:tc>
        <w:tc>
          <w:tcPr>
            <w:tcW w:w="1219" w:type="dxa"/>
            <w:vAlign w:val="top"/>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85" w:type="dxa"/>
            <w:vMerge w:val="continue"/>
            <w:tcBorders>
              <w:top w:val="nil"/>
              <w:bottom w:val="nil"/>
            </w:tcBorders>
            <w:vAlign w:val="top"/>
          </w:tcPr>
          <w:p/>
        </w:tc>
        <w:tc>
          <w:tcPr>
            <w:tcW w:w="1199" w:type="dxa"/>
            <w:vMerge w:val="continue"/>
            <w:tcBorders>
              <w:top w:val="nil"/>
              <w:bottom w:val="nil"/>
            </w:tcBorders>
            <w:vAlign w:val="top"/>
          </w:tcPr>
          <w:p/>
        </w:tc>
        <w:tc>
          <w:tcPr>
            <w:tcW w:w="1061" w:type="dxa"/>
            <w:vMerge w:val="restart"/>
            <w:tcBorders>
              <w:bottom w:val="nil"/>
            </w:tcBorders>
            <w:vAlign w:val="top"/>
          </w:tcPr>
          <w:p/>
          <w:p>
            <w:r>
              <w:t>可持续影响 指标</w:t>
            </w:r>
          </w:p>
        </w:tc>
        <w:tc>
          <w:tcPr>
            <w:tcW w:w="1938" w:type="dxa"/>
            <w:gridSpan w:val="2"/>
            <w:vAlign w:val="top"/>
          </w:tcPr>
          <w:p>
            <w:r>
              <w:t>长期使用性</w:t>
            </w:r>
          </w:p>
        </w:tc>
        <w:tc>
          <w:tcPr>
            <w:tcW w:w="1876" w:type="dxa"/>
            <w:vAlign w:val="top"/>
          </w:tcPr>
          <w:p>
            <w:r>
              <w:t>能够长期较好的发挥老 干部作用</w:t>
            </w:r>
          </w:p>
        </w:tc>
        <w:tc>
          <w:tcPr>
            <w:tcW w:w="1092" w:type="dxa"/>
            <w:vAlign w:val="top"/>
          </w:tcPr>
          <w:p>
            <w:r>
              <w:t>100%</w:t>
            </w:r>
          </w:p>
        </w:tc>
        <w:tc>
          <w:tcPr>
            <w:tcW w:w="1219" w:type="dxa"/>
            <w:vAlign w:val="top"/>
          </w:tcPr>
          <w:p>
            <w: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85" w:type="dxa"/>
            <w:vMerge w:val="continue"/>
            <w:tcBorders>
              <w:top w:val="nil"/>
              <w:bottom w:val="nil"/>
            </w:tcBorders>
            <w:vAlign w:val="top"/>
          </w:tcPr>
          <w:p/>
        </w:tc>
        <w:tc>
          <w:tcPr>
            <w:tcW w:w="1199" w:type="dxa"/>
            <w:vMerge w:val="continue"/>
            <w:tcBorders>
              <w:top w:val="nil"/>
              <w:bottom w:val="nil"/>
            </w:tcBorders>
            <w:vAlign w:val="top"/>
          </w:tcPr>
          <w:p/>
        </w:tc>
        <w:tc>
          <w:tcPr>
            <w:tcW w:w="1061" w:type="dxa"/>
            <w:vMerge w:val="continue"/>
            <w:tcBorders>
              <w:top w:val="nil"/>
              <w:bottom w:val="nil"/>
            </w:tcBorders>
            <w:vAlign w:val="top"/>
          </w:tcPr>
          <w:p/>
        </w:tc>
        <w:tc>
          <w:tcPr>
            <w:tcW w:w="1938" w:type="dxa"/>
            <w:gridSpan w:val="2"/>
            <w:vAlign w:val="top"/>
          </w:tcPr>
          <w:p>
            <w:r>
              <w:t>指标 2</w:t>
            </w:r>
          </w:p>
        </w:tc>
        <w:tc>
          <w:tcPr>
            <w:tcW w:w="1876" w:type="dxa"/>
            <w:vAlign w:val="top"/>
          </w:tcPr>
          <w:p/>
        </w:tc>
        <w:tc>
          <w:tcPr>
            <w:tcW w:w="1092" w:type="dxa"/>
            <w:vAlign w:val="top"/>
          </w:tcPr>
          <w:p/>
        </w:tc>
        <w:tc>
          <w:tcPr>
            <w:tcW w:w="1219" w:type="dxa"/>
            <w:vAlign w:val="top"/>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85" w:type="dxa"/>
            <w:vMerge w:val="continue"/>
            <w:tcBorders>
              <w:top w:val="nil"/>
              <w:bottom w:val="nil"/>
            </w:tcBorders>
            <w:vAlign w:val="top"/>
          </w:tcPr>
          <w:p/>
        </w:tc>
        <w:tc>
          <w:tcPr>
            <w:tcW w:w="1199" w:type="dxa"/>
            <w:vMerge w:val="continue"/>
            <w:tcBorders>
              <w:top w:val="nil"/>
            </w:tcBorders>
            <w:vAlign w:val="top"/>
          </w:tcPr>
          <w:p/>
        </w:tc>
        <w:tc>
          <w:tcPr>
            <w:tcW w:w="1061" w:type="dxa"/>
            <w:vMerge w:val="continue"/>
            <w:tcBorders>
              <w:top w:val="nil"/>
            </w:tcBorders>
            <w:vAlign w:val="top"/>
          </w:tcPr>
          <w:p/>
        </w:tc>
        <w:tc>
          <w:tcPr>
            <w:tcW w:w="1938" w:type="dxa"/>
            <w:gridSpan w:val="2"/>
            <w:vAlign w:val="top"/>
          </w:tcPr>
          <w:p>
            <w:r>
              <w:t>…</w:t>
            </w:r>
          </w:p>
        </w:tc>
        <w:tc>
          <w:tcPr>
            <w:tcW w:w="1876" w:type="dxa"/>
            <w:vAlign w:val="top"/>
          </w:tcPr>
          <w:p/>
        </w:tc>
        <w:tc>
          <w:tcPr>
            <w:tcW w:w="1092" w:type="dxa"/>
            <w:vAlign w:val="top"/>
          </w:tcPr>
          <w:p/>
        </w:tc>
        <w:tc>
          <w:tcPr>
            <w:tcW w:w="1219" w:type="dxa"/>
            <w:vAlign w:val="top"/>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85" w:type="dxa"/>
            <w:vMerge w:val="continue"/>
            <w:tcBorders>
              <w:top w:val="nil"/>
              <w:bottom w:val="nil"/>
            </w:tcBorders>
            <w:vAlign w:val="top"/>
          </w:tcPr>
          <w:p/>
        </w:tc>
        <w:tc>
          <w:tcPr>
            <w:tcW w:w="1199" w:type="dxa"/>
            <w:vMerge w:val="restart"/>
            <w:tcBorders>
              <w:bottom w:val="nil"/>
            </w:tcBorders>
            <w:vAlign w:val="top"/>
          </w:tcPr>
          <w:p>
            <w:r>
              <w:t>满意度指标</w:t>
            </w:r>
          </w:p>
          <w:p>
            <w:r>
              <w:t>（10）</w:t>
            </w:r>
          </w:p>
        </w:tc>
        <w:tc>
          <w:tcPr>
            <w:tcW w:w="1061" w:type="dxa"/>
            <w:vMerge w:val="restart"/>
            <w:tcBorders>
              <w:bottom w:val="nil"/>
            </w:tcBorders>
            <w:vAlign w:val="top"/>
          </w:tcPr>
          <w:p>
            <w:r>
              <w:t>满意度指标</w:t>
            </w:r>
          </w:p>
        </w:tc>
        <w:tc>
          <w:tcPr>
            <w:tcW w:w="1938" w:type="dxa"/>
            <w:gridSpan w:val="2"/>
            <w:vAlign w:val="top"/>
          </w:tcPr>
          <w:p>
            <w:r>
              <w:t>满意度</w:t>
            </w:r>
          </w:p>
        </w:tc>
        <w:tc>
          <w:tcPr>
            <w:tcW w:w="1876" w:type="dxa"/>
            <w:vAlign w:val="top"/>
          </w:tcPr>
          <w:p>
            <w:r>
              <w:t>&gt;=90%</w:t>
            </w:r>
          </w:p>
        </w:tc>
        <w:tc>
          <w:tcPr>
            <w:tcW w:w="1092" w:type="dxa"/>
            <w:vAlign w:val="top"/>
          </w:tcPr>
          <w:p>
            <w:r>
              <w:t>100%</w:t>
            </w:r>
          </w:p>
        </w:tc>
        <w:tc>
          <w:tcPr>
            <w:tcW w:w="1219" w:type="dxa"/>
            <w:vAlign w:val="top"/>
          </w:tcPr>
          <w:p>
            <w: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trPr>
        <w:tc>
          <w:tcPr>
            <w:tcW w:w="1285" w:type="dxa"/>
            <w:vMerge w:val="continue"/>
            <w:tcBorders>
              <w:top w:val="nil"/>
              <w:bottom w:val="nil"/>
            </w:tcBorders>
            <w:vAlign w:val="top"/>
          </w:tcPr>
          <w:p/>
        </w:tc>
        <w:tc>
          <w:tcPr>
            <w:tcW w:w="1199" w:type="dxa"/>
            <w:vMerge w:val="continue"/>
            <w:tcBorders>
              <w:top w:val="nil"/>
            </w:tcBorders>
            <w:vAlign w:val="top"/>
          </w:tcPr>
          <w:p/>
        </w:tc>
        <w:tc>
          <w:tcPr>
            <w:tcW w:w="1061" w:type="dxa"/>
            <w:vMerge w:val="continue"/>
            <w:tcBorders>
              <w:top w:val="nil"/>
            </w:tcBorders>
            <w:vAlign w:val="top"/>
          </w:tcPr>
          <w:p/>
        </w:tc>
        <w:tc>
          <w:tcPr>
            <w:tcW w:w="1938" w:type="dxa"/>
            <w:gridSpan w:val="2"/>
            <w:vAlign w:val="top"/>
          </w:tcPr>
          <w:p>
            <w:r>
              <w:t>指标 2</w:t>
            </w:r>
          </w:p>
        </w:tc>
        <w:tc>
          <w:tcPr>
            <w:tcW w:w="1876" w:type="dxa"/>
            <w:vAlign w:val="top"/>
          </w:tcPr>
          <w:p/>
        </w:tc>
        <w:tc>
          <w:tcPr>
            <w:tcW w:w="1092" w:type="dxa"/>
            <w:vAlign w:val="top"/>
          </w:tcPr>
          <w:p/>
        </w:tc>
        <w:tc>
          <w:tcPr>
            <w:tcW w:w="1219" w:type="dxa"/>
            <w:vAlign w:val="top"/>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285" w:type="dxa"/>
            <w:vMerge w:val="continue"/>
            <w:tcBorders>
              <w:top w:val="nil"/>
              <w:bottom w:val="nil"/>
            </w:tcBorders>
            <w:vAlign w:val="top"/>
          </w:tcPr>
          <w:p/>
        </w:tc>
        <w:tc>
          <w:tcPr>
            <w:tcW w:w="1199" w:type="dxa"/>
            <w:vAlign w:val="top"/>
          </w:tcPr>
          <w:p>
            <w:r>
              <w:t>预算执行率</w:t>
            </w:r>
          </w:p>
          <w:p>
            <w:r>
              <w:t>（10）</w:t>
            </w:r>
          </w:p>
        </w:tc>
        <w:tc>
          <w:tcPr>
            <w:tcW w:w="1061" w:type="dxa"/>
            <w:vAlign w:val="top"/>
          </w:tcPr>
          <w:p>
            <w:r>
              <w:t>预算执行率</w:t>
            </w:r>
          </w:p>
        </w:tc>
        <w:tc>
          <w:tcPr>
            <w:tcW w:w="1938" w:type="dxa"/>
            <w:gridSpan w:val="2"/>
            <w:vAlign w:val="top"/>
          </w:tcPr>
          <w:p/>
        </w:tc>
        <w:tc>
          <w:tcPr>
            <w:tcW w:w="1876" w:type="dxa"/>
            <w:vAlign w:val="top"/>
          </w:tcPr>
          <w:p/>
        </w:tc>
        <w:tc>
          <w:tcPr>
            <w:tcW w:w="1092" w:type="dxa"/>
            <w:vAlign w:val="top"/>
          </w:tcPr>
          <w:p/>
        </w:tc>
        <w:tc>
          <w:tcPr>
            <w:tcW w:w="1219" w:type="dxa"/>
            <w:vAlign w:val="top"/>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285" w:type="dxa"/>
            <w:vMerge w:val="continue"/>
            <w:tcBorders>
              <w:top w:val="nil"/>
            </w:tcBorders>
            <w:vAlign w:val="top"/>
          </w:tcPr>
          <w:p/>
        </w:tc>
        <w:tc>
          <w:tcPr>
            <w:tcW w:w="7166" w:type="dxa"/>
            <w:gridSpan w:val="6"/>
            <w:vAlign w:val="top"/>
          </w:tcPr>
          <w:p>
            <w:r>
              <w:t>总分</w:t>
            </w:r>
          </w:p>
        </w:tc>
        <w:tc>
          <w:tcPr>
            <w:tcW w:w="1219" w:type="dxa"/>
            <w:vAlign w:val="top"/>
          </w:tcPr>
          <w:p>
            <w:r>
              <w:t>99</w:t>
            </w:r>
          </w:p>
        </w:tc>
      </w:tr>
    </w:tbl>
    <w:p>
      <w:pPr>
        <w:adjustRightInd w:val="0"/>
        <w:snapToGrid w:val="0"/>
        <w:spacing w:line="580" w:lineRule="exact"/>
        <w:ind w:left="480" w:leftChars="200" w:firstLine="321" w:firstLineChars="1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（三）部门评价项目绩效评价结果（如有）</w:t>
      </w:r>
    </w:p>
    <w:p>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pPr>
        <w:pageBreakBefore w:val="0"/>
        <w:kinsoku/>
        <w:wordWrap/>
        <w:overflowPunct/>
        <w:topLinePunct w:val="0"/>
        <w:autoSpaceDE w:val="0"/>
        <w:autoSpaceDN w:val="0"/>
        <w:bidi w:val="0"/>
        <w:adjustRightInd w:val="0"/>
        <w:spacing w:line="580" w:lineRule="exact"/>
        <w:ind w:firstLine="640" w:firstLineChars="200"/>
        <w:jc w:val="left"/>
        <w:rPr>
          <w:rFonts w:hint="default" w:ascii="Times New Roman" w:hAnsi="Times New Roman" w:eastAsia="仿宋_GB2312" w:cs="Times New Roman"/>
          <w:kern w:val="2"/>
          <w:sz w:val="32"/>
          <w:szCs w:val="32"/>
          <w:lang w:eastAsia="zh-CN"/>
        </w:rPr>
      </w:pPr>
      <w:r>
        <w:rPr>
          <w:rFonts w:hint="default" w:ascii="Times New Roman" w:hAnsi="Times New Roman" w:eastAsia="仿宋_GB2312" w:cs="Times New Roman"/>
          <w:sz w:val="32"/>
          <w:szCs w:val="32"/>
        </w:rPr>
        <w:t>1. 本部门2023年度</w:t>
      </w:r>
      <w:r>
        <w:rPr>
          <w:rFonts w:hint="default" w:ascii="Times New Roman" w:hAnsi="Times New Roman" w:eastAsia="仿宋_GB2312" w:cs="Times New Roman"/>
          <w:kern w:val="2"/>
          <w:sz w:val="32"/>
          <w:szCs w:val="32"/>
          <w:lang w:eastAsia="zh-CN"/>
        </w:rPr>
        <w:t>未发生政府性基金预算财政拨款收入、国有资本经营预算财政拨款支出及结转结余情况，故政府性基金预算财政拨款收入决算表、国有资本经营预算财政拨款支出决算表以空表列示。</w:t>
      </w:r>
    </w:p>
    <w:p>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pPr>
        <w:adjustRightInd w:val="0"/>
        <w:snapToGrid w:val="0"/>
        <w:spacing w:line="580" w:lineRule="exact"/>
        <w:ind w:firstLine="640" w:firstLineChars="200"/>
        <w:rPr>
          <w:rFonts w:hint="default" w:ascii="Times New Roman" w:hAnsi="Times New Roman" w:eastAsia="仿宋_GB2312" w:cs="Times New Roman"/>
          <w:sz w:val="32"/>
          <w:szCs w:val="32"/>
        </w:rPr>
      </w:pPr>
    </w:p>
    <w:p>
      <w:pPr>
        <w:widowControl/>
        <w:spacing w:line="580" w:lineRule="exact"/>
        <w:ind w:firstLine="883" w:firstLineChars="200"/>
        <w:jc w:val="left"/>
        <w:rPr>
          <w:rFonts w:hint="default" w:ascii="Times New Roman" w:hAnsi="Times New Roman" w:eastAsia="宋体" w:cs="Times New Roman"/>
          <w:b/>
          <w:bCs/>
          <w:kern w:val="0"/>
          <w:sz w:val="44"/>
          <w:szCs w:val="44"/>
        </w:rPr>
      </w:pPr>
    </w:p>
    <w:p>
      <w:pPr>
        <w:rPr>
          <w:rFonts w:hint="default" w:ascii="Times New Roman" w:hAnsi="Times New Roman" w:eastAsia="仿宋_GB2312" w:cs="Times New Roman"/>
          <w:sz w:val="32"/>
          <w:szCs w:val="32"/>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rPr>
          <w:rFonts w:hint="default" w:ascii="Times New Roman" w:hAnsi="Times New Roman" w:eastAsia="仿宋_GB2312" w:cs="Times New Roman"/>
          <w:sz w:val="32"/>
          <w:szCs w:val="32"/>
        </w:rPr>
      </w:pPr>
    </w:p>
    <w:p>
      <w:pPr>
        <w:rPr>
          <w:rFonts w:hint="default"/>
          <w:sz w:val="32"/>
          <w:szCs w:val="32"/>
        </w:rPr>
      </w:pPr>
      <w:r>
        <w:rPr>
          <w:rFonts w:hint="default"/>
          <w:sz w:val="32"/>
          <w:szCs w:val="32"/>
        </w:rPr>
        <w:t>(各部门应根据本部门实际情况,对公开的本部门决算信息中相关专业性较强的名词进行必要解释和说明，包含但不限于以下名词解释。)</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pPr>
        <w:rPr>
          <w:rFonts w:hint="default" w:ascii="Times New Roman" w:hAnsi="Times New Roman" w:cs="Times New Roman"/>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AFF" w:usb1="C0007841" w:usb2="00000009" w:usb3="00000000" w:csb0="400001FF" w:csb1="FFFF0000"/>
  </w:font>
  <w:font w:name="宋体">
    <w:panose1 w:val="02010600030101010101"/>
    <w:charset w:val="8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7CCFF890-D5C2-4617-AD06-7CFFA4C7B604}"/>
  </w:font>
  <w:font w:name="黑体">
    <w:panose1 w:val="02010609060101010101"/>
    <w:charset w:val="86"/>
    <w:family w:val="auto"/>
    <w:pitch w:val="default"/>
    <w:sig w:usb0="800002BF" w:usb1="38CF7CFA" w:usb2="00000016" w:usb3="00000000" w:csb0="00040001" w:csb1="00000000"/>
    <w:embedRegular r:id="rId2" w:fontKey="{2FB92813-783F-4DC2-A982-072783E276D7}"/>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3E5C5576-9E19-4417-A510-9127F5ACC160}"/>
  </w:font>
  <w:font w:name="仿宋">
    <w:panose1 w:val="02010609060101010101"/>
    <w:charset w:val="86"/>
    <w:family w:val="modern"/>
    <w:pitch w:val="default"/>
    <w:sig w:usb0="800002BF" w:usb1="38CF7CFA" w:usb2="00000016" w:usb3="00000000" w:csb0="00040001" w:csb1="00000000"/>
    <w:embedRegular r:id="rId4" w:fontKey="{126EA73B-7FC4-4A94-8CB4-695A7B17416E}"/>
  </w:font>
  <w:font w:name="Calibri Light">
    <w:panose1 w:val="020F0302020204030204"/>
    <w:charset w:val="00"/>
    <w:family w:val="auto"/>
    <w:pitch w:val="default"/>
    <w:sig w:usb0="A00002EF" w:usb1="4000207B" w:usb2="00000000" w:usb3="00000000" w:csb0="2000019F" w:csb1="00000000"/>
  </w:font>
  <w:font w:name="华文中宋">
    <w:panose1 w:val="02010600040101010101"/>
    <w:charset w:val="86"/>
    <w:family w:val="auto"/>
    <w:pitch w:val="default"/>
    <w:sig w:usb0="00000287" w:usb1="080F0000" w:usb2="00000000" w:usb3="00000000" w:csb0="0004009F" w:csb1="DFD70000"/>
  </w:font>
  <w:font w:name="方正魏碑简体">
    <w:altName w:val="微软雅黑"/>
    <w:panose1 w:val="00000000000000000000"/>
    <w:charset w:val="86"/>
    <w:family w:val="auto"/>
    <w:pitch w:val="default"/>
    <w:sig w:usb0="00000000" w:usb1="00000000" w:usb2="00000010" w:usb3="00000000" w:csb0="00040000" w:csb1="00000000"/>
    <w:embedRegular r:id="rId5" w:fontKey="{FC4D745B-938D-41D2-954F-95DD50069909}"/>
  </w:font>
  <w:font w:name="思源黑体 CN Heavy">
    <w:altName w:val="黑体"/>
    <w:panose1 w:val="00000000000000000000"/>
    <w:charset w:val="86"/>
    <w:family w:val="swiss"/>
    <w:pitch w:val="default"/>
    <w:sig w:usb0="00000000" w:usb1="00000000" w:usb2="00000016" w:usb3="00000000" w:csb0="00060107" w:csb1="00000000"/>
    <w:embedRegular r:id="rId6" w:fontKey="{36B50A10-9775-4210-9E85-9649379B1B34}"/>
  </w:font>
  <w:font w:name="楷体_GB2312">
    <w:panose1 w:val="02010609030101010101"/>
    <w:charset w:val="86"/>
    <w:family w:val="auto"/>
    <w:pitch w:val="default"/>
    <w:sig w:usb0="00000000" w:usb1="00000000" w:usb2="00000000" w:usb3="00000000" w:csb0="00000000" w:csb1="00000000"/>
    <w:embedRegular r:id="rId7" w:fontKey="{6B0185C6-64E5-4CBA-96AE-2B96B7C9CDBD}"/>
  </w:font>
  <w:font w:name="仿宋_GB2312">
    <w:panose1 w:val="02010609030101010101"/>
    <w:charset w:val="86"/>
    <w:family w:val="auto"/>
    <w:pitch w:val="default"/>
    <w:sig w:usb0="00000000" w:usb1="00000000" w:usb2="00000000" w:usb3="00000000" w:csb0="00000000" w:csb1="00000000"/>
    <w:embedRegular r:id="rId8" w:fontKey="{D50DBE97-3065-4356-BEC8-6381828DF686}"/>
  </w:font>
  <w:font w:name="ArialUnicodeMS">
    <w:altName w:val="Malgun Gothic"/>
    <w:panose1 w:val="00000000000000000000"/>
    <w:charset w:val="81"/>
    <w:family w:val="auto"/>
    <w:pitch w:val="default"/>
    <w:sig w:usb0="00000000" w:usb1="00000000" w:usb2="00000010" w:usb3="00000000" w:csb0="00080001" w:csb1="00000000"/>
    <w:embedRegular r:id="rId9" w:fontKey="{AB5E9243-DB75-440B-80EE-1879D62BEE00}"/>
  </w:font>
  <w:font w:name="方正仿宋_GB2312">
    <w:panose1 w:val="02000000000000000000"/>
    <w:charset w:val="86"/>
    <w:family w:val="auto"/>
    <w:pitch w:val="default"/>
    <w:sig w:usb0="00000000" w:usb1="00000000" w:usb2="00000000" w:usb3="00000000" w:csb0="00000000" w:csb1="00000000"/>
    <w:embedRegular r:id="rId10" w:fontKey="{FE0A993E-EFD1-4A60-9D8E-51B9CFC5E0F9}"/>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31EB42C"/>
    <w:multiLevelType w:val="singleLevel"/>
    <w:tmpl w:val="F31EB42C"/>
    <w:lvl w:ilvl="0" w:tentative="0">
      <w:start w:val="4"/>
      <w:numFmt w:val="chineseCounting"/>
      <w:suff w:val="nothing"/>
      <w:lvlText w:val="（%1）"/>
      <w:lvlJc w:val="left"/>
      <w:rPr>
        <w:rFonts w:hint="eastAsia"/>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ODQsImhkaWQiOiI1NjNmYTMyYmUwMDYyMDA0NmRhMjU0MTY1YTI0ZjAzMyIsInVzZXJDb3VudCI6Mn0="/>
  </w:docVars>
  <w:rsids>
    <w:rsidRoot w:val="00000000"/>
    <w:rsid w:val="00086151"/>
    <w:rsid w:val="00236F8C"/>
    <w:rsid w:val="00822154"/>
    <w:rsid w:val="00C65689"/>
    <w:rsid w:val="00CC2C8E"/>
    <w:rsid w:val="00D54BC5"/>
    <w:rsid w:val="01A03C5A"/>
    <w:rsid w:val="01A5267D"/>
    <w:rsid w:val="01AF6A8D"/>
    <w:rsid w:val="024808A2"/>
    <w:rsid w:val="025C3821"/>
    <w:rsid w:val="02DA3B1B"/>
    <w:rsid w:val="02E57B4D"/>
    <w:rsid w:val="03450B90"/>
    <w:rsid w:val="037B12D4"/>
    <w:rsid w:val="03804D63"/>
    <w:rsid w:val="03FB73B0"/>
    <w:rsid w:val="049C1B9D"/>
    <w:rsid w:val="04BD008C"/>
    <w:rsid w:val="04C55939"/>
    <w:rsid w:val="04DA28BB"/>
    <w:rsid w:val="04F528BE"/>
    <w:rsid w:val="050E10CE"/>
    <w:rsid w:val="054F2DFB"/>
    <w:rsid w:val="05991C82"/>
    <w:rsid w:val="061416A9"/>
    <w:rsid w:val="061D60A6"/>
    <w:rsid w:val="06236884"/>
    <w:rsid w:val="06B07006"/>
    <w:rsid w:val="06FC7C2A"/>
    <w:rsid w:val="07533AFE"/>
    <w:rsid w:val="07B3657A"/>
    <w:rsid w:val="07C857D0"/>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FA5D82"/>
    <w:rsid w:val="0E1E52CE"/>
    <w:rsid w:val="0E866524"/>
    <w:rsid w:val="0E9268D3"/>
    <w:rsid w:val="0E957F1F"/>
    <w:rsid w:val="0F0E7284"/>
    <w:rsid w:val="0F28110F"/>
    <w:rsid w:val="0F37083F"/>
    <w:rsid w:val="0F891DB8"/>
    <w:rsid w:val="0FAA3B86"/>
    <w:rsid w:val="10191346"/>
    <w:rsid w:val="102A01A6"/>
    <w:rsid w:val="10754A6C"/>
    <w:rsid w:val="108B537D"/>
    <w:rsid w:val="10B11DB1"/>
    <w:rsid w:val="11177F57"/>
    <w:rsid w:val="11217C97"/>
    <w:rsid w:val="11464C20"/>
    <w:rsid w:val="115E4926"/>
    <w:rsid w:val="118A1FFA"/>
    <w:rsid w:val="11E35B5A"/>
    <w:rsid w:val="11E42DD6"/>
    <w:rsid w:val="125F5A1B"/>
    <w:rsid w:val="126979D6"/>
    <w:rsid w:val="129E45A7"/>
    <w:rsid w:val="12F05ABC"/>
    <w:rsid w:val="13074404"/>
    <w:rsid w:val="136A5C00"/>
    <w:rsid w:val="13B97B08"/>
    <w:rsid w:val="13C527AC"/>
    <w:rsid w:val="14711797"/>
    <w:rsid w:val="147B6F17"/>
    <w:rsid w:val="14D42061"/>
    <w:rsid w:val="15081C8B"/>
    <w:rsid w:val="15090D5C"/>
    <w:rsid w:val="15CF053D"/>
    <w:rsid w:val="15E0131A"/>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A15E03"/>
    <w:rsid w:val="1CA24F0C"/>
    <w:rsid w:val="1CF8716C"/>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D31DF3"/>
    <w:rsid w:val="22FD3CF7"/>
    <w:rsid w:val="231150AD"/>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4D2D17"/>
    <w:rsid w:val="26D50E55"/>
    <w:rsid w:val="271A539C"/>
    <w:rsid w:val="274972D4"/>
    <w:rsid w:val="27AA3D97"/>
    <w:rsid w:val="280A3758"/>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DF458D4"/>
    <w:rsid w:val="2E0725DC"/>
    <w:rsid w:val="2E1B4BB8"/>
    <w:rsid w:val="2E256CB6"/>
    <w:rsid w:val="2E5F27E4"/>
    <w:rsid w:val="2EBD223E"/>
    <w:rsid w:val="2EC10AD1"/>
    <w:rsid w:val="2ECB6A5A"/>
    <w:rsid w:val="2EFC0112"/>
    <w:rsid w:val="2F2B730D"/>
    <w:rsid w:val="2F9F3DC1"/>
    <w:rsid w:val="2FF229C7"/>
    <w:rsid w:val="2FFC7AC2"/>
    <w:rsid w:val="301430AF"/>
    <w:rsid w:val="30391C98"/>
    <w:rsid w:val="30630612"/>
    <w:rsid w:val="308E59B0"/>
    <w:rsid w:val="30B10568"/>
    <w:rsid w:val="30E55DD3"/>
    <w:rsid w:val="30E60399"/>
    <w:rsid w:val="31356AA5"/>
    <w:rsid w:val="313E22F0"/>
    <w:rsid w:val="31B0194C"/>
    <w:rsid w:val="31CE17D1"/>
    <w:rsid w:val="31EE3034"/>
    <w:rsid w:val="32270449"/>
    <w:rsid w:val="323E4515"/>
    <w:rsid w:val="3286389B"/>
    <w:rsid w:val="32CF5C94"/>
    <w:rsid w:val="32D337C7"/>
    <w:rsid w:val="32E200EC"/>
    <w:rsid w:val="32E5408B"/>
    <w:rsid w:val="32EB0D70"/>
    <w:rsid w:val="332868BB"/>
    <w:rsid w:val="333211F3"/>
    <w:rsid w:val="33504B41"/>
    <w:rsid w:val="338B4A07"/>
    <w:rsid w:val="33944811"/>
    <w:rsid w:val="33CE0488"/>
    <w:rsid w:val="34262463"/>
    <w:rsid w:val="34296F31"/>
    <w:rsid w:val="34340A27"/>
    <w:rsid w:val="346A2989"/>
    <w:rsid w:val="348865E9"/>
    <w:rsid w:val="348F70D5"/>
    <w:rsid w:val="349D2BAD"/>
    <w:rsid w:val="34B25886"/>
    <w:rsid w:val="35277FF8"/>
    <w:rsid w:val="35763460"/>
    <w:rsid w:val="35776F72"/>
    <w:rsid w:val="35997371"/>
    <w:rsid w:val="35A56BFE"/>
    <w:rsid w:val="35DD4D47"/>
    <w:rsid w:val="360134DF"/>
    <w:rsid w:val="360B1E2F"/>
    <w:rsid w:val="360D500F"/>
    <w:rsid w:val="36330424"/>
    <w:rsid w:val="36FE3ABA"/>
    <w:rsid w:val="37072BDE"/>
    <w:rsid w:val="37455334"/>
    <w:rsid w:val="37731921"/>
    <w:rsid w:val="37E509C0"/>
    <w:rsid w:val="37E96FB8"/>
    <w:rsid w:val="38222D85"/>
    <w:rsid w:val="38803721"/>
    <w:rsid w:val="38925A62"/>
    <w:rsid w:val="389F5F4F"/>
    <w:rsid w:val="38C36BA2"/>
    <w:rsid w:val="38F6595C"/>
    <w:rsid w:val="391702A7"/>
    <w:rsid w:val="39286EB6"/>
    <w:rsid w:val="39601DF4"/>
    <w:rsid w:val="396960F3"/>
    <w:rsid w:val="39840D35"/>
    <w:rsid w:val="39A97DAF"/>
    <w:rsid w:val="39CD1330"/>
    <w:rsid w:val="39DD1AFF"/>
    <w:rsid w:val="3A2510B9"/>
    <w:rsid w:val="3A2B1DFC"/>
    <w:rsid w:val="3AA6422C"/>
    <w:rsid w:val="3AAF46D5"/>
    <w:rsid w:val="3AC95CCD"/>
    <w:rsid w:val="3AF562AE"/>
    <w:rsid w:val="3B135A0E"/>
    <w:rsid w:val="3B272BBC"/>
    <w:rsid w:val="3B374FEE"/>
    <w:rsid w:val="3B4410EE"/>
    <w:rsid w:val="3B56159C"/>
    <w:rsid w:val="3B596DF7"/>
    <w:rsid w:val="3B7D732B"/>
    <w:rsid w:val="3BD30423"/>
    <w:rsid w:val="3C6C0B58"/>
    <w:rsid w:val="3CBE41D5"/>
    <w:rsid w:val="3D446B0E"/>
    <w:rsid w:val="3D953A6B"/>
    <w:rsid w:val="3DBB5979"/>
    <w:rsid w:val="3DD56F21"/>
    <w:rsid w:val="3E1057AF"/>
    <w:rsid w:val="3E6C0DFA"/>
    <w:rsid w:val="3E740322"/>
    <w:rsid w:val="3E7F4380"/>
    <w:rsid w:val="3E8D171B"/>
    <w:rsid w:val="3EA5630D"/>
    <w:rsid w:val="3EAD41A7"/>
    <w:rsid w:val="3EBA731B"/>
    <w:rsid w:val="3EE33949"/>
    <w:rsid w:val="3EFB5800"/>
    <w:rsid w:val="3F3B4E59"/>
    <w:rsid w:val="3F6E677C"/>
    <w:rsid w:val="3F712F46"/>
    <w:rsid w:val="3FBC0EF7"/>
    <w:rsid w:val="3FCD2AB9"/>
    <w:rsid w:val="3FD17600"/>
    <w:rsid w:val="4050218A"/>
    <w:rsid w:val="405C7868"/>
    <w:rsid w:val="408B24EB"/>
    <w:rsid w:val="408D1DBF"/>
    <w:rsid w:val="40C652D1"/>
    <w:rsid w:val="40D97653"/>
    <w:rsid w:val="417044B8"/>
    <w:rsid w:val="41A203A0"/>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4333F6"/>
    <w:rsid w:val="447537F1"/>
    <w:rsid w:val="44870D07"/>
    <w:rsid w:val="45344EFF"/>
    <w:rsid w:val="45513D03"/>
    <w:rsid w:val="45541E1C"/>
    <w:rsid w:val="45FE7734"/>
    <w:rsid w:val="461F0A8B"/>
    <w:rsid w:val="4648721E"/>
    <w:rsid w:val="46663E71"/>
    <w:rsid w:val="466A37AC"/>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9067B2F"/>
    <w:rsid w:val="49677E31"/>
    <w:rsid w:val="496C2225"/>
    <w:rsid w:val="49AE2880"/>
    <w:rsid w:val="49F42EAF"/>
    <w:rsid w:val="4A337323"/>
    <w:rsid w:val="4A5B28DC"/>
    <w:rsid w:val="4AA06B93"/>
    <w:rsid w:val="4ADB18EB"/>
    <w:rsid w:val="4B75056F"/>
    <w:rsid w:val="4B96118E"/>
    <w:rsid w:val="4BAE1B66"/>
    <w:rsid w:val="4BED4708"/>
    <w:rsid w:val="4BF133DC"/>
    <w:rsid w:val="4C507D4A"/>
    <w:rsid w:val="4CDF5563"/>
    <w:rsid w:val="4CFB2214"/>
    <w:rsid w:val="4D2C4D26"/>
    <w:rsid w:val="4D335E0E"/>
    <w:rsid w:val="4D4E4EA3"/>
    <w:rsid w:val="4D9A5B1B"/>
    <w:rsid w:val="4DA55D85"/>
    <w:rsid w:val="4DBB20DB"/>
    <w:rsid w:val="4DDC3F22"/>
    <w:rsid w:val="4DE66FB2"/>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503D1C79"/>
    <w:rsid w:val="507A6406"/>
    <w:rsid w:val="50853863"/>
    <w:rsid w:val="508A4590"/>
    <w:rsid w:val="50F1461D"/>
    <w:rsid w:val="50FE5411"/>
    <w:rsid w:val="510B072E"/>
    <w:rsid w:val="511B0BF4"/>
    <w:rsid w:val="51264306"/>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7E67A6"/>
    <w:rsid w:val="5A8842AA"/>
    <w:rsid w:val="5AEB1E3C"/>
    <w:rsid w:val="5B2507CA"/>
    <w:rsid w:val="5B2A474A"/>
    <w:rsid w:val="5B830730"/>
    <w:rsid w:val="5BBB2DD6"/>
    <w:rsid w:val="5BE263B6"/>
    <w:rsid w:val="5C8E5C5A"/>
    <w:rsid w:val="5C965E61"/>
    <w:rsid w:val="5CF0089C"/>
    <w:rsid w:val="5CF5796F"/>
    <w:rsid w:val="5D242A11"/>
    <w:rsid w:val="5D9217C2"/>
    <w:rsid w:val="5DAD06BF"/>
    <w:rsid w:val="5DE23CB3"/>
    <w:rsid w:val="5DE97EEC"/>
    <w:rsid w:val="5DFA5EB0"/>
    <w:rsid w:val="5E000E4D"/>
    <w:rsid w:val="5E0B583E"/>
    <w:rsid w:val="5E201A7B"/>
    <w:rsid w:val="5EA45884"/>
    <w:rsid w:val="5EBD0484"/>
    <w:rsid w:val="5F2C5C7C"/>
    <w:rsid w:val="5F36141C"/>
    <w:rsid w:val="5FB92BD8"/>
    <w:rsid w:val="5FC5273F"/>
    <w:rsid w:val="604F6C39"/>
    <w:rsid w:val="60806DF2"/>
    <w:rsid w:val="61072DA5"/>
    <w:rsid w:val="611C0817"/>
    <w:rsid w:val="61224A52"/>
    <w:rsid w:val="61520CCB"/>
    <w:rsid w:val="61851A29"/>
    <w:rsid w:val="622D1522"/>
    <w:rsid w:val="622E0574"/>
    <w:rsid w:val="62683B6B"/>
    <w:rsid w:val="6275761C"/>
    <w:rsid w:val="62816E52"/>
    <w:rsid w:val="62AC5944"/>
    <w:rsid w:val="632F3F8A"/>
    <w:rsid w:val="637279B4"/>
    <w:rsid w:val="63817D2B"/>
    <w:rsid w:val="63BD1FA9"/>
    <w:rsid w:val="63D175D1"/>
    <w:rsid w:val="63D27965"/>
    <w:rsid w:val="63F4667E"/>
    <w:rsid w:val="64095516"/>
    <w:rsid w:val="641A2468"/>
    <w:rsid w:val="64372F20"/>
    <w:rsid w:val="64DC72D7"/>
    <w:rsid w:val="653619A6"/>
    <w:rsid w:val="65610A02"/>
    <w:rsid w:val="65A11EA3"/>
    <w:rsid w:val="65AC3D66"/>
    <w:rsid w:val="65BB5334"/>
    <w:rsid w:val="663E1DBA"/>
    <w:rsid w:val="665D0213"/>
    <w:rsid w:val="669E59F1"/>
    <w:rsid w:val="66A2024B"/>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700D6539"/>
    <w:rsid w:val="704203E3"/>
    <w:rsid w:val="7058046B"/>
    <w:rsid w:val="707F2079"/>
    <w:rsid w:val="70922734"/>
    <w:rsid w:val="70CE6DC7"/>
    <w:rsid w:val="710B3646"/>
    <w:rsid w:val="711759F2"/>
    <w:rsid w:val="713C4ED8"/>
    <w:rsid w:val="71407642"/>
    <w:rsid w:val="71641210"/>
    <w:rsid w:val="71D95B7C"/>
    <w:rsid w:val="71EA6A50"/>
    <w:rsid w:val="71FE31A8"/>
    <w:rsid w:val="720C30AE"/>
    <w:rsid w:val="721F6113"/>
    <w:rsid w:val="7233782C"/>
    <w:rsid w:val="73177841"/>
    <w:rsid w:val="733774FE"/>
    <w:rsid w:val="73617E1B"/>
    <w:rsid w:val="736D7653"/>
    <w:rsid w:val="738035CB"/>
    <w:rsid w:val="73852C46"/>
    <w:rsid w:val="7396335C"/>
    <w:rsid w:val="73F46595"/>
    <w:rsid w:val="74283FA2"/>
    <w:rsid w:val="742C135B"/>
    <w:rsid w:val="74463733"/>
    <w:rsid w:val="748A2F40"/>
    <w:rsid w:val="74F85778"/>
    <w:rsid w:val="75272439"/>
    <w:rsid w:val="758F1E9B"/>
    <w:rsid w:val="75AB6BDA"/>
    <w:rsid w:val="75CE266B"/>
    <w:rsid w:val="76120141"/>
    <w:rsid w:val="768216BE"/>
    <w:rsid w:val="76C23B43"/>
    <w:rsid w:val="76FD6F97"/>
    <w:rsid w:val="770218E8"/>
    <w:rsid w:val="779469CE"/>
    <w:rsid w:val="77C875A5"/>
    <w:rsid w:val="78A27DF6"/>
    <w:rsid w:val="79285B3A"/>
    <w:rsid w:val="795D0B17"/>
    <w:rsid w:val="79625CA9"/>
    <w:rsid w:val="79A91196"/>
    <w:rsid w:val="7A0B32D3"/>
    <w:rsid w:val="7AC13CD3"/>
    <w:rsid w:val="7AE10264"/>
    <w:rsid w:val="7AE4248E"/>
    <w:rsid w:val="7B4A207F"/>
    <w:rsid w:val="7B936F45"/>
    <w:rsid w:val="7BA47419"/>
    <w:rsid w:val="7BB10D45"/>
    <w:rsid w:val="7BB44151"/>
    <w:rsid w:val="7C28575B"/>
    <w:rsid w:val="7C656A39"/>
    <w:rsid w:val="7CB93996"/>
    <w:rsid w:val="7CBE0F99"/>
    <w:rsid w:val="7D4E45F1"/>
    <w:rsid w:val="7DFB6D82"/>
    <w:rsid w:val="7E1D71D1"/>
    <w:rsid w:val="7E246254"/>
    <w:rsid w:val="7E6D090F"/>
    <w:rsid w:val="7ECC66B2"/>
    <w:rsid w:val="7F2914C3"/>
    <w:rsid w:val="7F5F2ED6"/>
    <w:rsid w:val="7FA837EF"/>
    <w:rsid w:val="7FC36955"/>
    <w:rsid w:val="7FE903A0"/>
    <w:rsid w:val="7FF07065"/>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6"/>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ody Text"/>
    <w:basedOn w:val="1"/>
    <w:semiHidden/>
    <w:qFormat/>
    <w:uiPriority w:val="0"/>
    <w:rPr>
      <w:rFonts w:ascii="Arial" w:hAnsi="Arial" w:eastAsia="Arial" w:cs="Arial"/>
      <w:sz w:val="21"/>
      <w:szCs w:val="21"/>
      <w:lang w:val="en-US" w:eastAsia="en-US" w:bidi="ar-SA"/>
    </w:rPr>
  </w:style>
  <w:style w:type="paragraph" w:styleId="8">
    <w:name w:val="Balloon Text"/>
    <w:basedOn w:val="1"/>
    <w:link w:val="25"/>
    <w:unhideWhenUsed/>
    <w:qFormat/>
    <w:uiPriority w:val="99"/>
    <w:rPr>
      <w:rFonts w:cstheme="minorBidi"/>
      <w:kern w:val="2"/>
      <w:sz w:val="18"/>
      <w:szCs w:val="18"/>
    </w:rPr>
  </w:style>
  <w:style w:type="paragraph" w:styleId="9">
    <w:name w:val="footer"/>
    <w:basedOn w:val="1"/>
    <w:link w:val="17"/>
    <w:qFormat/>
    <w:uiPriority w:val="99"/>
    <w:pPr>
      <w:tabs>
        <w:tab w:val="center" w:pos="4153"/>
        <w:tab w:val="right" w:pos="8306"/>
      </w:tabs>
      <w:snapToGrid w:val="0"/>
      <w:jc w:val="left"/>
    </w:pPr>
    <w:rPr>
      <w:rFonts w:cstheme="minorBidi"/>
      <w:kern w:val="2"/>
      <w:sz w:val="18"/>
      <w:szCs w:val="18"/>
    </w:rPr>
  </w:style>
  <w:style w:type="paragraph" w:styleId="10">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1">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3">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Strong"/>
    <w:basedOn w:val="14"/>
    <w:qFormat/>
    <w:uiPriority w:val="22"/>
    <w:rPr>
      <w:b/>
    </w:rPr>
  </w:style>
  <w:style w:type="character" w:customStyle="1" w:styleId="16">
    <w:name w:val="标题 2 Char"/>
    <w:link w:val="3"/>
    <w:qFormat/>
    <w:uiPriority w:val="0"/>
    <w:rPr>
      <w:rFonts w:ascii="Calibri Light" w:hAnsi="Calibri Light" w:eastAsia="宋体" w:cs="Times New Roman"/>
      <w:b/>
      <w:bCs/>
      <w:sz w:val="28"/>
      <w:szCs w:val="32"/>
    </w:rPr>
  </w:style>
  <w:style w:type="character" w:customStyle="1" w:styleId="17">
    <w:name w:val="页脚 Char"/>
    <w:basedOn w:val="14"/>
    <w:link w:val="9"/>
    <w:qFormat/>
    <w:uiPriority w:val="99"/>
    <w:rPr>
      <w:rFonts w:asciiTheme="minorHAnsi" w:hAnsiTheme="minorHAnsi" w:eastAsiaTheme="minorEastAsia" w:cstheme="minorBidi"/>
      <w:sz w:val="18"/>
      <w:szCs w:val="18"/>
      <w:lang w:val="en-US" w:eastAsia="zh-CN" w:bidi="ar-SA"/>
    </w:rPr>
  </w:style>
  <w:style w:type="character" w:customStyle="1" w:styleId="18">
    <w:name w:val="页眉 Char"/>
    <w:basedOn w:val="14"/>
    <w:link w:val="10"/>
    <w:qFormat/>
    <w:uiPriority w:val="0"/>
    <w:rPr>
      <w:rFonts w:asciiTheme="minorHAnsi" w:hAnsiTheme="minorHAnsi" w:eastAsiaTheme="minorEastAsia" w:cstheme="minorBidi"/>
      <w:sz w:val="18"/>
      <w:szCs w:val="18"/>
      <w:lang w:val="en-US" w:eastAsia="zh-CN" w:bidi="ar-SA"/>
    </w:rPr>
  </w:style>
  <w:style w:type="character" w:customStyle="1" w:styleId="19">
    <w:name w:val="font11"/>
    <w:basedOn w:val="14"/>
    <w:qFormat/>
    <w:uiPriority w:val="0"/>
    <w:rPr>
      <w:rFonts w:hint="eastAsia" w:ascii="宋体" w:hAnsi="宋体" w:eastAsia="宋体" w:cs="宋体"/>
      <w:color w:val="000000"/>
      <w:sz w:val="20"/>
      <w:szCs w:val="20"/>
      <w:u w:val="none"/>
      <w:lang w:val="en-US" w:eastAsia="zh-CN" w:bidi="ar-SA"/>
    </w:rPr>
  </w:style>
  <w:style w:type="character" w:customStyle="1" w:styleId="20">
    <w:name w:val="font01"/>
    <w:basedOn w:val="14"/>
    <w:qFormat/>
    <w:uiPriority w:val="0"/>
    <w:rPr>
      <w:rFonts w:hint="eastAsia" w:ascii="宋体" w:hAnsi="宋体" w:eastAsia="宋体" w:cs="宋体"/>
      <w:color w:val="000000"/>
      <w:sz w:val="22"/>
      <w:szCs w:val="22"/>
      <w:u w:val="none"/>
      <w:lang w:val="en-US" w:eastAsia="zh-CN" w:bidi="ar-SA"/>
    </w:rPr>
  </w:style>
  <w:style w:type="character" w:customStyle="1" w:styleId="21">
    <w:name w:val="font41"/>
    <w:basedOn w:val="14"/>
    <w:qFormat/>
    <w:uiPriority w:val="0"/>
    <w:rPr>
      <w:rFonts w:hint="eastAsia" w:ascii="宋体" w:hAnsi="宋体" w:eastAsia="宋体" w:cs="宋体"/>
      <w:color w:val="000000"/>
      <w:sz w:val="24"/>
      <w:szCs w:val="24"/>
      <w:u w:val="none"/>
      <w:lang w:val="en-US" w:eastAsia="zh-CN" w:bidi="ar-SA"/>
    </w:rPr>
  </w:style>
  <w:style w:type="character" w:customStyle="1" w:styleId="22">
    <w:name w:val="font3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9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51"/>
    <w:basedOn w:val="14"/>
    <w:qFormat/>
    <w:uiPriority w:val="0"/>
    <w:rPr>
      <w:rFonts w:hint="eastAsia" w:ascii="宋体" w:hAnsi="宋体" w:eastAsia="宋体" w:cs="宋体"/>
      <w:color w:val="000000"/>
      <w:sz w:val="24"/>
      <w:szCs w:val="24"/>
      <w:u w:val="none"/>
      <w:lang w:val="en-US" w:eastAsia="zh-CN" w:bidi="ar-SA"/>
    </w:rPr>
  </w:style>
  <w:style w:type="character" w:customStyle="1" w:styleId="25">
    <w:name w:val="批注框文本 Char"/>
    <w:basedOn w:val="14"/>
    <w:link w:val="8"/>
    <w:semiHidden/>
    <w:qFormat/>
    <w:uiPriority w:val="99"/>
    <w:rPr>
      <w:rFonts w:asciiTheme="minorHAnsi" w:hAnsiTheme="minorHAnsi" w:eastAsiaTheme="minorEastAsia" w:cstheme="minorBidi"/>
      <w:sz w:val="18"/>
      <w:szCs w:val="18"/>
      <w:lang w:val="en-US" w:eastAsia="zh-CN" w:bidi="ar-SA"/>
    </w:rPr>
  </w:style>
  <w:style w:type="table" w:customStyle="1" w:styleId="26">
    <w:name w:val="Table Normal"/>
    <w:semiHidden/>
    <w:unhideWhenUsed/>
    <w:qFormat/>
    <w:uiPriority w:val="0"/>
    <w:tblPr>
      <w:tblCellMar>
        <w:top w:w="0" w:type="dxa"/>
        <w:left w:w="0" w:type="dxa"/>
        <w:bottom w:w="0" w:type="dxa"/>
        <w:right w:w="0" w:type="dxa"/>
      </w:tblCellMar>
    </w:tblPr>
  </w:style>
  <w:style w:type="paragraph" w:customStyle="1" w:styleId="27">
    <w:name w:val="Table Text"/>
    <w:basedOn w:val="1"/>
    <w:semiHidden/>
    <w:qFormat/>
    <w:uiPriority w:val="0"/>
    <w:rPr>
      <w:rFonts w:ascii="宋体" w:hAnsi="宋体" w:eastAsia="宋体" w:cs="宋体"/>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svg"/><Relationship Id="rId18" Type="http://schemas.openxmlformats.org/officeDocument/2006/relationships/image" Target="media/image5.pn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37</Pages>
  <Words>10716</Words>
  <Characters>12629</Characters>
  <Lines>86</Lines>
  <Paragraphs>24</Paragraphs>
  <TotalTime>25</TotalTime>
  <ScaleCrop>false</ScaleCrop>
  <LinksUpToDate>false</LinksUpToDate>
  <CharactersWithSpaces>13387</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hp</cp:lastModifiedBy>
  <cp:lastPrinted>2023-08-04T01:00:00Z</cp:lastPrinted>
  <dcterms:modified xsi:type="dcterms:W3CDTF">2025-02-14T08:57:25Z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y fmtid="{D5CDD505-2E9C-101B-9397-08002B2CF9AE}" pid="3" name="ICV">
    <vt:lpwstr>EE447A564338419C9319A1390DDD4B01_13</vt:lpwstr>
  </property>
  <property fmtid="{D5CDD505-2E9C-101B-9397-08002B2CF9AE}" pid="4" name="KSOTemplateUUID">
    <vt:lpwstr>v1.0_mb_S7ajbG3IpAnL1wSthNCxfw==</vt:lpwstr>
  </property>
</Properties>
</file>