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289唐山市开平区信访局</w:t>
            </w:r>
          </w:p>
        </w:tc>
        <w:tc>
          <w:tcPr>
            <w:tcW w:w="2126" w:type="dxa"/>
            <w:tcBorders>
              <w:top w:val="single" w:color="FFFFFF" w:sz="6" w:space="0"/>
              <w:left w:val="single" w:color="FFFFFF" w:sz="6" w:space="0"/>
              <w:right w:val="single" w:color="FFFFFF" w:sz="6" w:space="0"/>
            </w:tcBorders>
            <w:vAlign w:val="center"/>
          </w:tcPr>
          <w:p>
            <w:pPr>
              <w:pStyle w:val="8"/>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lang w:eastAsia="zh-CN"/>
              </w:rPr>
            </w:pPr>
            <w:r>
              <w:rPr>
                <w:rFonts w:hint="eastAsia"/>
                <w:lang w:eastAsia="zh-CN"/>
              </w:rPr>
              <w:t>686.17</w:t>
            </w:r>
          </w:p>
        </w:tc>
        <w:tc>
          <w:tcPr>
            <w:tcW w:w="4535" w:type="dxa"/>
            <w:vAlign w:val="center"/>
          </w:tcPr>
          <w:p>
            <w:pPr>
              <w:pStyle w:val="12"/>
            </w:pPr>
            <w:r>
              <w:t>一、一般公共服务支出</w:t>
            </w:r>
          </w:p>
        </w:tc>
        <w:tc>
          <w:tcPr>
            <w:tcW w:w="2126" w:type="dxa"/>
            <w:vAlign w:val="center"/>
          </w:tcPr>
          <w:p>
            <w:pPr>
              <w:pStyle w:val="11"/>
              <w:rPr>
                <w:lang w:eastAsia="zh-CN"/>
              </w:rPr>
            </w:pPr>
            <w:r>
              <w:rPr>
                <w:rFonts w:hint="eastAsia"/>
                <w:lang w:eastAsia="zh-CN"/>
              </w:rPr>
              <w:t>660.70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lang w:eastAsia="zh-CN"/>
              </w:rPr>
            </w:pPr>
            <w:r>
              <w:rPr>
                <w:rFonts w:hint="eastAsia"/>
                <w:lang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lang w:eastAsia="zh-CN"/>
              </w:rPr>
            </w:pPr>
            <w:r>
              <w:rPr>
                <w:rFonts w:hint="eastAsia"/>
                <w:lang w:eastAsia="zh-CN"/>
              </w:rP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jc w:val="center"/>
            </w:pPr>
          </w:p>
        </w:tc>
        <w:tc>
          <w:tcPr>
            <w:tcW w:w="4535" w:type="dxa"/>
            <w:vAlign w:val="center"/>
          </w:tcPr>
          <w:p>
            <w:pPr>
              <w:pStyle w:val="12"/>
            </w:pPr>
            <w:r>
              <w:t>二十、住房保障支出</w:t>
            </w:r>
          </w:p>
        </w:tc>
        <w:tc>
          <w:tcPr>
            <w:tcW w:w="2126" w:type="dxa"/>
            <w:vAlign w:val="center"/>
          </w:tcPr>
          <w:p>
            <w:pPr>
              <w:pStyle w:val="11"/>
              <w:rPr>
                <w:lang w:eastAsia="zh-CN"/>
              </w:rPr>
            </w:pPr>
            <w:r>
              <w:rPr>
                <w:rFonts w:hint="eastAsia"/>
                <w:lang w:eastAsia="zh-CN"/>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rPr>
                <w:lang w:eastAsia="zh-CN"/>
              </w:rPr>
            </w:pPr>
            <w:r>
              <w:rPr>
                <w:rFonts w:hint="eastAsia"/>
                <w:lang w:eastAsia="zh-CN"/>
              </w:rPr>
              <w:t>686.17</w:t>
            </w:r>
          </w:p>
        </w:tc>
        <w:tc>
          <w:tcPr>
            <w:tcW w:w="4535" w:type="dxa"/>
            <w:vAlign w:val="center"/>
          </w:tcPr>
          <w:p>
            <w:pPr>
              <w:pStyle w:val="14"/>
            </w:pPr>
            <w:r>
              <w:t>本年支出合计</w:t>
            </w:r>
          </w:p>
        </w:tc>
        <w:tc>
          <w:tcPr>
            <w:tcW w:w="2126" w:type="dxa"/>
            <w:vAlign w:val="center"/>
          </w:tcPr>
          <w:p>
            <w:pPr>
              <w:pStyle w:val="15"/>
              <w:rPr>
                <w:lang w:eastAsia="zh-CN"/>
              </w:rPr>
            </w:pPr>
            <w:r>
              <w:rPr>
                <w:rFonts w:hint="eastAsia"/>
                <w:lang w:eastAsia="zh-CN"/>
              </w:rPr>
              <w:t>686.17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rPr>
                <w:lang w:eastAsia="zh-CN"/>
              </w:rPr>
            </w:pPr>
            <w:r>
              <w:rPr>
                <w:rFonts w:hint="eastAsia"/>
                <w:lang w:eastAsia="zh-CN"/>
              </w:rPr>
              <w:t>686.17</w:t>
            </w:r>
          </w:p>
        </w:tc>
        <w:tc>
          <w:tcPr>
            <w:tcW w:w="4535" w:type="dxa"/>
            <w:vAlign w:val="center"/>
          </w:tcPr>
          <w:p>
            <w:pPr>
              <w:pStyle w:val="14"/>
            </w:pPr>
            <w:r>
              <w:t>支出总计</w:t>
            </w:r>
          </w:p>
        </w:tc>
        <w:tc>
          <w:tcPr>
            <w:tcW w:w="2126" w:type="dxa"/>
            <w:vAlign w:val="center"/>
          </w:tcPr>
          <w:p>
            <w:pPr>
              <w:pStyle w:val="15"/>
              <w:rPr>
                <w:lang w:eastAsia="zh-CN"/>
              </w:rPr>
            </w:pPr>
            <w:r>
              <w:rPr>
                <w:rFonts w:hint="eastAsia"/>
                <w:lang w:eastAsia="zh-CN"/>
              </w:rPr>
              <w:t>686.17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gridSpan w:val="3"/>
            <w:tcBorders>
              <w:top w:val="single" w:color="FFFFFF" w:sz="6" w:space="0"/>
              <w:left w:val="single" w:color="FFFFFF" w:sz="6" w:space="0"/>
              <w:right w:val="single" w:color="FFFFFF" w:sz="6" w:space="0"/>
            </w:tcBorders>
            <w:vAlign w:val="center"/>
          </w:tcPr>
          <w:p>
            <w:pPr>
              <w:pStyle w:val="8"/>
              <w:rPr>
                <w:lang w:eastAsia="zh-CN"/>
              </w:rPr>
            </w:pPr>
            <w:r>
              <w:t>预算年度：20</w:t>
            </w:r>
            <w:r>
              <w:rPr>
                <w:rFonts w:hint="eastAsia"/>
                <w:lang w:eastAsia="zh-CN"/>
              </w:rPr>
              <w:t>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lang w:eastAsia="zh-CN"/>
              </w:rPr>
            </w:pPr>
            <w:r>
              <w:rPr>
                <w:rFonts w:hint="eastAsia"/>
                <w:lang w:eastAsia="zh-CN"/>
              </w:rPr>
              <w:t>686.17</w:t>
            </w:r>
          </w:p>
        </w:tc>
        <w:tc>
          <w:tcPr>
            <w:tcW w:w="1134" w:type="dxa"/>
            <w:vAlign w:val="center"/>
          </w:tcPr>
          <w:p>
            <w:pPr>
              <w:pStyle w:val="15"/>
              <w:rPr>
                <w:lang w:eastAsia="zh-CN"/>
              </w:rPr>
            </w:pPr>
            <w:r>
              <w:rPr>
                <w:rFonts w:hint="eastAsia"/>
                <w:lang w:eastAsia="zh-CN"/>
              </w:rPr>
              <w:t>686.17</w:t>
            </w:r>
          </w:p>
        </w:tc>
        <w:tc>
          <w:tcPr>
            <w:tcW w:w="1134" w:type="dxa"/>
            <w:vAlign w:val="center"/>
          </w:tcPr>
          <w:p>
            <w:pPr>
              <w:pStyle w:val="15"/>
              <w:rPr>
                <w:lang w:eastAsia="zh-CN"/>
              </w:rPr>
            </w:pPr>
            <w:r>
              <w:rPr>
                <w:rFonts w:hint="eastAsia"/>
                <w:lang w:eastAsia="zh-CN"/>
              </w:rPr>
              <w:t>686.17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rPr>
                <w:lang w:eastAsia="zh-CN"/>
              </w:rPr>
            </w:pPr>
            <w:r>
              <w:rPr>
                <w:rFonts w:hint="eastAsia"/>
                <w:lang w:eastAsia="zh-CN"/>
              </w:rPr>
              <w:t>660.70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pPr>
            <w:r>
              <w:rPr>
                <w:rFonts w:hint="eastAsia"/>
                <w:lang w:eastAsia="zh-CN"/>
              </w:rPr>
              <w:t>1.38</w:t>
            </w:r>
          </w:p>
        </w:tc>
        <w:tc>
          <w:tcPr>
            <w:tcW w:w="1134" w:type="dxa"/>
            <w:vAlign w:val="center"/>
          </w:tcPr>
          <w:p>
            <w:pPr>
              <w:pStyle w:val="11"/>
              <w:rPr>
                <w:lang w:eastAsia="zh-CN"/>
              </w:rPr>
            </w:pPr>
            <w:r>
              <w:rPr>
                <w:rFonts w:hint="eastAsia"/>
                <w:lang w:eastAsia="zh-CN"/>
              </w:rPr>
              <w:t>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rPr>
                <w:lang w:eastAsia="zh-CN"/>
              </w:rPr>
            </w:pPr>
            <w:r>
              <w:rPr>
                <w:rFonts w:hint="eastAsia"/>
                <w:lang w:eastAsia="zh-CN"/>
              </w:rPr>
              <w:t>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rPr>
                <w:lang w:eastAsia="zh-CN"/>
              </w:rPr>
            </w:pPr>
            <w:r>
              <w:rPr>
                <w:rFonts w:hint="eastAsia"/>
                <w:lang w:eastAsia="zh-CN"/>
              </w:rPr>
              <w:t>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721" w:type="dxa"/>
            <w:gridSpan w:val="2"/>
            <w:tcBorders>
              <w:top w:val="single" w:color="FFFFFF" w:sz="6" w:space="0"/>
              <w:left w:val="single" w:color="FFFFFF" w:sz="6" w:space="0"/>
              <w:right w:val="single" w:color="FFFFFF" w:sz="6" w:space="0"/>
            </w:tcBorders>
            <w:vAlign w:val="center"/>
          </w:tcPr>
          <w:p>
            <w:pPr>
              <w:pStyle w:val="8"/>
              <w:rPr>
                <w:lang w:eastAsia="zh-CN"/>
              </w:rPr>
            </w:pPr>
            <w:r>
              <w:t>预算年度：20</w:t>
            </w:r>
            <w:r>
              <w:rPr>
                <w:rFonts w:hint="eastAsia"/>
                <w:lang w:eastAsia="zh-CN"/>
              </w:rPr>
              <w:t>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lang w:eastAsia="zh-CN"/>
              </w:rPr>
            </w:pPr>
            <w:r>
              <w:rPr>
                <w:rFonts w:hint="eastAsia"/>
                <w:lang w:eastAsia="zh-CN"/>
              </w:rPr>
              <w:t>686.17</w:t>
            </w:r>
          </w:p>
        </w:tc>
        <w:tc>
          <w:tcPr>
            <w:tcW w:w="1361" w:type="dxa"/>
            <w:vAlign w:val="center"/>
          </w:tcPr>
          <w:p>
            <w:pPr>
              <w:pStyle w:val="15"/>
              <w:rPr>
                <w:lang w:eastAsia="zh-CN"/>
              </w:rPr>
            </w:pPr>
            <w:r>
              <w:rPr>
                <w:rFonts w:hint="eastAsia"/>
                <w:lang w:eastAsia="zh-CN"/>
              </w:rPr>
              <w:t>186.17</w:t>
            </w:r>
          </w:p>
        </w:tc>
        <w:tc>
          <w:tcPr>
            <w:tcW w:w="1361" w:type="dxa"/>
            <w:vAlign w:val="center"/>
          </w:tcPr>
          <w:p>
            <w:pPr>
              <w:pStyle w:val="15"/>
              <w:rPr>
                <w:lang w:eastAsia="zh-CN"/>
              </w:rPr>
            </w:pPr>
            <w:r>
              <w:rPr>
                <w:rFonts w:hint="eastAsia"/>
                <w:lang w:eastAsia="zh-CN"/>
              </w:rP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rPr>
                <w:lang w:eastAsia="zh-CN"/>
              </w:rPr>
            </w:pPr>
            <w:r>
              <w:rPr>
                <w:rFonts w:hint="eastAsia"/>
                <w:lang w:eastAsia="zh-CN"/>
              </w:rPr>
              <w:t>660.70</w:t>
            </w:r>
          </w:p>
        </w:tc>
        <w:tc>
          <w:tcPr>
            <w:tcW w:w="1361" w:type="dxa"/>
            <w:vAlign w:val="center"/>
          </w:tcPr>
          <w:p>
            <w:pPr>
              <w:pStyle w:val="11"/>
              <w:rPr>
                <w:lang w:eastAsia="zh-CN"/>
              </w:rPr>
            </w:pPr>
            <w:r>
              <w:rPr>
                <w:rFonts w:hint="eastAsia"/>
                <w:lang w:eastAsia="zh-CN"/>
              </w:rPr>
              <w:t>160.70</w:t>
            </w:r>
          </w:p>
        </w:tc>
        <w:tc>
          <w:tcPr>
            <w:tcW w:w="1361" w:type="dxa"/>
            <w:vAlign w:val="center"/>
          </w:tcPr>
          <w:p>
            <w:pPr>
              <w:pStyle w:val="11"/>
              <w:rPr>
                <w:lang w:eastAsia="zh-CN"/>
              </w:rPr>
            </w:pPr>
            <w:r>
              <w:rPr>
                <w:rFonts w:hint="eastAsia"/>
                <w:lang w:eastAsia="zh-CN"/>
              </w:rP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rPr>
                <w:lang w:eastAsia="zh-CN"/>
              </w:rPr>
            </w:pPr>
            <w:r>
              <w:rPr>
                <w:rFonts w:hint="eastAsia"/>
                <w:lang w:eastAsia="zh-CN"/>
              </w:rPr>
              <w:t>660.70</w:t>
            </w:r>
          </w:p>
        </w:tc>
        <w:tc>
          <w:tcPr>
            <w:tcW w:w="1361" w:type="dxa"/>
            <w:vAlign w:val="center"/>
          </w:tcPr>
          <w:p>
            <w:pPr>
              <w:pStyle w:val="11"/>
              <w:rPr>
                <w:lang w:eastAsia="zh-CN"/>
              </w:rPr>
            </w:pPr>
            <w:r>
              <w:rPr>
                <w:rFonts w:hint="eastAsia"/>
                <w:lang w:eastAsia="zh-CN"/>
              </w:rPr>
              <w:t>160.70</w:t>
            </w:r>
          </w:p>
        </w:tc>
        <w:tc>
          <w:tcPr>
            <w:tcW w:w="1361" w:type="dxa"/>
            <w:vAlign w:val="center"/>
          </w:tcPr>
          <w:p>
            <w:pPr>
              <w:pStyle w:val="11"/>
              <w:rPr>
                <w:lang w:eastAsia="zh-CN"/>
              </w:rPr>
            </w:pPr>
            <w:r>
              <w:rPr>
                <w:rFonts w:hint="eastAsia"/>
                <w:lang w:eastAsia="zh-CN"/>
              </w:rP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rPr>
                <w:lang w:eastAsia="zh-CN"/>
              </w:rPr>
            </w:pPr>
            <w:r>
              <w:rPr>
                <w:rFonts w:hint="eastAsia"/>
                <w:lang w:eastAsia="zh-CN"/>
              </w:rPr>
              <w:t>660.70</w:t>
            </w:r>
          </w:p>
        </w:tc>
        <w:tc>
          <w:tcPr>
            <w:tcW w:w="1361" w:type="dxa"/>
            <w:vAlign w:val="center"/>
          </w:tcPr>
          <w:p>
            <w:pPr>
              <w:pStyle w:val="11"/>
              <w:rPr>
                <w:lang w:eastAsia="zh-CN"/>
              </w:rPr>
            </w:pPr>
            <w:r>
              <w:rPr>
                <w:rFonts w:hint="eastAsia"/>
                <w:lang w:eastAsia="zh-CN"/>
              </w:rPr>
              <w:t>160.70</w:t>
            </w:r>
          </w:p>
        </w:tc>
        <w:tc>
          <w:tcPr>
            <w:tcW w:w="1361" w:type="dxa"/>
            <w:vAlign w:val="center"/>
          </w:tcPr>
          <w:p>
            <w:pPr>
              <w:pStyle w:val="11"/>
              <w:rPr>
                <w:lang w:eastAsia="zh-CN"/>
              </w:rPr>
            </w:pPr>
            <w:r>
              <w:rPr>
                <w:rFonts w:hint="eastAsia"/>
                <w:lang w:eastAsia="zh-CN"/>
              </w:rP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rPr>
                <w:lang w:eastAsia="zh-CN"/>
              </w:rPr>
            </w:pPr>
            <w:r>
              <w:rPr>
                <w:rFonts w:hint="eastAsia"/>
                <w:lang w:eastAsia="zh-CN"/>
              </w:rPr>
              <w:t>1.38</w:t>
            </w:r>
          </w:p>
        </w:tc>
        <w:tc>
          <w:tcPr>
            <w:tcW w:w="1361" w:type="dxa"/>
            <w:vAlign w:val="center"/>
          </w:tcPr>
          <w:p>
            <w:pPr>
              <w:pStyle w:val="11"/>
              <w:rPr>
                <w:lang w:eastAsia="zh-CN"/>
              </w:rPr>
            </w:pPr>
            <w:r>
              <w:rPr>
                <w:rFonts w:hint="eastAsia"/>
                <w:lang w:eastAsia="zh-CN"/>
              </w:rP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rPr>
                <w:lang w:eastAsia="zh-CN"/>
              </w:rPr>
            </w:pPr>
            <w:r>
              <w:rPr>
                <w:rFonts w:hint="eastAsia"/>
                <w:lang w:eastAsia="zh-CN"/>
              </w:rPr>
              <w:t>1.38</w:t>
            </w:r>
          </w:p>
        </w:tc>
        <w:tc>
          <w:tcPr>
            <w:tcW w:w="1361" w:type="dxa"/>
            <w:vAlign w:val="center"/>
          </w:tcPr>
          <w:p>
            <w:pPr>
              <w:pStyle w:val="11"/>
              <w:rPr>
                <w:lang w:eastAsia="zh-CN"/>
              </w:rPr>
            </w:pPr>
            <w:r>
              <w:rPr>
                <w:rFonts w:hint="eastAsia"/>
                <w:lang w:eastAsia="zh-CN"/>
              </w:rP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rPr>
                <w:lang w:eastAsia="zh-CN"/>
              </w:rPr>
            </w:pPr>
            <w:r>
              <w:rPr>
                <w:rFonts w:hint="eastAsia"/>
                <w:lang w:eastAsia="zh-CN"/>
              </w:rPr>
              <w:t>1.38</w:t>
            </w:r>
          </w:p>
        </w:tc>
        <w:tc>
          <w:tcPr>
            <w:tcW w:w="1361" w:type="dxa"/>
            <w:vAlign w:val="center"/>
          </w:tcPr>
          <w:p>
            <w:pPr>
              <w:pStyle w:val="11"/>
              <w:rPr>
                <w:lang w:eastAsia="zh-CN"/>
              </w:rPr>
            </w:pPr>
            <w:r>
              <w:rPr>
                <w:rFonts w:hint="eastAsia"/>
                <w:lang w:eastAsia="zh-CN"/>
              </w:rPr>
              <w:t>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rPr>
                <w:lang w:eastAsia="zh-CN"/>
              </w:rPr>
            </w:pPr>
            <w:r>
              <w:rPr>
                <w:rFonts w:hint="eastAsia"/>
                <w:lang w:eastAsia="zh-CN"/>
              </w:rPr>
              <w:t>13.26</w:t>
            </w:r>
          </w:p>
        </w:tc>
        <w:tc>
          <w:tcPr>
            <w:tcW w:w="1361" w:type="dxa"/>
            <w:vAlign w:val="center"/>
          </w:tcPr>
          <w:p>
            <w:pPr>
              <w:pStyle w:val="11"/>
              <w:rPr>
                <w:lang w:eastAsia="zh-CN"/>
              </w:rPr>
            </w:pPr>
            <w:r>
              <w:rPr>
                <w:rFonts w:hint="eastAsia"/>
                <w:lang w:eastAsia="zh-CN"/>
              </w:rPr>
              <w:t>13.26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rPr>
                <w:lang w:eastAsia="zh-CN"/>
              </w:rPr>
            </w:pPr>
            <w:r>
              <w:rPr>
                <w:rFonts w:hint="eastAsia"/>
                <w:lang w:eastAsia="zh-CN"/>
              </w:rPr>
              <w:t>13.26</w:t>
            </w:r>
          </w:p>
        </w:tc>
        <w:tc>
          <w:tcPr>
            <w:tcW w:w="1361" w:type="dxa"/>
            <w:vAlign w:val="center"/>
          </w:tcPr>
          <w:p>
            <w:pPr>
              <w:pStyle w:val="11"/>
              <w:rPr>
                <w:lang w:eastAsia="zh-CN"/>
              </w:rPr>
            </w:pPr>
            <w:r>
              <w:rPr>
                <w:rFonts w:hint="eastAsia"/>
                <w:lang w:eastAsia="zh-CN"/>
              </w:rPr>
              <w:t>13.26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rPr>
                <w:lang w:eastAsia="zh-CN"/>
              </w:rPr>
            </w:pPr>
            <w:r>
              <w:rPr>
                <w:rFonts w:hint="eastAsia"/>
                <w:lang w:eastAsia="zh-CN"/>
              </w:rPr>
              <w:t>13.26</w:t>
            </w:r>
          </w:p>
        </w:tc>
        <w:tc>
          <w:tcPr>
            <w:tcW w:w="1361" w:type="dxa"/>
            <w:vAlign w:val="center"/>
          </w:tcPr>
          <w:p>
            <w:pPr>
              <w:pStyle w:val="11"/>
              <w:rPr>
                <w:lang w:eastAsia="zh-CN"/>
              </w:rPr>
            </w:pPr>
            <w:r>
              <w:rPr>
                <w:rFonts w:hint="eastAsia"/>
                <w:lang w:eastAsia="zh-CN"/>
              </w:rPr>
              <w:t>13.26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rPr>
                <w:lang w:eastAsia="zh-CN"/>
              </w:rPr>
            </w:pPr>
            <w:r>
              <w:rPr>
                <w:rFonts w:hint="eastAsia"/>
                <w:lang w:eastAsia="zh-CN"/>
              </w:rPr>
              <w:t>10.83</w:t>
            </w:r>
          </w:p>
        </w:tc>
        <w:tc>
          <w:tcPr>
            <w:tcW w:w="1361" w:type="dxa"/>
            <w:vAlign w:val="center"/>
          </w:tcPr>
          <w:p>
            <w:pPr>
              <w:pStyle w:val="11"/>
              <w:rPr>
                <w:lang w:eastAsia="zh-CN"/>
              </w:rPr>
            </w:pPr>
            <w:r>
              <w:rPr>
                <w:rFonts w:hint="eastAsia"/>
                <w:lang w:eastAsia="zh-CN"/>
              </w:rPr>
              <w:t>10.83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rPr>
                <w:lang w:eastAsia="zh-CN"/>
              </w:rPr>
            </w:pPr>
            <w:r>
              <w:rPr>
                <w:rFonts w:hint="eastAsia"/>
                <w:lang w:eastAsia="zh-CN"/>
              </w:rPr>
              <w:t>10.83</w:t>
            </w:r>
          </w:p>
        </w:tc>
        <w:tc>
          <w:tcPr>
            <w:tcW w:w="1361" w:type="dxa"/>
            <w:vAlign w:val="center"/>
          </w:tcPr>
          <w:p>
            <w:pPr>
              <w:pStyle w:val="11"/>
              <w:rPr>
                <w:lang w:eastAsia="zh-CN"/>
              </w:rPr>
            </w:pPr>
            <w:r>
              <w:rPr>
                <w:rFonts w:hint="eastAsia"/>
                <w:lang w:eastAsia="zh-CN"/>
              </w:rPr>
              <w:t>10.83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rPr>
                <w:lang w:eastAsia="zh-CN"/>
              </w:rPr>
            </w:pPr>
            <w:r>
              <w:rPr>
                <w:rFonts w:hint="eastAsia"/>
                <w:lang w:eastAsia="zh-CN"/>
              </w:rPr>
              <w:t>10.83</w:t>
            </w:r>
          </w:p>
        </w:tc>
        <w:tc>
          <w:tcPr>
            <w:tcW w:w="1361" w:type="dxa"/>
            <w:vAlign w:val="center"/>
          </w:tcPr>
          <w:p>
            <w:pPr>
              <w:pStyle w:val="11"/>
              <w:rPr>
                <w:lang w:eastAsia="zh-CN"/>
              </w:rPr>
            </w:pPr>
            <w:r>
              <w:rPr>
                <w:rFonts w:hint="eastAsia"/>
                <w:lang w:eastAsia="zh-CN"/>
              </w:rPr>
              <w:t>10.83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lang w:eastAsia="zh-CN"/>
              </w:rPr>
            </w:pPr>
            <w:r>
              <w:rPr>
                <w:rFonts w:hint="eastAsia"/>
                <w:lang w:eastAsia="zh-CN"/>
              </w:rPr>
              <w:t>686.17</w:t>
            </w:r>
          </w:p>
        </w:tc>
        <w:tc>
          <w:tcPr>
            <w:tcW w:w="3402" w:type="dxa"/>
            <w:vAlign w:val="center"/>
          </w:tcPr>
          <w:p>
            <w:pPr>
              <w:pStyle w:val="12"/>
            </w:pPr>
            <w:r>
              <w:t>一、一般公共服务支出</w:t>
            </w:r>
          </w:p>
        </w:tc>
        <w:tc>
          <w:tcPr>
            <w:tcW w:w="1474" w:type="dxa"/>
            <w:vAlign w:val="center"/>
          </w:tcPr>
          <w:p>
            <w:pPr>
              <w:pStyle w:val="11"/>
              <w:rPr>
                <w:lang w:eastAsia="zh-CN"/>
              </w:rPr>
            </w:pPr>
            <w:r>
              <w:rPr>
                <w:rFonts w:hint="eastAsia"/>
                <w:lang w:eastAsia="zh-CN"/>
              </w:rPr>
              <w:t>660.70</w:t>
            </w:r>
          </w:p>
        </w:tc>
        <w:tc>
          <w:tcPr>
            <w:tcW w:w="1474" w:type="dxa"/>
            <w:vAlign w:val="center"/>
          </w:tcPr>
          <w:p>
            <w:pPr>
              <w:pStyle w:val="11"/>
              <w:rPr>
                <w:lang w:eastAsia="zh-CN"/>
              </w:rPr>
            </w:pPr>
            <w:r>
              <w:rPr>
                <w:rFonts w:hint="eastAsia"/>
                <w:lang w:eastAsia="zh-CN"/>
              </w:rPr>
              <w:t>660.70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lang w:eastAsia="zh-CN"/>
              </w:rPr>
            </w:pPr>
            <w:r>
              <w:rPr>
                <w:rFonts w:hint="eastAsia"/>
                <w:lang w:eastAsia="zh-CN"/>
              </w:rPr>
              <w:t>1.38</w:t>
            </w:r>
          </w:p>
        </w:tc>
        <w:tc>
          <w:tcPr>
            <w:tcW w:w="1474" w:type="dxa"/>
            <w:vAlign w:val="center"/>
          </w:tcPr>
          <w:p>
            <w:pPr>
              <w:pStyle w:val="11"/>
              <w:rPr>
                <w:lang w:eastAsia="zh-CN"/>
              </w:rPr>
            </w:pPr>
            <w:r>
              <w:rPr>
                <w:rFonts w:hint="eastAsia"/>
                <w:lang w:eastAsia="zh-CN"/>
              </w:rPr>
              <w:t>1.38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lang w:eastAsia="zh-CN"/>
              </w:rPr>
            </w:pPr>
            <w:r>
              <w:rPr>
                <w:rFonts w:hint="eastAsia"/>
                <w:lang w:eastAsia="zh-CN"/>
              </w:rPr>
              <w:t>13.26</w:t>
            </w:r>
          </w:p>
        </w:tc>
        <w:tc>
          <w:tcPr>
            <w:tcW w:w="1474" w:type="dxa"/>
            <w:vAlign w:val="center"/>
          </w:tcPr>
          <w:p>
            <w:pPr>
              <w:pStyle w:val="11"/>
              <w:rPr>
                <w:lang w:eastAsia="zh-CN"/>
              </w:rPr>
            </w:pPr>
            <w:r>
              <w:rPr>
                <w:rFonts w:hint="eastAsia"/>
                <w:lang w:eastAsia="zh-CN"/>
              </w:rPr>
              <w:t>13.26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lang w:eastAsia="zh-CN"/>
              </w:rPr>
            </w:pPr>
            <w:r>
              <w:rPr>
                <w:rFonts w:hint="eastAsia"/>
                <w:lang w:eastAsia="zh-CN"/>
              </w:rPr>
              <w:t>10.38</w:t>
            </w:r>
          </w:p>
        </w:tc>
        <w:tc>
          <w:tcPr>
            <w:tcW w:w="1474" w:type="dxa"/>
            <w:vAlign w:val="center"/>
          </w:tcPr>
          <w:p>
            <w:pPr>
              <w:pStyle w:val="11"/>
              <w:rPr>
                <w:lang w:eastAsia="zh-CN"/>
              </w:rPr>
            </w:pPr>
            <w:r>
              <w:rPr>
                <w:rFonts w:hint="eastAsia"/>
                <w:lang w:eastAsia="zh-CN"/>
              </w:rPr>
              <w:t>10.38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lang w:eastAsia="zh-CN"/>
              </w:rPr>
            </w:pPr>
            <w:r>
              <w:rPr>
                <w:rFonts w:hint="eastAsia"/>
                <w:lang w:eastAsia="zh-CN"/>
              </w:rPr>
              <w:t>686.17</w:t>
            </w:r>
          </w:p>
        </w:tc>
        <w:tc>
          <w:tcPr>
            <w:tcW w:w="3402" w:type="dxa"/>
            <w:vAlign w:val="center"/>
          </w:tcPr>
          <w:p>
            <w:pPr>
              <w:pStyle w:val="14"/>
            </w:pPr>
            <w:r>
              <w:t>本年支出合计</w:t>
            </w:r>
          </w:p>
        </w:tc>
        <w:tc>
          <w:tcPr>
            <w:tcW w:w="1474" w:type="dxa"/>
            <w:vAlign w:val="center"/>
          </w:tcPr>
          <w:p>
            <w:pPr>
              <w:pStyle w:val="15"/>
              <w:rPr>
                <w:lang w:eastAsia="zh-CN"/>
              </w:rPr>
            </w:pPr>
            <w:r>
              <w:rPr>
                <w:rFonts w:hint="eastAsia"/>
                <w:lang w:eastAsia="zh-CN"/>
              </w:rPr>
              <w:t>686.17</w:t>
            </w:r>
          </w:p>
        </w:tc>
        <w:tc>
          <w:tcPr>
            <w:tcW w:w="1474" w:type="dxa"/>
            <w:vAlign w:val="center"/>
          </w:tcPr>
          <w:p>
            <w:pPr>
              <w:pStyle w:val="15"/>
              <w:rPr>
                <w:lang w:eastAsia="zh-CN"/>
              </w:rPr>
            </w:pPr>
            <w:r>
              <w:rPr>
                <w:rFonts w:hint="eastAsia"/>
                <w:lang w:eastAsia="zh-CN"/>
              </w:rPr>
              <w:t>686.17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rPr>
                <w:lang w:eastAsia="zh-CN"/>
              </w:rPr>
            </w:pPr>
            <w:r>
              <w:rPr>
                <w:rFonts w:hint="eastAsia"/>
                <w:lang w:eastAsia="zh-CN"/>
              </w:rPr>
              <w:t>686.17</w:t>
            </w:r>
          </w:p>
        </w:tc>
        <w:tc>
          <w:tcPr>
            <w:tcW w:w="3402" w:type="dxa"/>
            <w:vAlign w:val="center"/>
          </w:tcPr>
          <w:p>
            <w:pPr>
              <w:pStyle w:val="14"/>
            </w:pPr>
            <w:r>
              <w:t>支出总计</w:t>
            </w:r>
          </w:p>
        </w:tc>
        <w:tc>
          <w:tcPr>
            <w:tcW w:w="1474" w:type="dxa"/>
            <w:vAlign w:val="center"/>
          </w:tcPr>
          <w:p>
            <w:pPr>
              <w:pStyle w:val="15"/>
              <w:rPr>
                <w:lang w:eastAsia="zh-CN"/>
              </w:rPr>
            </w:pPr>
            <w:r>
              <w:rPr>
                <w:rFonts w:hint="eastAsia"/>
                <w:lang w:eastAsia="zh-CN"/>
              </w:rPr>
              <w:t>686.17</w:t>
            </w:r>
          </w:p>
        </w:tc>
        <w:tc>
          <w:tcPr>
            <w:tcW w:w="1474" w:type="dxa"/>
            <w:vAlign w:val="center"/>
          </w:tcPr>
          <w:p>
            <w:pPr>
              <w:pStyle w:val="15"/>
              <w:rPr>
                <w:lang w:eastAsia="zh-CN"/>
              </w:rPr>
            </w:pPr>
            <w:r>
              <w:rPr>
                <w:rFonts w:hint="eastAsia"/>
                <w:lang w:eastAsia="zh-CN"/>
              </w:rPr>
              <w:t>686.17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w:t>
            </w:r>
            <w:r>
              <w:rPr>
                <w:rFonts w:hint="eastAsia"/>
                <w:lang w:eastAsia="zh-CN"/>
              </w:rPr>
              <w:t>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lang w:eastAsia="zh-CN"/>
              </w:rPr>
            </w:pPr>
            <w:r>
              <w:rPr>
                <w:rFonts w:hint="eastAsia"/>
                <w:lang w:eastAsia="zh-CN"/>
              </w:rPr>
              <w:t>686.17</w:t>
            </w:r>
          </w:p>
        </w:tc>
        <w:tc>
          <w:tcPr>
            <w:tcW w:w="2551" w:type="dxa"/>
            <w:vAlign w:val="center"/>
          </w:tcPr>
          <w:p>
            <w:pPr>
              <w:pStyle w:val="15"/>
              <w:rPr>
                <w:lang w:eastAsia="zh-CN"/>
              </w:rPr>
            </w:pPr>
            <w:r>
              <w:rPr>
                <w:rFonts w:hint="eastAsia"/>
                <w:lang w:eastAsia="zh-CN"/>
              </w:rPr>
              <w:t>186.17</w:t>
            </w:r>
          </w:p>
        </w:tc>
        <w:tc>
          <w:tcPr>
            <w:tcW w:w="2551" w:type="dxa"/>
            <w:vAlign w:val="center"/>
          </w:tcPr>
          <w:p>
            <w:pPr>
              <w:pStyle w:val="15"/>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rPr>
                <w:lang w:eastAsia="zh-CN"/>
              </w:rPr>
            </w:pPr>
            <w:r>
              <w:rPr>
                <w:rFonts w:hint="eastAsia"/>
                <w:lang w:eastAsia="zh-CN"/>
              </w:rPr>
              <w:t>660.70</w:t>
            </w:r>
          </w:p>
        </w:tc>
        <w:tc>
          <w:tcPr>
            <w:tcW w:w="2551" w:type="dxa"/>
            <w:vAlign w:val="center"/>
          </w:tcPr>
          <w:p>
            <w:pPr>
              <w:pStyle w:val="11"/>
              <w:rPr>
                <w:lang w:eastAsia="zh-CN"/>
              </w:rPr>
            </w:pPr>
            <w:r>
              <w:rPr>
                <w:rFonts w:hint="eastAsia"/>
                <w:lang w:eastAsia="zh-CN"/>
              </w:rPr>
              <w:t>160.70</w:t>
            </w:r>
          </w:p>
        </w:tc>
        <w:tc>
          <w:tcPr>
            <w:tcW w:w="2551" w:type="dxa"/>
            <w:vAlign w:val="center"/>
          </w:tcPr>
          <w:p>
            <w:pPr>
              <w:pStyle w:val="11"/>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rPr>
                <w:rFonts w:hint="eastAsia"/>
                <w:lang w:eastAsia="zh-CN"/>
              </w:rPr>
              <w:t>660.70</w:t>
            </w:r>
          </w:p>
        </w:tc>
        <w:tc>
          <w:tcPr>
            <w:tcW w:w="2551" w:type="dxa"/>
            <w:vAlign w:val="center"/>
          </w:tcPr>
          <w:p>
            <w:pPr>
              <w:pStyle w:val="11"/>
              <w:rPr>
                <w:lang w:eastAsia="zh-CN"/>
              </w:rPr>
            </w:pPr>
            <w:r>
              <w:rPr>
                <w:rFonts w:hint="eastAsia"/>
                <w:lang w:eastAsia="zh-CN"/>
              </w:rPr>
              <w:t>160.70</w:t>
            </w:r>
          </w:p>
        </w:tc>
        <w:tc>
          <w:tcPr>
            <w:tcW w:w="2551" w:type="dxa"/>
            <w:vAlign w:val="center"/>
          </w:tcPr>
          <w:p>
            <w:pPr>
              <w:pStyle w:val="11"/>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rPr>
                <w:lang w:eastAsia="zh-CN"/>
              </w:rPr>
            </w:pPr>
            <w:r>
              <w:rPr>
                <w:rFonts w:hint="eastAsia"/>
                <w:lang w:eastAsia="zh-CN"/>
              </w:rPr>
              <w:t>660.70</w:t>
            </w:r>
          </w:p>
        </w:tc>
        <w:tc>
          <w:tcPr>
            <w:tcW w:w="2551" w:type="dxa"/>
            <w:vAlign w:val="center"/>
          </w:tcPr>
          <w:p>
            <w:pPr>
              <w:pStyle w:val="11"/>
              <w:rPr>
                <w:lang w:eastAsia="zh-CN"/>
              </w:rPr>
            </w:pPr>
            <w:r>
              <w:rPr>
                <w:rFonts w:hint="eastAsia"/>
                <w:lang w:eastAsia="zh-CN"/>
              </w:rPr>
              <w:t>160.70</w:t>
            </w:r>
          </w:p>
        </w:tc>
        <w:tc>
          <w:tcPr>
            <w:tcW w:w="2551" w:type="dxa"/>
            <w:vAlign w:val="center"/>
          </w:tcPr>
          <w:p>
            <w:pPr>
              <w:pStyle w:val="11"/>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lang w:eastAsia="zh-CN"/>
              </w:rPr>
            </w:pPr>
            <w:r>
              <w:rPr>
                <w:rFonts w:hint="eastAsia"/>
                <w:lang w:eastAsia="zh-CN"/>
              </w:rPr>
              <w:t>1.38</w:t>
            </w:r>
          </w:p>
        </w:tc>
        <w:tc>
          <w:tcPr>
            <w:tcW w:w="2551" w:type="dxa"/>
            <w:vAlign w:val="center"/>
          </w:tcPr>
          <w:p>
            <w:pPr>
              <w:pStyle w:val="11"/>
              <w:rPr>
                <w:lang w:eastAsia="zh-CN"/>
              </w:rPr>
            </w:pPr>
            <w:r>
              <w:rPr>
                <w:rFonts w:hint="eastAsia"/>
                <w:lang w:eastAsia="zh-CN"/>
              </w:rP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rPr>
                <w:rFonts w:hint="eastAsia"/>
                <w:lang w:eastAsia="zh-CN"/>
              </w:rPr>
              <w:t>1.38</w:t>
            </w:r>
          </w:p>
        </w:tc>
        <w:tc>
          <w:tcPr>
            <w:tcW w:w="2551" w:type="dxa"/>
            <w:vAlign w:val="center"/>
          </w:tcPr>
          <w:p>
            <w:pPr>
              <w:pStyle w:val="11"/>
              <w:rPr>
                <w:lang w:eastAsia="zh-CN"/>
              </w:rPr>
            </w:pPr>
            <w:r>
              <w:rPr>
                <w:rFonts w:hint="eastAsia"/>
                <w:lang w:eastAsia="zh-CN"/>
              </w:rP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rPr>
                <w:rFonts w:hint="eastAsia"/>
                <w:lang w:eastAsia="zh-CN"/>
              </w:rPr>
              <w:t>1.38</w:t>
            </w:r>
          </w:p>
        </w:tc>
        <w:tc>
          <w:tcPr>
            <w:tcW w:w="2551" w:type="dxa"/>
            <w:vAlign w:val="center"/>
          </w:tcPr>
          <w:p>
            <w:pPr>
              <w:pStyle w:val="11"/>
              <w:rPr>
                <w:lang w:eastAsia="zh-CN"/>
              </w:rPr>
            </w:pPr>
            <w:r>
              <w:rPr>
                <w:rFonts w:hint="eastAsia"/>
                <w:lang w:eastAsia="zh-CN"/>
              </w:rPr>
              <w:t>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lang w:eastAsia="zh-CN"/>
              </w:rPr>
            </w:pPr>
            <w:r>
              <w:rPr>
                <w:rFonts w:hint="eastAsia"/>
                <w:lang w:eastAsia="zh-CN"/>
              </w:rPr>
              <w:t>186.17</w:t>
            </w:r>
          </w:p>
        </w:tc>
        <w:tc>
          <w:tcPr>
            <w:tcW w:w="2551" w:type="dxa"/>
            <w:vAlign w:val="center"/>
          </w:tcPr>
          <w:p>
            <w:pPr>
              <w:pStyle w:val="15"/>
              <w:rPr>
                <w:lang w:eastAsia="zh-CN"/>
              </w:rPr>
            </w:pPr>
            <w:r>
              <w:rPr>
                <w:rFonts w:hint="eastAsia"/>
                <w:lang w:eastAsia="zh-CN"/>
              </w:rPr>
              <w:t>171.40</w:t>
            </w:r>
          </w:p>
        </w:tc>
        <w:tc>
          <w:tcPr>
            <w:tcW w:w="2551" w:type="dxa"/>
            <w:vAlign w:val="center"/>
          </w:tcPr>
          <w:p>
            <w:pPr>
              <w:pStyle w:val="15"/>
              <w:rPr>
                <w:lang w:eastAsia="zh-CN"/>
              </w:rPr>
            </w:pPr>
            <w:r>
              <w:rPr>
                <w:rFonts w:hint="eastAsia"/>
                <w:lang w:eastAsia="zh-CN"/>
              </w:rPr>
              <w:t>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lang w:eastAsia="zh-CN"/>
              </w:rPr>
            </w:pPr>
            <w:r>
              <w:rPr>
                <w:rFonts w:hint="eastAsia"/>
                <w:lang w:eastAsia="zh-CN"/>
              </w:rPr>
              <w:t>168.27</w:t>
            </w:r>
          </w:p>
        </w:tc>
        <w:tc>
          <w:tcPr>
            <w:tcW w:w="2551" w:type="dxa"/>
            <w:vAlign w:val="center"/>
          </w:tcPr>
          <w:p>
            <w:pPr>
              <w:pStyle w:val="11"/>
              <w:rPr>
                <w:lang w:eastAsia="zh-CN"/>
              </w:rPr>
            </w:pPr>
            <w:r>
              <w:rPr>
                <w:rFonts w:hint="eastAsia"/>
                <w:lang w:eastAsia="zh-CN"/>
              </w:rPr>
              <w:t>168.27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lang w:eastAsia="zh-CN"/>
              </w:rPr>
            </w:pPr>
            <w:r>
              <w:rPr>
                <w:rFonts w:hint="eastAsia"/>
                <w:lang w:eastAsia="zh-CN"/>
              </w:rPr>
              <w:t>43.41</w:t>
            </w:r>
          </w:p>
        </w:tc>
        <w:tc>
          <w:tcPr>
            <w:tcW w:w="2551" w:type="dxa"/>
            <w:vAlign w:val="center"/>
          </w:tcPr>
          <w:p>
            <w:pPr>
              <w:pStyle w:val="11"/>
              <w:rPr>
                <w:lang w:eastAsia="zh-CN"/>
              </w:rPr>
            </w:pPr>
            <w:r>
              <w:rPr>
                <w:rFonts w:hint="eastAsia"/>
                <w:lang w:eastAsia="zh-CN"/>
              </w:rPr>
              <w:t>43.41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lang w:eastAsia="zh-CN"/>
              </w:rPr>
            </w:pPr>
            <w:r>
              <w:rPr>
                <w:rFonts w:hint="eastAsia"/>
                <w:lang w:eastAsia="zh-CN"/>
              </w:rPr>
              <w:t>38.91</w:t>
            </w:r>
          </w:p>
        </w:tc>
        <w:tc>
          <w:tcPr>
            <w:tcW w:w="2551" w:type="dxa"/>
            <w:vAlign w:val="center"/>
          </w:tcPr>
          <w:p>
            <w:pPr>
              <w:pStyle w:val="11"/>
              <w:rPr>
                <w:lang w:eastAsia="zh-CN"/>
              </w:rPr>
            </w:pPr>
            <w:r>
              <w:rPr>
                <w:rFonts w:hint="eastAsia"/>
                <w:lang w:eastAsia="zh-CN"/>
              </w:rPr>
              <w:t>38.91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rPr>
                <w:lang w:eastAsia="zh-CN"/>
              </w:rPr>
            </w:pPr>
            <w:r>
              <w:rPr>
                <w:rFonts w:hint="eastAsia"/>
                <w:lang w:eastAsia="zh-CN"/>
              </w:rPr>
              <w:t>10.08</w:t>
            </w:r>
          </w:p>
        </w:tc>
        <w:tc>
          <w:tcPr>
            <w:tcW w:w="2551" w:type="dxa"/>
            <w:vAlign w:val="center"/>
          </w:tcPr>
          <w:p>
            <w:pPr>
              <w:pStyle w:val="11"/>
              <w:rPr>
                <w:lang w:eastAsia="zh-CN"/>
              </w:rPr>
            </w:pPr>
            <w:r>
              <w:rPr>
                <w:rFonts w:hint="eastAsia"/>
                <w:lang w:eastAsia="zh-CN"/>
              </w:rPr>
              <w:t>10.08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rPr>
                <w:lang w:eastAsia="zh-CN"/>
              </w:rPr>
            </w:pPr>
            <w:r>
              <w:rPr>
                <w:rFonts w:hint="eastAsia"/>
                <w:lang w:eastAsia="zh-CN"/>
              </w:rPr>
              <w:t>10.22</w:t>
            </w:r>
          </w:p>
        </w:tc>
        <w:tc>
          <w:tcPr>
            <w:tcW w:w="2551" w:type="dxa"/>
            <w:vAlign w:val="center"/>
          </w:tcPr>
          <w:p>
            <w:pPr>
              <w:pStyle w:val="11"/>
              <w:rPr>
                <w:lang w:eastAsia="zh-CN"/>
              </w:rPr>
            </w:pPr>
            <w:r>
              <w:rPr>
                <w:rFonts w:hint="eastAsia"/>
                <w:lang w:eastAsia="zh-CN"/>
              </w:rPr>
              <w:t>10.22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lang w:eastAsia="zh-CN"/>
              </w:rPr>
            </w:pPr>
            <w:r>
              <w:rPr>
                <w:rFonts w:hint="eastAsia"/>
                <w:lang w:eastAsia="zh-CN"/>
              </w:rPr>
              <w:t>12.50</w:t>
            </w:r>
          </w:p>
        </w:tc>
        <w:tc>
          <w:tcPr>
            <w:tcW w:w="2551" w:type="dxa"/>
            <w:vAlign w:val="center"/>
          </w:tcPr>
          <w:p>
            <w:pPr>
              <w:pStyle w:val="11"/>
              <w:rPr>
                <w:lang w:eastAsia="zh-CN"/>
              </w:rPr>
            </w:pPr>
            <w:r>
              <w:rPr>
                <w:rFonts w:hint="eastAsia"/>
                <w:lang w:eastAsia="zh-CN"/>
              </w:rPr>
              <w:t>12.50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rPr>
                <w:lang w:eastAsia="zh-CN"/>
              </w:rPr>
            </w:pPr>
            <w:r>
              <w:rPr>
                <w:rFonts w:hint="eastAsia"/>
                <w:lang w:eastAsia="zh-CN"/>
              </w:rPr>
              <w:t>6.66</w:t>
            </w:r>
          </w:p>
        </w:tc>
        <w:tc>
          <w:tcPr>
            <w:tcW w:w="2551" w:type="dxa"/>
            <w:vAlign w:val="center"/>
          </w:tcPr>
          <w:p>
            <w:pPr>
              <w:pStyle w:val="11"/>
              <w:rPr>
                <w:lang w:eastAsia="zh-CN"/>
              </w:rPr>
            </w:pPr>
            <w:r>
              <w:rPr>
                <w:rFonts w:hint="eastAsia"/>
                <w:lang w:eastAsia="zh-CN"/>
              </w:rPr>
              <w:t>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rPr>
                <w:lang w:eastAsia="zh-CN"/>
              </w:rPr>
            </w:pPr>
            <w:r>
              <w:rPr>
                <w:rFonts w:hint="eastAsia"/>
                <w:lang w:eastAsia="zh-CN"/>
              </w:rPr>
              <w:t>13.26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lang w:eastAsia="zh-CN"/>
              </w:rPr>
            </w:pPr>
            <w:r>
              <w:rPr>
                <w:rFonts w:hint="eastAsia"/>
                <w:lang w:eastAsia="zh-CN"/>
              </w:rPr>
              <w:t>6.30</w:t>
            </w:r>
          </w:p>
        </w:tc>
        <w:tc>
          <w:tcPr>
            <w:tcW w:w="2551" w:type="dxa"/>
            <w:vAlign w:val="center"/>
          </w:tcPr>
          <w:p>
            <w:pPr>
              <w:pStyle w:val="11"/>
              <w:rPr>
                <w:lang w:eastAsia="zh-CN"/>
              </w:rPr>
            </w:pPr>
            <w:r>
              <w:rPr>
                <w:rFonts w:hint="eastAsia"/>
                <w:lang w:eastAsia="zh-CN"/>
              </w:rPr>
              <w:t>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rPr>
                <w:lang w:eastAsia="zh-CN"/>
              </w:rPr>
            </w:pPr>
            <w:r>
              <w:rPr>
                <w:rFonts w:hint="eastAsia"/>
                <w:lang w:eastAsia="zh-CN"/>
              </w:rPr>
              <w:t>10.83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rPr>
                <w:lang w:eastAsia="zh-CN"/>
              </w:rPr>
            </w:pPr>
            <w:r>
              <w:rPr>
                <w:rFonts w:hint="eastAsia"/>
                <w:lang w:eastAsia="zh-CN"/>
              </w:rPr>
              <w:t>16.10</w:t>
            </w:r>
          </w:p>
        </w:tc>
        <w:tc>
          <w:tcPr>
            <w:tcW w:w="2551" w:type="dxa"/>
            <w:vAlign w:val="center"/>
          </w:tcPr>
          <w:p>
            <w:pPr>
              <w:pStyle w:val="11"/>
              <w:rPr>
                <w:lang w:eastAsia="zh-CN"/>
              </w:rPr>
            </w:pPr>
            <w:r>
              <w:rPr>
                <w:rFonts w:hint="eastAsia"/>
                <w:lang w:eastAsia="zh-CN"/>
              </w:rPr>
              <w:t>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lang w:eastAsia="zh-CN"/>
              </w:rPr>
            </w:pPr>
            <w:r>
              <w:rPr>
                <w:rFonts w:hint="eastAsia"/>
                <w:lang w:eastAsia="zh-CN"/>
              </w:rPr>
              <w:t>14.77</w:t>
            </w:r>
          </w:p>
        </w:tc>
        <w:tc>
          <w:tcPr>
            <w:tcW w:w="2551" w:type="dxa"/>
            <w:vAlign w:val="center"/>
          </w:tcPr>
          <w:p>
            <w:pPr>
              <w:pStyle w:val="11"/>
            </w:pPr>
          </w:p>
        </w:tc>
        <w:tc>
          <w:tcPr>
            <w:tcW w:w="2551" w:type="dxa"/>
            <w:vAlign w:val="center"/>
          </w:tcPr>
          <w:p>
            <w:pPr>
              <w:pStyle w:val="11"/>
              <w:rPr>
                <w:lang w:eastAsia="zh-CN"/>
              </w:rPr>
            </w:pPr>
            <w:r>
              <w:rPr>
                <w:rFonts w:hint="eastAsia"/>
                <w:lang w:eastAsia="zh-CN"/>
              </w:rPr>
              <w:t>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lang w:eastAsia="zh-CN"/>
              </w:rPr>
            </w:pPr>
            <w:r>
              <w:rPr>
                <w:rFonts w:hint="eastAsia"/>
                <w:lang w:eastAsia="zh-CN"/>
              </w:rPr>
              <w:t>3.3</w:t>
            </w:r>
          </w:p>
        </w:tc>
        <w:tc>
          <w:tcPr>
            <w:tcW w:w="2551" w:type="dxa"/>
            <w:vAlign w:val="center"/>
          </w:tcPr>
          <w:p>
            <w:pPr>
              <w:pStyle w:val="11"/>
            </w:pPr>
          </w:p>
        </w:tc>
        <w:tc>
          <w:tcPr>
            <w:tcW w:w="2551" w:type="dxa"/>
            <w:vAlign w:val="center"/>
          </w:tcPr>
          <w:p>
            <w:pPr>
              <w:pStyle w:val="11"/>
              <w:rPr>
                <w:lang w:eastAsia="zh-CN"/>
              </w:rPr>
            </w:pPr>
            <w:r>
              <w:rPr>
                <w:rFonts w:hint="eastAsia"/>
                <w:lang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rPr>
                <w:lang w:eastAsia="zh-CN"/>
              </w:rPr>
            </w:pPr>
            <w:r>
              <w:rPr>
                <w:rFonts w:hint="eastAsia"/>
                <w:lang w:eastAsia="zh-CN"/>
              </w:rPr>
              <w:t>3.22</w:t>
            </w:r>
          </w:p>
        </w:tc>
        <w:tc>
          <w:tcPr>
            <w:tcW w:w="2551" w:type="dxa"/>
            <w:vAlign w:val="center"/>
          </w:tcPr>
          <w:p>
            <w:pPr>
              <w:pStyle w:val="11"/>
            </w:pPr>
          </w:p>
        </w:tc>
        <w:tc>
          <w:tcPr>
            <w:tcW w:w="2551" w:type="dxa"/>
            <w:vAlign w:val="center"/>
          </w:tcPr>
          <w:p>
            <w:pPr>
              <w:pStyle w:val="11"/>
              <w:rPr>
                <w:lang w:eastAsia="zh-CN"/>
              </w:rPr>
            </w:pPr>
            <w:r>
              <w:rPr>
                <w:rFonts w:hint="eastAsia"/>
                <w:lang w:eastAsia="zh-CN"/>
              </w:rP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rPr>
                <w:lang w:eastAsia="zh-CN"/>
              </w:rPr>
            </w:pPr>
            <w:r>
              <w:rPr>
                <w:rFonts w:hint="eastAsia"/>
                <w:lang w:eastAsia="zh-CN"/>
              </w:rPr>
              <w:t>0.87</w:t>
            </w:r>
          </w:p>
        </w:tc>
        <w:tc>
          <w:tcPr>
            <w:tcW w:w="2551" w:type="dxa"/>
            <w:vAlign w:val="center"/>
          </w:tcPr>
          <w:p>
            <w:pPr>
              <w:pStyle w:val="11"/>
            </w:pPr>
          </w:p>
        </w:tc>
        <w:tc>
          <w:tcPr>
            <w:tcW w:w="2551" w:type="dxa"/>
            <w:vAlign w:val="center"/>
          </w:tcPr>
          <w:p>
            <w:pPr>
              <w:pStyle w:val="11"/>
              <w:rPr>
                <w:lang w:eastAsia="zh-CN"/>
              </w:rPr>
            </w:pPr>
            <w:r>
              <w:rPr>
                <w:rFonts w:hint="eastAsia"/>
                <w:lang w:eastAsia="zh-CN"/>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rPr>
                <w:lang w:eastAsia="zh-CN"/>
              </w:rPr>
            </w:pPr>
            <w:r>
              <w:rPr>
                <w:rFonts w:hint="eastAsia"/>
                <w:lang w:eastAsia="zh-CN"/>
              </w:rPr>
              <w:t>1.08</w:t>
            </w:r>
          </w:p>
        </w:tc>
        <w:tc>
          <w:tcPr>
            <w:tcW w:w="2551" w:type="dxa"/>
            <w:vAlign w:val="center"/>
          </w:tcPr>
          <w:p>
            <w:pPr>
              <w:pStyle w:val="11"/>
            </w:pPr>
          </w:p>
        </w:tc>
        <w:tc>
          <w:tcPr>
            <w:tcW w:w="2551" w:type="dxa"/>
            <w:vAlign w:val="center"/>
          </w:tcPr>
          <w:p>
            <w:pPr>
              <w:pStyle w:val="11"/>
              <w:rPr>
                <w:lang w:eastAsia="zh-CN"/>
              </w:rPr>
            </w:pPr>
            <w:r>
              <w:rPr>
                <w:rFonts w:hint="eastAsia"/>
                <w:lang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lang w:eastAsia="zh-CN"/>
              </w:rPr>
            </w:pPr>
            <w:r>
              <w:rPr>
                <w:rFonts w:hint="eastAsia"/>
                <w:lang w:eastAsia="zh-CN"/>
              </w:rPr>
              <w:t>3.13</w:t>
            </w:r>
          </w:p>
        </w:tc>
        <w:tc>
          <w:tcPr>
            <w:tcW w:w="2551" w:type="dxa"/>
            <w:vAlign w:val="center"/>
          </w:tcPr>
          <w:p>
            <w:pPr>
              <w:pStyle w:val="11"/>
              <w:rPr>
                <w:lang w:eastAsia="zh-CN"/>
              </w:rPr>
            </w:pPr>
            <w:r>
              <w:rPr>
                <w:rFonts w:hint="eastAsia"/>
                <w:lang w:eastAsia="zh-CN"/>
              </w:rPr>
              <w:t>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rPr>
                <w:rFonts w:hint="eastAsia"/>
                <w:lang w:eastAsia="zh-CN"/>
              </w:rPr>
              <w:t>1.28</w:t>
            </w:r>
          </w:p>
        </w:tc>
        <w:tc>
          <w:tcPr>
            <w:tcW w:w="2551" w:type="dxa"/>
            <w:vAlign w:val="center"/>
          </w:tcPr>
          <w:p>
            <w:pPr>
              <w:pStyle w:val="11"/>
              <w:rPr>
                <w:lang w:eastAsia="zh-CN"/>
              </w:rPr>
            </w:pPr>
            <w:r>
              <w:rPr>
                <w:rFonts w:hint="eastAsia"/>
                <w:lang w:eastAsia="zh-CN"/>
              </w:rPr>
              <w:t>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rPr>
                <w:lang w:eastAsia="zh-CN"/>
              </w:rPr>
            </w:pPr>
          </w:p>
        </w:tc>
        <w:tc>
          <w:tcPr>
            <w:tcW w:w="2551" w:type="dxa"/>
            <w:vAlign w:val="center"/>
          </w:tcPr>
          <w:p>
            <w:pPr>
              <w:pStyle w:val="11"/>
            </w:pP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w:t>
            </w:r>
            <w:r>
              <w:rPr>
                <w:rFonts w:hint="eastAsia"/>
                <w:lang w:eastAsia="zh-CN"/>
              </w:rPr>
              <w:t>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w:t>
            </w:r>
            <w:r>
              <w:rPr>
                <w:rFonts w:hint="eastAsia"/>
                <w:lang w:eastAsia="zh-CN"/>
              </w:rPr>
              <w:t>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38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3798" w:type="dxa"/>
            <w:vAlign w:val="center"/>
          </w:tcPr>
          <w:p>
            <w:pPr>
              <w:pStyle w:val="12"/>
              <w:jc w:val="center"/>
              <w:rPr>
                <w:lang w:eastAsia="zh-CN"/>
              </w:rPr>
            </w:pPr>
            <w:r>
              <w:rPr>
                <w:rFonts w:hint="eastAsia"/>
                <w:lang w:eastAsia="zh-CN"/>
              </w:rPr>
              <w:t>合计</w:t>
            </w:r>
          </w:p>
        </w:tc>
        <w:tc>
          <w:tcPr>
            <w:tcW w:w="2381" w:type="dxa"/>
            <w:vAlign w:val="center"/>
          </w:tcPr>
          <w:p>
            <w:pPr>
              <w:pStyle w:val="11"/>
              <w:jc w:val="center"/>
              <w:rPr>
                <w:lang w:eastAsia="zh-CN"/>
              </w:rPr>
            </w:pPr>
            <w:r>
              <w:rPr>
                <w:rFonts w:hint="eastAsia"/>
                <w:lang w:eastAsia="zh-CN"/>
              </w:rPr>
              <w:t>2</w:t>
            </w:r>
          </w:p>
        </w:tc>
        <w:tc>
          <w:tcPr>
            <w:tcW w:w="2381" w:type="dxa"/>
            <w:vAlign w:val="center"/>
          </w:tcPr>
          <w:p>
            <w:pPr>
              <w:pStyle w:val="11"/>
              <w:jc w:val="center"/>
              <w:rPr>
                <w:lang w:eastAsia="zh-CN"/>
              </w:rPr>
            </w:pPr>
            <w:r>
              <w:rPr>
                <w:rFonts w:hint="eastAsia"/>
                <w:lang w:eastAsia="zh-CN"/>
              </w:rPr>
              <w:t>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2</w:t>
            </w:r>
          </w:p>
        </w:tc>
        <w:tc>
          <w:tcPr>
            <w:tcW w:w="3798" w:type="dxa"/>
            <w:vAlign w:val="center"/>
          </w:tcPr>
          <w:p>
            <w:pPr>
              <w:pStyle w:val="12"/>
              <w:rPr>
                <w:lang w:eastAsia="zh-CN"/>
              </w:rPr>
            </w:pPr>
            <w:r>
              <w:rPr>
                <w:rFonts w:hint="eastAsia"/>
                <w:lang w:eastAsia="zh-CN"/>
              </w:rPr>
              <w:t>“三公”经费小计</w:t>
            </w:r>
          </w:p>
        </w:tc>
        <w:tc>
          <w:tcPr>
            <w:tcW w:w="2381" w:type="dxa"/>
            <w:vAlign w:val="center"/>
          </w:tcPr>
          <w:p>
            <w:pPr>
              <w:pStyle w:val="11"/>
              <w:jc w:val="center"/>
              <w:rPr>
                <w:lang w:eastAsia="zh-CN"/>
              </w:rPr>
            </w:pPr>
            <w:r>
              <w:rPr>
                <w:rFonts w:hint="eastAsia"/>
                <w:lang w:eastAsia="zh-CN"/>
              </w:rPr>
              <w:t>2</w:t>
            </w:r>
          </w:p>
        </w:tc>
        <w:tc>
          <w:tcPr>
            <w:tcW w:w="2381" w:type="dxa"/>
            <w:vAlign w:val="center"/>
          </w:tcPr>
          <w:p>
            <w:pPr>
              <w:pStyle w:val="11"/>
              <w:jc w:val="center"/>
              <w:rPr>
                <w:lang w:eastAsia="zh-CN"/>
              </w:rPr>
            </w:pPr>
            <w:r>
              <w:rPr>
                <w:rFonts w:hint="eastAsia"/>
                <w:lang w:eastAsia="zh-CN"/>
              </w:rPr>
              <w:t>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3</w:t>
            </w:r>
          </w:p>
        </w:tc>
        <w:tc>
          <w:tcPr>
            <w:tcW w:w="3798" w:type="dxa"/>
            <w:vAlign w:val="center"/>
          </w:tcPr>
          <w:p>
            <w:pPr>
              <w:pStyle w:val="12"/>
              <w:rPr>
                <w:lang w:eastAsia="zh-CN"/>
              </w:rPr>
            </w:pPr>
            <w:r>
              <w:rPr>
                <w:rFonts w:hint="eastAsia"/>
                <w:lang w:eastAsia="zh-CN"/>
              </w:rPr>
              <w:t>一、因公出国（境）费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4</w:t>
            </w:r>
          </w:p>
        </w:tc>
        <w:tc>
          <w:tcPr>
            <w:tcW w:w="3798" w:type="dxa"/>
            <w:vAlign w:val="center"/>
          </w:tcPr>
          <w:p>
            <w:pPr>
              <w:pStyle w:val="12"/>
              <w:rPr>
                <w:lang w:eastAsia="zh-CN"/>
              </w:rPr>
            </w:pPr>
            <w:r>
              <w:rPr>
                <w:rFonts w:hint="eastAsia"/>
                <w:lang w:eastAsia="zh-CN"/>
              </w:rPr>
              <w:t>其中：教学科研人员因公出国（境）费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5</w:t>
            </w:r>
          </w:p>
        </w:tc>
        <w:tc>
          <w:tcPr>
            <w:tcW w:w="3798" w:type="dxa"/>
            <w:vAlign w:val="center"/>
          </w:tcPr>
          <w:p>
            <w:pPr>
              <w:pStyle w:val="12"/>
              <w:rPr>
                <w:lang w:eastAsia="zh-CN"/>
              </w:rPr>
            </w:pPr>
            <w:r>
              <w:rPr>
                <w:rFonts w:hint="eastAsia"/>
                <w:lang w:eastAsia="zh-CN"/>
              </w:rPr>
              <w:t>其他因公出国（境）费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6</w:t>
            </w:r>
          </w:p>
        </w:tc>
        <w:tc>
          <w:tcPr>
            <w:tcW w:w="3798" w:type="dxa"/>
            <w:vAlign w:val="center"/>
          </w:tcPr>
          <w:p>
            <w:pPr>
              <w:pStyle w:val="12"/>
              <w:rPr>
                <w:lang w:eastAsia="zh-CN"/>
              </w:rPr>
            </w:pPr>
            <w:r>
              <w:rPr>
                <w:rFonts w:hint="eastAsia"/>
                <w:lang w:eastAsia="zh-CN"/>
              </w:rPr>
              <w:t>二、公务用车购置及运维费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7</w:t>
            </w:r>
          </w:p>
        </w:tc>
        <w:tc>
          <w:tcPr>
            <w:tcW w:w="3798" w:type="dxa"/>
            <w:vAlign w:val="center"/>
          </w:tcPr>
          <w:p>
            <w:pPr>
              <w:pStyle w:val="12"/>
              <w:rPr>
                <w:lang w:eastAsia="zh-CN"/>
              </w:rPr>
            </w:pPr>
            <w:r>
              <w:rPr>
                <w:rFonts w:hint="eastAsia"/>
                <w:lang w:eastAsia="zh-CN"/>
              </w:rPr>
              <w:t>其中：公务用车购置费</w:t>
            </w:r>
          </w:p>
        </w:tc>
        <w:tc>
          <w:tcPr>
            <w:tcW w:w="2381" w:type="dxa"/>
            <w:vAlign w:val="center"/>
          </w:tcPr>
          <w:p>
            <w:pPr>
              <w:pStyle w:val="11"/>
              <w:jc w:val="center"/>
            </w:pPr>
          </w:p>
        </w:tc>
        <w:tc>
          <w:tcPr>
            <w:tcW w:w="2381" w:type="dxa"/>
            <w:vAlign w:val="center"/>
          </w:tcPr>
          <w:p>
            <w:pPr>
              <w:pStyle w:val="11"/>
              <w:jc w:val="cente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8</w:t>
            </w:r>
          </w:p>
        </w:tc>
        <w:tc>
          <w:tcPr>
            <w:tcW w:w="3798" w:type="dxa"/>
            <w:vAlign w:val="center"/>
          </w:tcPr>
          <w:p>
            <w:pPr>
              <w:pStyle w:val="12"/>
              <w:rPr>
                <w:lang w:eastAsia="zh-CN"/>
              </w:rPr>
            </w:pPr>
            <w:r>
              <w:rPr>
                <w:rFonts w:hint="eastAsia"/>
                <w:lang w:eastAsia="zh-CN"/>
              </w:rPr>
              <w:t>公务用车运行维护费</w:t>
            </w:r>
          </w:p>
        </w:tc>
        <w:tc>
          <w:tcPr>
            <w:tcW w:w="2381" w:type="dxa"/>
            <w:vAlign w:val="center"/>
          </w:tcPr>
          <w:p>
            <w:pPr>
              <w:pStyle w:val="11"/>
              <w:jc w:val="center"/>
              <w:rPr>
                <w:lang w:eastAsia="zh-CN"/>
              </w:rPr>
            </w:pPr>
            <w:r>
              <w:rPr>
                <w:rFonts w:hint="eastAsia"/>
                <w:lang w:eastAsia="zh-CN"/>
              </w:rPr>
              <w:t>2</w:t>
            </w:r>
          </w:p>
        </w:tc>
        <w:tc>
          <w:tcPr>
            <w:tcW w:w="2381" w:type="dxa"/>
            <w:vAlign w:val="center"/>
          </w:tcPr>
          <w:p>
            <w:pPr>
              <w:pStyle w:val="11"/>
              <w:jc w:val="center"/>
              <w:rPr>
                <w:lang w:eastAsia="zh-CN"/>
              </w:rPr>
            </w:pPr>
            <w:r>
              <w:rPr>
                <w:rFonts w:hint="eastAsia"/>
                <w:lang w:eastAsia="zh-CN"/>
              </w:rPr>
              <w:t>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9</w:t>
            </w:r>
          </w:p>
        </w:tc>
        <w:tc>
          <w:tcPr>
            <w:tcW w:w="3798" w:type="dxa"/>
            <w:vAlign w:val="center"/>
          </w:tcPr>
          <w:p>
            <w:pPr>
              <w:pStyle w:val="12"/>
              <w:rPr>
                <w:lang w:eastAsia="zh-CN"/>
              </w:rPr>
            </w:pPr>
            <w:r>
              <w:rPr>
                <w:rFonts w:hint="eastAsia"/>
                <w:lang w:eastAsia="zh-CN"/>
              </w:rP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10</w:t>
            </w:r>
          </w:p>
        </w:tc>
        <w:tc>
          <w:tcPr>
            <w:tcW w:w="3798" w:type="dxa"/>
            <w:vAlign w:val="center"/>
          </w:tcPr>
          <w:p>
            <w:pPr>
              <w:pStyle w:val="12"/>
              <w:rPr>
                <w:lang w:eastAsia="zh-CN"/>
              </w:rPr>
            </w:pPr>
            <w:r>
              <w:rPr>
                <w:rFonts w:hint="eastAsia"/>
                <w:lang w:eastAsia="zh-CN"/>
              </w:rP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11</w:t>
            </w:r>
          </w:p>
        </w:tc>
        <w:tc>
          <w:tcPr>
            <w:tcW w:w="3798" w:type="dxa"/>
            <w:vAlign w:val="center"/>
          </w:tcPr>
          <w:p>
            <w:pPr>
              <w:pStyle w:val="12"/>
              <w:rPr>
                <w:lang w:eastAsia="zh-CN"/>
              </w:rPr>
            </w:pPr>
            <w:r>
              <w:rPr>
                <w:rFonts w:hint="eastAsia"/>
                <w:lang w:eastAsia="zh-CN"/>
              </w:rP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唐山市开平区信访局2022年部门预算信息公开情况说明</w:t>
      </w:r>
    </w:p>
    <w:p>
      <w:pPr>
        <w:jc w:val="center"/>
      </w:pPr>
      <w:r>
        <w:rPr>
          <w:rFonts w:ascii="方正小标宋_GBK" w:hAnsi="方正小标宋_GBK" w:eastAsia="方正小标宋_GBK" w:cs="方正小标宋_GBK"/>
          <w:color w:val="000000"/>
          <w:sz w:val="44"/>
        </w:rPr>
        <w:t>唐山市开平区信访局202</w:t>
      </w:r>
      <w:r>
        <w:rPr>
          <w:rFonts w:hint="eastAsia" w:ascii="方正小标宋_GBK" w:hAnsi="方正小标宋_GBK" w:eastAsia="方正小标宋_GBK" w:cs="方正小标宋_GBK"/>
          <w:color w:val="000000"/>
          <w:sz w:val="44"/>
          <w:lang w:eastAsia="zh-CN"/>
        </w:rPr>
        <w:t>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按照《预算法》、《地方预决算公开操作规程》和《关于进一步推进预算公开工作的实施意见》规定，现将唐山市开平区信访局202</w:t>
      </w:r>
      <w:r>
        <w:rPr>
          <w:rFonts w:hint="eastAsia" w:eastAsia="方正仿宋_GBK"/>
          <w:color w:val="000000"/>
          <w:sz w:val="28"/>
          <w:lang w:eastAsia="zh-CN"/>
        </w:rPr>
        <w:t>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p>
    <w:p>
      <w:pPr>
        <w:pStyle w:val="17"/>
      </w:pPr>
      <w:r>
        <w:t>(一) 研究提出全区信访工作思路，拟订信访工作方针政策。</w:t>
      </w:r>
    </w:p>
    <w:p>
      <w:pPr>
        <w:pStyle w:val="17"/>
      </w:pPr>
      <w:r>
        <w:t>(二)办理人民群众来信，接待群众来访，受理群众网上投诉，查办信访案件，负责人民群众建议征集工作。</w:t>
      </w:r>
    </w:p>
    <w:p>
      <w:pPr>
        <w:pStyle w:val="17"/>
      </w:pPr>
      <w:r>
        <w:t>(三)调查研究和综合分析全区信访形势及信访工作状况，总结推广各地各部门信访工作经验，提出改进和加强信访工作的意见和建议。</w:t>
      </w:r>
    </w:p>
    <w:p>
      <w:pPr>
        <w:pStyle w:val="17"/>
      </w:pPr>
      <w:r>
        <w:t>(四)参与组织、协调、指导全区社会治安综合治理和维护社会政治稳定工作，协助保障国家、省、市和区重大政治活动顺利进行，参与处理影响社会政治稳定的突发性、群体性事件。</w:t>
      </w:r>
    </w:p>
    <w:p>
      <w:pPr>
        <w:pStyle w:val="17"/>
      </w:pPr>
      <w:r>
        <w:t>(五)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pPr>
        <w:pStyle w:val="17"/>
      </w:pPr>
      <w:r>
        <w:t>(六)协助国家信访局、省信访局、市信访局处理开平区群众进京、赴省、到市上访工作，综合协调处理跨地区、跨部门、跨行业的重要信访问题，协助公安机关维护区委、区政府机关正常工作秩序。</w:t>
      </w:r>
    </w:p>
    <w:p>
      <w:pPr>
        <w:pStyle w:val="17"/>
      </w:pPr>
      <w:r>
        <w:t>(七)负责区级领导和区直部门领导公开接访和包联案件的组织协调工作。</w:t>
      </w:r>
    </w:p>
    <w:p>
      <w:pPr>
        <w:pStyle w:val="17"/>
      </w:pPr>
      <w:r>
        <w:t>(八)承担开平区信访工作联席会议的日常工作，督促落实联席会议决定的事项。</w:t>
      </w:r>
    </w:p>
    <w:p>
      <w:pPr>
        <w:pStyle w:val="17"/>
      </w:pPr>
      <w:r>
        <w:t xml:space="preserve">(九)完成区委、区政府以及国家信访局、省信访局、市信访局交办的其他任务。    </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ind w:firstLine="64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按照预算管理有关规定，目前我省部门预算的编制实行综合预算管理，即全部收入和支出都反映在预算中。唐山市开平区信访局机关及所属事业单位的收支包含在部门预算中。</w:t>
      </w:r>
    </w:p>
    <w:p>
      <w:pPr>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年预算收入共计</w:t>
      </w:r>
      <w:r>
        <w:rPr>
          <w:rFonts w:hint="eastAsia" w:eastAsia="方正仿宋_GBK"/>
          <w:color w:val="000000"/>
          <w:sz w:val="28"/>
          <w:lang w:eastAsia="zh-CN"/>
        </w:rPr>
        <w:t>686.17</w:t>
      </w:r>
      <w:r>
        <w:rPr>
          <w:rFonts w:hint="eastAsia" w:eastAsia="方正仿宋_GBK"/>
          <w:color w:val="000000"/>
          <w:sz w:val="28"/>
        </w:rPr>
        <w:t>万元。其中：一般公共预算收入</w:t>
      </w:r>
      <w:r>
        <w:rPr>
          <w:rFonts w:hint="eastAsia" w:eastAsia="方正仿宋_GBK"/>
          <w:color w:val="000000"/>
          <w:sz w:val="28"/>
          <w:lang w:eastAsia="zh-CN"/>
        </w:rPr>
        <w:t>686.17</w:t>
      </w:r>
      <w:r>
        <w:rPr>
          <w:rFonts w:hint="eastAsia" w:eastAsia="方正仿宋_GBK"/>
          <w:color w:val="000000"/>
          <w:sz w:val="28"/>
        </w:rPr>
        <w:t>万元，基金预算收入0万元，财政专户核拨收入0万元，其他来源收入0万元。</w:t>
      </w:r>
    </w:p>
    <w:p>
      <w:pPr>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年部门支出预算共计</w:t>
      </w:r>
      <w:r>
        <w:rPr>
          <w:rFonts w:hint="eastAsia" w:eastAsia="方正仿宋_GBK"/>
          <w:color w:val="000000"/>
          <w:sz w:val="28"/>
          <w:lang w:eastAsia="zh-CN"/>
        </w:rPr>
        <w:t>686.17</w:t>
      </w:r>
      <w:r>
        <w:rPr>
          <w:rFonts w:hint="eastAsia" w:eastAsia="方正仿宋_GBK"/>
          <w:color w:val="000000"/>
          <w:sz w:val="28"/>
        </w:rPr>
        <w:t>万元，其中人员经费支出预算</w:t>
      </w:r>
      <w:r>
        <w:rPr>
          <w:rFonts w:hint="eastAsia" w:eastAsia="方正仿宋_GBK"/>
          <w:color w:val="000000"/>
          <w:sz w:val="28"/>
          <w:lang w:eastAsia="zh-CN"/>
        </w:rPr>
        <w:t>171.40</w:t>
      </w:r>
      <w:r>
        <w:rPr>
          <w:rFonts w:hint="eastAsia" w:eastAsia="方正仿宋_GBK"/>
          <w:color w:val="000000"/>
          <w:sz w:val="28"/>
        </w:rPr>
        <w:t>万元，日常公用经费支出预算</w:t>
      </w:r>
      <w:r>
        <w:rPr>
          <w:rFonts w:hint="eastAsia" w:eastAsia="方正仿宋_GBK"/>
          <w:color w:val="000000"/>
          <w:sz w:val="28"/>
          <w:lang w:eastAsia="zh-CN"/>
        </w:rPr>
        <w:t>14.77</w:t>
      </w:r>
      <w:r>
        <w:rPr>
          <w:rFonts w:hint="eastAsia" w:eastAsia="方正仿宋_GBK"/>
          <w:color w:val="000000"/>
          <w:sz w:val="28"/>
        </w:rPr>
        <w:t>万元，项目支出</w:t>
      </w:r>
      <w:r>
        <w:rPr>
          <w:rFonts w:hint="eastAsia" w:eastAsia="方正仿宋_GBK"/>
          <w:color w:val="000000"/>
          <w:sz w:val="28"/>
          <w:lang w:eastAsia="zh-CN"/>
        </w:rPr>
        <w:t>500</w:t>
      </w:r>
      <w:r>
        <w:rPr>
          <w:rFonts w:hint="eastAsia" w:eastAsia="方正仿宋_GBK"/>
          <w:color w:val="000000"/>
          <w:sz w:val="28"/>
        </w:rPr>
        <w:t>万元。</w:t>
      </w:r>
    </w:p>
    <w:p>
      <w:pPr>
        <w:ind w:firstLine="64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ind w:firstLine="640"/>
        <w:rPr>
          <w:rFonts w:eastAsia="方正仿宋_GBK"/>
          <w:color w:val="000000"/>
          <w:sz w:val="28"/>
        </w:rPr>
      </w:pPr>
      <w:r>
        <w:rPr>
          <w:rFonts w:hint="eastAsia" w:eastAsia="方正仿宋_GBK"/>
          <w:color w:val="000000"/>
          <w:sz w:val="28"/>
        </w:rPr>
        <w:t>经过对比测算，</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年财政拨款预算比202</w:t>
      </w:r>
      <w:r>
        <w:rPr>
          <w:rFonts w:hint="eastAsia" w:eastAsia="方正仿宋_GBK"/>
          <w:color w:val="000000"/>
          <w:sz w:val="28"/>
          <w:lang w:eastAsia="zh-CN"/>
        </w:rPr>
        <w:t>2</w:t>
      </w:r>
      <w:r>
        <w:rPr>
          <w:rFonts w:hint="eastAsia" w:eastAsia="方正仿宋_GBK"/>
          <w:color w:val="000000"/>
          <w:sz w:val="28"/>
        </w:rPr>
        <w:t>年增加了</w:t>
      </w:r>
      <w:r>
        <w:rPr>
          <w:rFonts w:hint="eastAsia" w:eastAsia="方正仿宋_GBK"/>
          <w:color w:val="000000"/>
          <w:sz w:val="28"/>
          <w:lang w:eastAsia="zh-CN"/>
        </w:rPr>
        <w:t>51.16</w:t>
      </w:r>
      <w:r>
        <w:rPr>
          <w:rFonts w:hint="eastAsia" w:eastAsia="方正仿宋_GBK"/>
          <w:color w:val="000000"/>
          <w:sz w:val="28"/>
        </w:rPr>
        <w:t>万元，主要是：人员经费</w:t>
      </w:r>
      <w:r>
        <w:rPr>
          <w:rFonts w:hint="eastAsia" w:eastAsia="方正仿宋_GBK"/>
          <w:color w:val="000000"/>
          <w:sz w:val="28"/>
          <w:lang w:eastAsia="zh-CN"/>
        </w:rPr>
        <w:t>减少17.21</w:t>
      </w:r>
      <w:r>
        <w:rPr>
          <w:rFonts w:hint="eastAsia" w:eastAsia="方正仿宋_GBK"/>
          <w:color w:val="000000"/>
          <w:sz w:val="28"/>
        </w:rPr>
        <w:t>万元，</w:t>
      </w:r>
      <w:r>
        <w:rPr>
          <w:rFonts w:hint="eastAsia" w:eastAsia="方正仿宋_GBK"/>
          <w:color w:val="000000"/>
          <w:sz w:val="28"/>
          <w:lang w:eastAsia="zh-CN"/>
        </w:rPr>
        <w:t>减少</w:t>
      </w:r>
      <w:r>
        <w:rPr>
          <w:rFonts w:hint="eastAsia" w:eastAsia="方正仿宋_GBK"/>
          <w:color w:val="000000"/>
          <w:sz w:val="28"/>
        </w:rPr>
        <w:t>原因：</w:t>
      </w:r>
      <w:r>
        <w:rPr>
          <w:rFonts w:hint="eastAsia" w:eastAsia="方正仿宋_GBK"/>
          <w:color w:val="000000"/>
          <w:sz w:val="28"/>
          <w:lang w:eastAsia="zh-CN"/>
        </w:rPr>
        <w:t>人员变动</w:t>
      </w:r>
      <w:r>
        <w:rPr>
          <w:rFonts w:hint="eastAsia" w:eastAsia="方正仿宋_GBK"/>
          <w:color w:val="000000"/>
          <w:sz w:val="28"/>
        </w:rPr>
        <w:t>；日常公用经费减少</w:t>
      </w:r>
      <w:r>
        <w:rPr>
          <w:rFonts w:hint="eastAsia" w:eastAsia="方正仿宋_GBK"/>
          <w:color w:val="000000"/>
          <w:sz w:val="28"/>
          <w:lang w:eastAsia="zh-CN"/>
        </w:rPr>
        <w:t>0.7</w:t>
      </w:r>
      <w:r>
        <w:rPr>
          <w:rFonts w:hint="eastAsia" w:eastAsia="方正仿宋_GBK"/>
          <w:color w:val="000000"/>
          <w:sz w:val="28"/>
        </w:rPr>
        <w:t>万元，减少原因：人员变动。项目支出</w:t>
      </w:r>
      <w:r>
        <w:rPr>
          <w:rFonts w:hint="eastAsia" w:eastAsia="方正仿宋_GBK"/>
          <w:color w:val="000000"/>
          <w:sz w:val="28"/>
          <w:lang w:eastAsia="zh-CN"/>
        </w:rPr>
        <w:t>增加</w:t>
      </w:r>
      <w:r>
        <w:rPr>
          <w:rFonts w:hint="eastAsia" w:eastAsia="方正仿宋_GBK"/>
          <w:color w:val="000000"/>
          <w:sz w:val="28"/>
        </w:rPr>
        <w:t>了</w:t>
      </w:r>
      <w:r>
        <w:rPr>
          <w:rFonts w:hint="eastAsia" w:eastAsia="方正仿宋_GBK"/>
          <w:color w:val="000000"/>
          <w:sz w:val="28"/>
          <w:lang w:eastAsia="zh-CN"/>
        </w:rPr>
        <w:t>69.07</w:t>
      </w:r>
      <w:r>
        <w:rPr>
          <w:rFonts w:hint="eastAsia" w:eastAsia="方正仿宋_GBK"/>
          <w:color w:val="000000"/>
          <w:sz w:val="28"/>
        </w:rPr>
        <w:t>万元，</w:t>
      </w:r>
      <w:r>
        <w:rPr>
          <w:rFonts w:hint="eastAsia" w:eastAsia="方正仿宋_GBK"/>
          <w:color w:val="000000"/>
          <w:sz w:val="28"/>
          <w:lang w:eastAsia="zh-CN"/>
        </w:rPr>
        <w:t>增加</w:t>
      </w:r>
      <w:r>
        <w:rPr>
          <w:rFonts w:hint="eastAsia" w:eastAsia="方正仿宋_GBK"/>
          <w:color w:val="000000"/>
          <w:sz w:val="28"/>
        </w:rPr>
        <w:t>原因：项目预算</w:t>
      </w:r>
      <w:r>
        <w:rPr>
          <w:rFonts w:hint="eastAsia" w:eastAsia="方正仿宋_GBK"/>
          <w:color w:val="000000"/>
          <w:sz w:val="28"/>
          <w:lang w:eastAsia="zh-CN"/>
        </w:rPr>
        <w:t>增加</w:t>
      </w:r>
      <w:r>
        <w:rPr>
          <w:rFonts w:hint="eastAsia" w:eastAsia="方正仿宋_GBK"/>
          <w:color w:val="000000"/>
          <w:sz w:val="28"/>
        </w:rPr>
        <w:t>。</w:t>
      </w:r>
    </w:p>
    <w:p>
      <w:pPr>
        <w:spacing w:line="500" w:lineRule="exact"/>
        <w:ind w:firstLine="560"/>
      </w:pP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rPr>
          <w:rFonts w:hint="eastAsia"/>
        </w:rPr>
        <w:t>机关运行经费共计安排</w:t>
      </w:r>
      <w:r>
        <w:rPr>
          <w:rFonts w:hint="eastAsia"/>
          <w:lang w:eastAsia="zh-CN"/>
        </w:rPr>
        <w:t>14.77</w:t>
      </w:r>
      <w:r>
        <w:rPr>
          <w:rFonts w:hint="eastAsia"/>
        </w:rPr>
        <w:t>万元，主要用于保证正常办公的基本需要和维持单位日常业务运转，包括：办公费</w:t>
      </w:r>
      <w:r>
        <w:rPr>
          <w:rFonts w:hint="eastAsia"/>
          <w:lang w:eastAsia="zh-CN"/>
        </w:rPr>
        <w:t>3.3万元</w:t>
      </w:r>
      <w:r>
        <w:rPr>
          <w:rFonts w:hint="eastAsia"/>
        </w:rPr>
        <w:t>、邮电费</w:t>
      </w:r>
      <w:r>
        <w:rPr>
          <w:rFonts w:hint="eastAsia"/>
          <w:lang w:eastAsia="zh-CN"/>
        </w:rPr>
        <w:t>3.22万元</w:t>
      </w:r>
      <w:r>
        <w:rPr>
          <w:rFonts w:hint="eastAsia"/>
        </w:rPr>
        <w:t>、</w:t>
      </w:r>
      <w:r>
        <w:rPr>
          <w:rFonts w:hint="eastAsia"/>
          <w:lang w:eastAsia="zh-CN"/>
        </w:rPr>
        <w:t>工会经费0.87万元</w:t>
      </w:r>
      <w:r>
        <w:rPr>
          <w:rFonts w:hint="eastAsia"/>
        </w:rPr>
        <w:t>、</w:t>
      </w:r>
      <w:r>
        <w:rPr>
          <w:rFonts w:hint="eastAsia"/>
          <w:lang w:eastAsia="zh-CN"/>
        </w:rPr>
        <w:t>福利费1.08万元</w:t>
      </w:r>
      <w:r>
        <w:rPr>
          <w:rFonts w:hint="eastAsia"/>
        </w:rPr>
        <w:t>、公务用车运行维护费</w:t>
      </w:r>
      <w:r>
        <w:rPr>
          <w:rFonts w:hint="eastAsia"/>
          <w:lang w:eastAsia="zh-CN"/>
        </w:rPr>
        <w:t>2万元</w:t>
      </w:r>
      <w:r>
        <w:rPr>
          <w:rFonts w:hint="eastAsia"/>
        </w:rPr>
        <w:t>、</w:t>
      </w:r>
      <w:r>
        <w:rPr>
          <w:rFonts w:hint="eastAsia"/>
          <w:lang w:eastAsia="zh-CN"/>
        </w:rPr>
        <w:t>其他交通费4.2万元和其他费用0.1万元</w:t>
      </w:r>
      <w:r>
        <w:rPr>
          <w:rFonts w:hint="eastAsia"/>
        </w:rPr>
        <w:t>。</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w:t>
      </w:r>
      <w:r>
        <w:rPr>
          <w:rFonts w:hint="eastAsia"/>
        </w:rPr>
        <w:t>2</w:t>
      </w:r>
      <w:r>
        <w:rPr>
          <w:rFonts w:hint="eastAsia"/>
          <w:lang w:eastAsia="zh-CN"/>
        </w:rPr>
        <w:t>3</w:t>
      </w:r>
      <w:r>
        <w:rPr>
          <w:rFonts w:hint="eastAsia"/>
        </w:rPr>
        <w:t>年我部门“三公”经费预算安排</w:t>
      </w:r>
      <w:r>
        <w:t>2</w:t>
      </w:r>
      <w:r>
        <w:rPr>
          <w:rFonts w:hint="eastAsia"/>
        </w:rPr>
        <w:t>万元，与上年持平，无增减变化。</w:t>
      </w:r>
    </w:p>
    <w:p>
      <w:pPr>
        <w:pStyle w:val="20"/>
      </w:pPr>
      <w:r>
        <w:rPr>
          <w:rFonts w:hint="eastAsia"/>
        </w:rPr>
        <w:t>具体安排情况为：</w:t>
      </w:r>
    </w:p>
    <w:p>
      <w:pPr>
        <w:pStyle w:val="20"/>
      </w:pPr>
      <w:r>
        <w:rPr>
          <w:rFonts w:hint="eastAsia"/>
        </w:rPr>
        <w:t>（</w:t>
      </w:r>
      <w:r>
        <w:t>1</w:t>
      </w:r>
      <w:r>
        <w:rPr>
          <w:rFonts w:hint="eastAsia"/>
        </w:rPr>
        <w:t>）公务用车购置及运行费。共计安排</w:t>
      </w:r>
      <w:r>
        <w:t>2</w:t>
      </w:r>
      <w:r>
        <w:rPr>
          <w:rFonts w:hint="eastAsia"/>
        </w:rPr>
        <w:t>万元，与上年持平，无增减变化。①公务用车购置安排</w:t>
      </w:r>
      <w:r>
        <w:t>0</w:t>
      </w:r>
      <w:r>
        <w:rPr>
          <w:rFonts w:hint="eastAsia"/>
        </w:rPr>
        <w:t>万元，与上年持平，无增减变化。②公车运行维护经费安排</w:t>
      </w:r>
      <w:r>
        <w:t>2</w:t>
      </w:r>
      <w:r>
        <w:rPr>
          <w:rFonts w:hint="eastAsia"/>
        </w:rPr>
        <w:t>万元，与上年持平，无增减变化。</w:t>
      </w:r>
    </w:p>
    <w:p>
      <w:pPr>
        <w:pStyle w:val="20"/>
      </w:pPr>
      <w:r>
        <w:rPr>
          <w:rFonts w:hint="eastAsia"/>
        </w:rPr>
        <w:t>（</w:t>
      </w:r>
      <w:r>
        <w:t>2</w:t>
      </w:r>
      <w:r>
        <w:rPr>
          <w:rFonts w:hint="eastAsia"/>
        </w:rPr>
        <w:t>）公务接待费安排</w:t>
      </w:r>
      <w:r>
        <w:t>0</w:t>
      </w:r>
      <w:r>
        <w:rPr>
          <w:rFonts w:hint="eastAsia"/>
        </w:rPr>
        <w:t>万元，与上年持平，无增减变化。</w:t>
      </w:r>
    </w:p>
    <w:p>
      <w:pPr>
        <w:pStyle w:val="20"/>
      </w:pPr>
      <w:r>
        <w:rPr>
          <w:rFonts w:hint="eastAsia"/>
        </w:rPr>
        <w:t>（</w:t>
      </w:r>
      <w:r>
        <w:t>3</w:t>
      </w:r>
      <w:r>
        <w:rPr>
          <w:rFonts w:hint="eastAsia"/>
        </w:rPr>
        <w:t>）因公出国（境）费安排</w:t>
      </w:r>
      <w:r>
        <w:t>0</w:t>
      </w:r>
      <w:r>
        <w:rPr>
          <w:rFonts w:hint="eastAsia"/>
        </w:rPr>
        <w:t>万元，与上年持平，无增减变化。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坚持以人民为中心思想，以社会治理创新为动力，以解决群众合理诉求为核心，强化党政同抓，一岗双责机制，持续打造“责任信访、法治信访、阳光信访”。畅通信访渠道，规范信访秩序，不断创新信访工作机制，着力推进“事要解决”极大地调动信访工作的积极性。提前入手，做好矛盾纠纷排查化解工作，不断完善制度，建立信访工作长效运行机制，更好地维护群众合法权益、维护全区和谐稳定。</w:t>
      </w:r>
    </w:p>
    <w:p>
      <w:pPr>
        <w:pStyle w:val="21"/>
      </w:pPr>
    </w:p>
    <w:p>
      <w:pPr>
        <w:spacing w:line="500" w:lineRule="exact"/>
        <w:ind w:firstLine="560"/>
      </w:pPr>
      <w:r>
        <w:rPr>
          <w:rFonts w:eastAsia="方正仿宋_GBK"/>
          <w:color w:val="000000"/>
          <w:sz w:val="28"/>
        </w:rPr>
        <w:t>（二）分项绩效目标</w:t>
      </w:r>
    </w:p>
    <w:p>
      <w:pPr>
        <w:pStyle w:val="22"/>
      </w:pPr>
    </w:p>
    <w:p>
      <w:pPr>
        <w:pStyle w:val="22"/>
      </w:pPr>
      <w:r>
        <w:t>1、信访维稳：</w:t>
      </w:r>
    </w:p>
    <w:p>
      <w:pPr>
        <w:pStyle w:val="22"/>
      </w:pPr>
      <w:r>
        <w:t>绩效目标：及时接人劝返，搭建沟通平台，畅通信访渠道，减少信访案件，维护社会和谐稳定。</w:t>
      </w:r>
    </w:p>
    <w:p>
      <w:pPr>
        <w:pStyle w:val="22"/>
      </w:pPr>
      <w:r>
        <w:t>绩效指标：提高办案质量，严格做到“三到位一处理”，实现“件件有着落，事事有回音”。进京到重点地区访、进京集体访、进京个体访、赴省集体访、赴省个体访大幅度下降，力争同比下降30%以上。中省转交办信访事项“三率”大幅提升，信访机构和有权机关及时受理率、按期答复率达到100%。</w:t>
      </w:r>
    </w:p>
    <w:p>
      <w:pPr>
        <w:pStyle w:val="22"/>
      </w:pPr>
      <w:r>
        <w:t>2、信访事项管理：</w:t>
      </w:r>
    </w:p>
    <w:p>
      <w:pPr>
        <w:pStyle w:val="22"/>
      </w:pPr>
      <w:r>
        <w:t>绩效目标：广泛宣传《信访条例》，进一步提高信访干部业务能力；吸收可行性建议，改进信访工作；提高信访信息化应用水平，保障机要邮件正常传递和信访群众工作中心正常运转；确保会议正常召开。</w:t>
      </w:r>
    </w:p>
    <w:p>
      <w:pPr>
        <w:pStyle w:val="22"/>
      </w:pPr>
      <w:r>
        <w:t>绩效指标：100%的贯彻落实《信访条例》，引导群众依法有序信访；实现办公自动化、网络化、智能化100%覆盖。</w:t>
      </w:r>
    </w:p>
    <w:p>
      <w:pPr>
        <w:pStyle w:val="22"/>
      </w:pPr>
    </w:p>
    <w:p>
      <w:pPr>
        <w:spacing w:line="500" w:lineRule="exact"/>
        <w:ind w:firstLine="560"/>
      </w:pPr>
      <w:r>
        <w:rPr>
          <w:rFonts w:eastAsia="方正仿宋_GBK"/>
          <w:color w:val="000000"/>
          <w:sz w:val="28"/>
        </w:rPr>
        <w:t>（三）工作保障措施</w:t>
      </w:r>
    </w:p>
    <w:p>
      <w:pPr>
        <w:pStyle w:val="23"/>
      </w:pPr>
      <w:r>
        <w:t>一是持续用力推进领导干部包联化解积案工作。对本辖区范围内重点疑难信访案件，特别是集中治理重复访、越级访、重点地区访、集体访、涉军访及重点隐患进行定期梳理，并按照分包原则，全部落实县级领导分包。推进乡镇领导干部做到随有随包，按照“五包”责任制要求和 “三到位、一处理”标准，亲自接访下访、调查核实问题、研究处理意见，力促问题解决。</w:t>
      </w:r>
    </w:p>
    <w:p>
      <w:pPr>
        <w:pStyle w:val="23"/>
      </w:pPr>
      <w:r>
        <w:t>二是持续打造高质量“阳光信访”平台。河北省阳光信访工作平台已于今年完成全面改换运行，实现了前台受理办理和后台督查分析并重。力争明年把信访信息系统各项功能整合起来，实现全流程的规范化。进一步做好平台应用的宣传、把好事办好、让群众好信访干部都觉得“好用、管用、爱用”，真正用科技的力量将信访工作提质体效。</w:t>
      </w:r>
    </w:p>
    <w:p>
      <w:pPr>
        <w:pStyle w:val="23"/>
      </w:pPr>
      <w:r>
        <w:t>三是持续做好群众来访接待工作。牢固树立宗旨意识，践行</w:t>
      </w:r>
      <w:r>
        <w:rPr>
          <w:rFonts w:hint="eastAsia"/>
          <w:lang w:eastAsia="zh-CN"/>
        </w:rPr>
        <w:t>以人民为中心的发展思想</w:t>
      </w:r>
      <w:r>
        <w:t>，突出便民利民，不断畅通信访渠道，认真做好群众来访接待工作，全面推进让群众“最多访一次”更加有力有效消解矛盾积淀。结合防疫工作要求，做好来访群众场所疫情防控工作，严格落实属地防控要求和卫生安全措施，完善各项应急预案，坚决防止出现交叉感染和聚集性病例，做到信访接待场所“零传染”。</w:t>
      </w:r>
    </w:p>
    <w:p>
      <w:pPr>
        <w:pStyle w:val="23"/>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lang w:eastAsia="zh-CN"/>
        </w:rPr>
      </w:pPr>
    </w:p>
    <w:p>
      <w:pPr>
        <w:pStyle w:val="22"/>
      </w:pPr>
      <w:bookmarkStart w:id="14" w:name="_Toc_4_4_0000000004"/>
      <w:r>
        <w:t>1、信访维稳：</w:t>
      </w:r>
    </w:p>
    <w:p>
      <w:pPr>
        <w:pStyle w:val="22"/>
      </w:pPr>
      <w:r>
        <w:t>绩效目标：及时接人劝返，搭建沟通平台，畅通信访渠道，减少信访案件，维护社会和谐稳定。</w:t>
      </w:r>
    </w:p>
    <w:p>
      <w:pPr>
        <w:pStyle w:val="22"/>
      </w:pPr>
      <w:r>
        <w:t>绩效指标：提高办案质量，严格做到“三到位一处理”，实现“件件有着落，事事有回音”。进京到重点地区访、进京集体访、进京个体访、赴省集体访、赴省个体访大幅度下降，力争同比下降30%以上。中省转交办信访事项“三率”大幅提升，信访机构和有权机关及时受理率、按期答复率达到100%。</w:t>
      </w:r>
    </w:p>
    <w:p>
      <w:pPr>
        <w:pStyle w:val="22"/>
      </w:pPr>
      <w:r>
        <w:t>2、信访事项管理：</w:t>
      </w:r>
    </w:p>
    <w:p>
      <w:pPr>
        <w:pStyle w:val="22"/>
      </w:pPr>
      <w:r>
        <w:t>绩效目标：广泛宣传《信访条例》，进一步提高信访干部业务能力；吸收可行性建议，改进信访工作；提高信访信息化应用水平，保障机要邮件正常传递和信访群众工作中心正常运转；确保会议正常召开。</w:t>
      </w:r>
    </w:p>
    <w:p>
      <w:pPr>
        <w:pStyle w:val="22"/>
      </w:pPr>
      <w:r>
        <w:t>绩效指标：100%的贯彻落实《信访条例》，引导群众依法有序信访；实现办公自动化、网络化、智能化100%覆盖。</w:t>
      </w:r>
    </w:p>
    <w:p>
      <w:pPr>
        <w:pStyle w:val="22"/>
      </w:pPr>
    </w:p>
    <w:p>
      <w:pPr>
        <w:spacing w:beforeLines="100" w:afterLines="100"/>
        <w:outlineLvl w:val="1"/>
        <w:rPr>
          <w:rFonts w:ascii="黑体" w:hAnsi="黑体" w:eastAsia="黑体" w:cs="黑体"/>
          <w:b/>
          <w:bCs/>
          <w:color w:val="000000"/>
          <w:sz w:val="28"/>
          <w:lang w:eastAsia="zh-CN"/>
        </w:rPr>
      </w:pPr>
    </w:p>
    <w:bookmarkEnd w:id="14"/>
    <w:p>
      <w:pPr>
        <w:rPr>
          <w:lang w:eastAsia="zh-CN"/>
        </w:rPr>
        <w:sectPr>
          <w:pgSz w:w="16840" w:h="11900" w:orient="landscape"/>
          <w:pgMar w:top="1361" w:right="1020" w:bottom="1361" w:left="1020" w:header="720" w:footer="720" w:gutter="0"/>
          <w:cols w:space="720" w:num="1"/>
        </w:sectPr>
      </w:pPr>
    </w:p>
    <w:p>
      <w:pPr>
        <w:ind w:firstLine="640"/>
        <w:rPr>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r>
        <w:rPr>
          <w:rFonts w:ascii="方正仿宋_GBK" w:hAnsi="方正仿宋_GBK" w:eastAsia="方正仿宋_GBK" w:cs="方正仿宋_GBK"/>
          <w:b/>
          <w:color w:val="000000"/>
          <w:sz w:val="28"/>
        </w:rPr>
        <w:t>1、维稳经费本级绩效目标表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1.参与全区社会治安综合治理和维护社会政治稳定工作，协助保障中</w:t>
            </w:r>
            <w:r>
              <w:rPr>
                <w:rFonts w:hint="eastAsia" w:eastAsiaTheme="minorEastAsia"/>
                <w:lang w:eastAsia="zh-CN"/>
              </w:rPr>
              <w:t>央</w:t>
            </w:r>
            <w:r>
              <w:t>、省、市和区重大政治活动顺利进行，信访案件及时化解及群众工作中心日常工作</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登记接待群众来访数量</w:t>
            </w:r>
          </w:p>
        </w:tc>
        <w:tc>
          <w:tcPr>
            <w:tcW w:w="2835" w:type="dxa"/>
            <w:vAlign w:val="center"/>
          </w:tcPr>
          <w:p>
            <w:pPr>
              <w:pStyle w:val="12"/>
            </w:pPr>
            <w:r>
              <w:t>畅通信访渠道，提高信访事项办理的质量</w:t>
            </w:r>
          </w:p>
        </w:tc>
        <w:tc>
          <w:tcPr>
            <w:tcW w:w="2551" w:type="dxa"/>
            <w:vAlign w:val="center"/>
          </w:tcPr>
          <w:p>
            <w:pPr>
              <w:pStyle w:val="12"/>
            </w:pPr>
            <w:r>
              <w:t>≥95</w:t>
            </w:r>
          </w:p>
        </w:tc>
        <w:tc>
          <w:tcPr>
            <w:tcW w:w="2268" w:type="dxa"/>
            <w:vAlign w:val="center"/>
          </w:tcPr>
          <w:p>
            <w:pPr>
              <w:pStyle w:val="12"/>
            </w:pPr>
            <w:r>
              <w:t>畅通信访渠道，提高信访事项办理的质量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开展联合接访的受理率</w:t>
            </w:r>
          </w:p>
          <w:p>
            <w:pPr>
              <w:pStyle w:val="12"/>
            </w:pPr>
          </w:p>
        </w:tc>
        <w:tc>
          <w:tcPr>
            <w:tcW w:w="2835" w:type="dxa"/>
            <w:vAlign w:val="center"/>
          </w:tcPr>
          <w:p>
            <w:pPr>
              <w:pStyle w:val="12"/>
            </w:pPr>
            <w:r>
              <w:t>信访事项及时受理的情况</w:t>
            </w:r>
          </w:p>
        </w:tc>
        <w:tc>
          <w:tcPr>
            <w:tcW w:w="2551" w:type="dxa"/>
            <w:vAlign w:val="center"/>
          </w:tcPr>
          <w:p>
            <w:pPr>
              <w:pStyle w:val="12"/>
            </w:pPr>
            <w:r>
              <w:t>≥95</w:t>
            </w:r>
          </w:p>
        </w:tc>
        <w:tc>
          <w:tcPr>
            <w:tcW w:w="2268" w:type="dxa"/>
            <w:vAlign w:val="center"/>
          </w:tcPr>
          <w:p>
            <w:pPr>
              <w:pStyle w:val="12"/>
            </w:pPr>
            <w:r>
              <w:t>信访事项及时受理的情况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承办区联席办的工作完成情况</w:t>
            </w:r>
          </w:p>
          <w:p>
            <w:pPr>
              <w:pStyle w:val="12"/>
            </w:pPr>
          </w:p>
        </w:tc>
        <w:tc>
          <w:tcPr>
            <w:tcW w:w="2835" w:type="dxa"/>
            <w:vAlign w:val="center"/>
          </w:tcPr>
          <w:p>
            <w:pPr>
              <w:pStyle w:val="12"/>
            </w:pPr>
            <w:r>
              <w:t>案件、资料上报及时率</w:t>
            </w:r>
          </w:p>
          <w:p>
            <w:pPr>
              <w:pStyle w:val="12"/>
            </w:pPr>
          </w:p>
        </w:tc>
        <w:tc>
          <w:tcPr>
            <w:tcW w:w="2551" w:type="dxa"/>
            <w:vAlign w:val="center"/>
          </w:tcPr>
          <w:p>
            <w:pPr>
              <w:pStyle w:val="12"/>
            </w:pPr>
            <w:r>
              <w:t>≥95</w:t>
            </w:r>
          </w:p>
        </w:tc>
        <w:tc>
          <w:tcPr>
            <w:tcW w:w="2268" w:type="dxa"/>
            <w:vAlign w:val="center"/>
          </w:tcPr>
          <w:p>
            <w:pPr>
              <w:pStyle w:val="12"/>
            </w:pPr>
            <w:r>
              <w:t>案件、资料上报及时率</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信访疑难案件化解专项资金的使用率</w:t>
            </w:r>
          </w:p>
          <w:p>
            <w:pPr>
              <w:pStyle w:val="12"/>
            </w:pPr>
          </w:p>
        </w:tc>
        <w:tc>
          <w:tcPr>
            <w:tcW w:w="2835" w:type="dxa"/>
            <w:vAlign w:val="center"/>
          </w:tcPr>
          <w:p>
            <w:pPr>
              <w:pStyle w:val="12"/>
            </w:pPr>
            <w:r>
              <w:t>信访实际用于疑难案件化解资金占总信访专项资金的比例</w:t>
            </w:r>
          </w:p>
          <w:p>
            <w:pPr>
              <w:pStyle w:val="12"/>
            </w:pPr>
          </w:p>
        </w:tc>
        <w:tc>
          <w:tcPr>
            <w:tcW w:w="2551" w:type="dxa"/>
            <w:vAlign w:val="center"/>
          </w:tcPr>
          <w:p>
            <w:pPr>
              <w:pStyle w:val="12"/>
            </w:pPr>
            <w:r>
              <w:t>100</w:t>
            </w:r>
          </w:p>
        </w:tc>
        <w:tc>
          <w:tcPr>
            <w:tcW w:w="2268" w:type="dxa"/>
            <w:vAlign w:val="center"/>
          </w:tcPr>
          <w:p>
            <w:pPr>
              <w:pStyle w:val="12"/>
            </w:pPr>
            <w:r>
              <w:t>信访实际用于疑难案件化解资金占总信访专项资金的比例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保障工作持续完成</w:t>
            </w:r>
          </w:p>
          <w:p>
            <w:pPr>
              <w:pStyle w:val="12"/>
            </w:pPr>
          </w:p>
        </w:tc>
        <w:tc>
          <w:tcPr>
            <w:tcW w:w="2835" w:type="dxa"/>
            <w:vAlign w:val="center"/>
          </w:tcPr>
          <w:p>
            <w:pPr>
              <w:pStyle w:val="12"/>
            </w:pPr>
            <w:r>
              <w:t>敏感时期及日常信访维稳值班工作的完成情况</w:t>
            </w:r>
          </w:p>
          <w:p>
            <w:pPr>
              <w:pStyle w:val="12"/>
            </w:pPr>
          </w:p>
        </w:tc>
        <w:tc>
          <w:tcPr>
            <w:tcW w:w="2551" w:type="dxa"/>
            <w:vAlign w:val="center"/>
          </w:tcPr>
          <w:p>
            <w:pPr>
              <w:pStyle w:val="12"/>
            </w:pPr>
            <w:r>
              <w:t>≥95</w:t>
            </w:r>
          </w:p>
        </w:tc>
        <w:tc>
          <w:tcPr>
            <w:tcW w:w="2268" w:type="dxa"/>
            <w:vAlign w:val="center"/>
          </w:tcPr>
          <w:p>
            <w:pPr>
              <w:pStyle w:val="12"/>
            </w:pPr>
            <w:r>
              <w:t>敏感时期及日常信访维稳值班工作的完成情况</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信访工作宣传落实率</w:t>
            </w:r>
          </w:p>
          <w:p>
            <w:pPr>
              <w:pStyle w:val="12"/>
            </w:pPr>
          </w:p>
        </w:tc>
        <w:tc>
          <w:tcPr>
            <w:tcW w:w="2835" w:type="dxa"/>
            <w:vAlign w:val="center"/>
          </w:tcPr>
          <w:p>
            <w:pPr>
              <w:pStyle w:val="12"/>
            </w:pPr>
            <w:r>
              <w:t>信访工作宣传执行情况</w:t>
            </w:r>
          </w:p>
          <w:p>
            <w:pPr>
              <w:pStyle w:val="12"/>
            </w:pPr>
          </w:p>
        </w:tc>
        <w:tc>
          <w:tcPr>
            <w:tcW w:w="2551" w:type="dxa"/>
            <w:vAlign w:val="center"/>
          </w:tcPr>
          <w:p>
            <w:pPr>
              <w:pStyle w:val="12"/>
            </w:pPr>
            <w:r>
              <w:t>≥95</w:t>
            </w:r>
          </w:p>
        </w:tc>
        <w:tc>
          <w:tcPr>
            <w:tcW w:w="2268" w:type="dxa"/>
            <w:vAlign w:val="center"/>
          </w:tcPr>
          <w:p>
            <w:pPr>
              <w:pStyle w:val="12"/>
            </w:pPr>
            <w:r>
              <w:t>信访工作宣传执行情况</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越级访的依法处置率</w:t>
            </w:r>
          </w:p>
          <w:p>
            <w:pPr>
              <w:pStyle w:val="12"/>
            </w:pPr>
          </w:p>
        </w:tc>
        <w:tc>
          <w:tcPr>
            <w:tcW w:w="2835" w:type="dxa"/>
            <w:vAlign w:val="center"/>
          </w:tcPr>
          <w:p>
            <w:pPr>
              <w:pStyle w:val="12"/>
            </w:pPr>
            <w:r>
              <w:t>越级访处置占正常访的比例</w:t>
            </w:r>
          </w:p>
          <w:p>
            <w:pPr>
              <w:pStyle w:val="12"/>
            </w:pPr>
          </w:p>
        </w:tc>
        <w:tc>
          <w:tcPr>
            <w:tcW w:w="2551" w:type="dxa"/>
            <w:vAlign w:val="center"/>
          </w:tcPr>
          <w:p>
            <w:pPr>
              <w:pStyle w:val="12"/>
            </w:pPr>
            <w:r>
              <w:t>≥95</w:t>
            </w:r>
          </w:p>
        </w:tc>
        <w:tc>
          <w:tcPr>
            <w:tcW w:w="2268" w:type="dxa"/>
            <w:vAlign w:val="center"/>
          </w:tcPr>
          <w:p>
            <w:pPr>
              <w:pStyle w:val="12"/>
            </w:pPr>
            <w:r>
              <w:t>越级访处置占正常访的比例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年，唐山市开平区信访局安排政府采购预算0.00万元。具体内容见下表。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289唐山市开平区信访局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w:t>
            </w:r>
            <w:r>
              <w:rPr>
                <w:rFonts w:hint="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唐山市开平区信访局（含所属单位）上年末固定资产金额为0.00万元（详见下表）。本年度拟购置固定资产总额为0.00万元，已按要求列入政府采购预算，详见政府采购预算表。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289唐山市开平区信访局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35FE8"/>
    <w:rsid w:val="0002205D"/>
    <w:rsid w:val="0006049B"/>
    <w:rsid w:val="000B2534"/>
    <w:rsid w:val="000D0CCB"/>
    <w:rsid w:val="002D5E78"/>
    <w:rsid w:val="004C18E5"/>
    <w:rsid w:val="00630DFB"/>
    <w:rsid w:val="008670C4"/>
    <w:rsid w:val="008E1B34"/>
    <w:rsid w:val="00AB195C"/>
    <w:rsid w:val="00BB353D"/>
    <w:rsid w:val="00E35FE8"/>
    <w:rsid w:val="00E65333"/>
    <w:rsid w:val="00FE342D"/>
    <w:rsid w:val="055E338F"/>
    <w:rsid w:val="05923DA2"/>
    <w:rsid w:val="0AB97278"/>
    <w:rsid w:val="11A22834"/>
    <w:rsid w:val="11D304E0"/>
    <w:rsid w:val="123E1337"/>
    <w:rsid w:val="15806AB0"/>
    <w:rsid w:val="15ED09B2"/>
    <w:rsid w:val="1A1E66CE"/>
    <w:rsid w:val="1F8504C6"/>
    <w:rsid w:val="225B4E82"/>
    <w:rsid w:val="2BE36C6F"/>
    <w:rsid w:val="2DB46075"/>
    <w:rsid w:val="30872C86"/>
    <w:rsid w:val="315F435B"/>
    <w:rsid w:val="44C7641D"/>
    <w:rsid w:val="44EF780A"/>
    <w:rsid w:val="49474DB7"/>
    <w:rsid w:val="53405843"/>
    <w:rsid w:val="68B47243"/>
    <w:rsid w:val="70154532"/>
    <w:rsid w:val="7B167566"/>
    <w:rsid w:val="7C0D72CB"/>
    <w:rsid w:val="7EBF6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2022-02-21T16:07:30Z</dcterms:created>
  <dcterms:modified xsi:type="dcterms:W3CDTF">2022-02-21T08:07:30Z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2022-02-21T16:07:32Z</dcterms:created>
  <dcterms:modified xsi:type="dcterms:W3CDTF">2022-02-21T08:07:32Z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2022-02-21T16:07:30Z</dcterms:created>
  <dcterms:modified xsi:type="dcterms:W3CDTF">2022-02-21T08:07:30Z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2022-02-21T16:07:32Z</dcterms:created>
  <dcterms:modified xsi:type="dcterms:W3CDTF">2022-02-21T08:07:32Z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547D00E-DB46-4E22-B7D9-5DD231986AF5}">
  <ds:schemaRefs/>
</ds:datastoreItem>
</file>

<file path=customXml/itemProps11.xml><?xml version="1.0" encoding="utf-8"?>
<ds:datastoreItem xmlns:ds="http://schemas.openxmlformats.org/officeDocument/2006/customXml" ds:itemID="{A371EB69-BDC1-4F38-8EEC-CD0510B2B74A}">
  <ds:schemaRefs/>
</ds:datastoreItem>
</file>

<file path=customXml/itemProps12.xml><?xml version="1.0" encoding="utf-8"?>
<ds:datastoreItem xmlns:ds="http://schemas.openxmlformats.org/officeDocument/2006/customXml" ds:itemID="{D672E81C-D529-4D90-B68A-23C70AF788B8}">
  <ds:schemaRefs/>
</ds:datastoreItem>
</file>

<file path=customXml/itemProps13.xml><?xml version="1.0" encoding="utf-8"?>
<ds:datastoreItem xmlns:ds="http://schemas.openxmlformats.org/officeDocument/2006/customXml" ds:itemID="{CF3FC8A8-60A5-4ADB-9F6D-72F6241C9C9C}">
  <ds:schemaRefs/>
</ds:datastoreItem>
</file>

<file path=customXml/itemProps14.xml><?xml version="1.0" encoding="utf-8"?>
<ds:datastoreItem xmlns:ds="http://schemas.openxmlformats.org/officeDocument/2006/customXml" ds:itemID="{A90C380F-D60F-4976-9D13-D783DAA665D1}">
  <ds:schemaRefs/>
</ds:datastoreItem>
</file>

<file path=customXml/itemProps15.xml><?xml version="1.0" encoding="utf-8"?>
<ds:datastoreItem xmlns:ds="http://schemas.openxmlformats.org/officeDocument/2006/customXml" ds:itemID="{53469016-D665-4A41-9A1D-4B4667D294D8}">
  <ds:schemaRefs/>
</ds:datastoreItem>
</file>

<file path=customXml/itemProps2.xml><?xml version="1.0" encoding="utf-8"?>
<ds:datastoreItem xmlns:ds="http://schemas.openxmlformats.org/officeDocument/2006/customXml" ds:itemID="{937C43F9-56AB-4110-849C-69006D8BADC4}">
  <ds:schemaRefs/>
</ds:datastoreItem>
</file>

<file path=customXml/itemProps3.xml><?xml version="1.0" encoding="utf-8"?>
<ds:datastoreItem xmlns:ds="http://schemas.openxmlformats.org/officeDocument/2006/customXml" ds:itemID="{49CC8832-119A-49EF-8AA5-6E63B1F5B01C}">
  <ds:schemaRefs/>
</ds:datastoreItem>
</file>

<file path=customXml/itemProps4.xml><?xml version="1.0" encoding="utf-8"?>
<ds:datastoreItem xmlns:ds="http://schemas.openxmlformats.org/officeDocument/2006/customXml" ds:itemID="{004516EA-5A56-4E9B-9EB8-13AD4A3EEACD}">
  <ds:schemaRefs/>
</ds:datastoreItem>
</file>

<file path=customXml/itemProps5.xml><?xml version="1.0" encoding="utf-8"?>
<ds:datastoreItem xmlns:ds="http://schemas.openxmlformats.org/officeDocument/2006/customXml" ds:itemID="{83C67D74-4529-402B-BFEA-6ED325CC2B4F}">
  <ds:schemaRefs/>
</ds:datastoreItem>
</file>

<file path=customXml/itemProps6.xml><?xml version="1.0" encoding="utf-8"?>
<ds:datastoreItem xmlns:ds="http://schemas.openxmlformats.org/officeDocument/2006/customXml" ds:itemID="{040C9B33-35AA-4784-97AA-86BDAD337B74}">
  <ds:schemaRefs/>
</ds:datastoreItem>
</file>

<file path=customXml/itemProps7.xml><?xml version="1.0" encoding="utf-8"?>
<ds:datastoreItem xmlns:ds="http://schemas.openxmlformats.org/officeDocument/2006/customXml" ds:itemID="{F1DABEC6-C930-4C28-A524-D59BCB14BEDA}">
  <ds:schemaRefs/>
</ds:datastoreItem>
</file>

<file path=customXml/itemProps8.xml><?xml version="1.0" encoding="utf-8"?>
<ds:datastoreItem xmlns:ds="http://schemas.openxmlformats.org/officeDocument/2006/customXml" ds:itemID="{0CA60478-1F8A-493E-96F0-57D75436E556}">
  <ds:schemaRefs/>
</ds:datastoreItem>
</file>

<file path=customXml/itemProps9.xml><?xml version="1.0" encoding="utf-8"?>
<ds:datastoreItem xmlns:ds="http://schemas.openxmlformats.org/officeDocument/2006/customXml" ds:itemID="{84DC811D-F79A-4B4B-8827-B7CCD5682D6E}">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1705</Words>
  <Characters>9719</Characters>
  <Lines>80</Lines>
  <Paragraphs>22</Paragraphs>
  <TotalTime>5</TotalTime>
  <ScaleCrop>false</ScaleCrop>
  <LinksUpToDate>false</LinksUpToDate>
  <CharactersWithSpaces>11402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2022-02-21T08:25:00Z</dcterms:created>
  <dc:creator>Administrator</dc:creator>
  <cp:lastModifiedBy>hp</cp:lastModifiedBy>
  <dcterms:modified xsi:type="dcterms:W3CDTF">2025-02-14T07:36:25Z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299280EA4ACF42C9AF5EF0CC8F0BCE56</vt:lpwstr>
  </property>
</Properties>
</file>