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289唐山市开平区信访局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1003.58</w:t>
            </w:r>
          </w:p>
        </w:tc>
        <w:tc>
          <w:tcPr>
            <w:tcW w:w="4535" w:type="dxa"/>
            <w:vAlign w:val="center"/>
          </w:tcPr>
          <w:p>
            <w:pPr>
              <w:pStyle w:val="12"/>
            </w:pPr>
            <w:r>
              <w:t>一、一般公共服务支出</w:t>
            </w:r>
          </w:p>
        </w:tc>
        <w:tc>
          <w:tcPr>
            <w:tcW w:w="2126" w:type="dxa"/>
            <w:vAlign w:val="center"/>
          </w:tcPr>
          <w:p>
            <w:pPr>
              <w:pStyle w:val="11"/>
            </w:pPr>
            <w:r>
              <w:t>976.66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1003.58</w:t>
            </w:r>
          </w:p>
        </w:tc>
        <w:tc>
          <w:tcPr>
            <w:tcW w:w="4535" w:type="dxa"/>
            <w:vAlign w:val="center"/>
          </w:tcPr>
          <w:p>
            <w:pPr>
              <w:pStyle w:val="14"/>
            </w:pPr>
            <w:r>
              <w:t>本年支出合计</w:t>
            </w:r>
          </w:p>
        </w:tc>
        <w:tc>
          <w:tcPr>
            <w:tcW w:w="2126" w:type="dxa"/>
            <w:vAlign w:val="center"/>
          </w:tcPr>
          <w:p>
            <w:pPr>
              <w:pStyle w:val="15"/>
            </w:pPr>
            <w:r>
              <w:t>1003.58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1003.58</w:t>
            </w:r>
          </w:p>
        </w:tc>
        <w:tc>
          <w:tcPr>
            <w:tcW w:w="4535" w:type="dxa"/>
            <w:vAlign w:val="center"/>
          </w:tcPr>
          <w:p>
            <w:pPr>
              <w:pStyle w:val="14"/>
            </w:pPr>
            <w:r>
              <w:t>支出总计</w:t>
            </w:r>
          </w:p>
        </w:tc>
        <w:tc>
          <w:tcPr>
            <w:tcW w:w="2126" w:type="dxa"/>
            <w:vAlign w:val="center"/>
          </w:tcPr>
          <w:p>
            <w:pPr>
              <w:pStyle w:val="15"/>
            </w:pPr>
            <w:r>
              <w:t>1003.58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1003.58</w:t>
            </w:r>
          </w:p>
        </w:tc>
        <w:tc>
          <w:tcPr>
            <w:tcW w:w="1134" w:type="dxa"/>
            <w:vAlign w:val="center"/>
          </w:tcPr>
          <w:p>
            <w:pPr>
              <w:pStyle w:val="15"/>
            </w:pPr>
            <w:r>
              <w:t>1003.58</w:t>
            </w:r>
          </w:p>
        </w:tc>
        <w:tc>
          <w:tcPr>
            <w:tcW w:w="1134" w:type="dxa"/>
            <w:vAlign w:val="center"/>
          </w:tcPr>
          <w:p>
            <w:pPr>
              <w:pStyle w:val="15"/>
            </w:pPr>
            <w:r>
              <w:t>1003.58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976.66</w:t>
            </w:r>
          </w:p>
        </w:tc>
        <w:tc>
          <w:tcPr>
            <w:tcW w:w="1134" w:type="dxa"/>
            <w:vAlign w:val="center"/>
          </w:tcPr>
          <w:p>
            <w:pPr>
              <w:pStyle w:val="11"/>
            </w:pPr>
            <w:r>
              <w:t>976.66</w:t>
            </w:r>
          </w:p>
        </w:tc>
        <w:tc>
          <w:tcPr>
            <w:tcW w:w="1134" w:type="dxa"/>
            <w:vAlign w:val="center"/>
          </w:tcPr>
          <w:p>
            <w:pPr>
              <w:pStyle w:val="11"/>
            </w:pPr>
            <w:r>
              <w:t>976.66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976.66</w:t>
            </w:r>
          </w:p>
        </w:tc>
        <w:tc>
          <w:tcPr>
            <w:tcW w:w="1134" w:type="dxa"/>
            <w:vAlign w:val="center"/>
          </w:tcPr>
          <w:p>
            <w:pPr>
              <w:pStyle w:val="11"/>
            </w:pPr>
            <w:r>
              <w:t>976.66</w:t>
            </w:r>
          </w:p>
        </w:tc>
        <w:tc>
          <w:tcPr>
            <w:tcW w:w="1134" w:type="dxa"/>
            <w:vAlign w:val="center"/>
          </w:tcPr>
          <w:p>
            <w:pPr>
              <w:pStyle w:val="11"/>
            </w:pPr>
            <w:r>
              <w:t>976.66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176.66</w:t>
            </w:r>
          </w:p>
        </w:tc>
        <w:tc>
          <w:tcPr>
            <w:tcW w:w="1134" w:type="dxa"/>
            <w:vAlign w:val="center"/>
          </w:tcPr>
          <w:p>
            <w:pPr>
              <w:pStyle w:val="11"/>
            </w:pPr>
            <w:r>
              <w:t>176.66</w:t>
            </w:r>
          </w:p>
        </w:tc>
        <w:tc>
          <w:tcPr>
            <w:tcW w:w="1134" w:type="dxa"/>
            <w:vAlign w:val="center"/>
          </w:tcPr>
          <w:p>
            <w:pPr>
              <w:pStyle w:val="11"/>
            </w:pPr>
            <w:r>
              <w:t>176.66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r>
              <w:t>14.51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r>
              <w:t>12.41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1003.58</w:t>
            </w:r>
          </w:p>
        </w:tc>
        <w:tc>
          <w:tcPr>
            <w:tcW w:w="1361" w:type="dxa"/>
            <w:vAlign w:val="center"/>
          </w:tcPr>
          <w:p>
            <w:pPr>
              <w:pStyle w:val="15"/>
            </w:pPr>
            <w:r>
              <w:t>203.58</w:t>
            </w:r>
          </w:p>
        </w:tc>
        <w:tc>
          <w:tcPr>
            <w:tcW w:w="1361" w:type="dxa"/>
            <w:vAlign w:val="center"/>
          </w:tcPr>
          <w:p>
            <w:pPr>
              <w:pStyle w:val="15"/>
            </w:pPr>
            <w:r>
              <w:t>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976.66</w:t>
            </w:r>
          </w:p>
        </w:tc>
        <w:tc>
          <w:tcPr>
            <w:tcW w:w="1361" w:type="dxa"/>
            <w:vAlign w:val="center"/>
          </w:tcPr>
          <w:p>
            <w:pPr>
              <w:pStyle w:val="11"/>
            </w:pPr>
            <w:r>
              <w:t>176.66</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976.66</w:t>
            </w:r>
          </w:p>
        </w:tc>
        <w:tc>
          <w:tcPr>
            <w:tcW w:w="1361" w:type="dxa"/>
            <w:vAlign w:val="center"/>
          </w:tcPr>
          <w:p>
            <w:pPr>
              <w:pStyle w:val="11"/>
            </w:pPr>
            <w:r>
              <w:t>176.66</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176.66</w:t>
            </w:r>
          </w:p>
        </w:tc>
        <w:tc>
          <w:tcPr>
            <w:tcW w:w="1361" w:type="dxa"/>
            <w:vAlign w:val="center"/>
          </w:tcPr>
          <w:p>
            <w:pPr>
              <w:pStyle w:val="11"/>
            </w:pPr>
            <w:r>
              <w:t>176.66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14.51</w:t>
            </w:r>
          </w:p>
        </w:tc>
        <w:tc>
          <w:tcPr>
            <w:tcW w:w="1361" w:type="dxa"/>
            <w:vAlign w:val="center"/>
          </w:tcPr>
          <w:p>
            <w:pPr>
              <w:pStyle w:val="11"/>
            </w:pPr>
            <w:r>
              <w:t>14.51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14.51</w:t>
            </w:r>
          </w:p>
        </w:tc>
        <w:tc>
          <w:tcPr>
            <w:tcW w:w="1361" w:type="dxa"/>
            <w:vAlign w:val="center"/>
          </w:tcPr>
          <w:p>
            <w:pPr>
              <w:pStyle w:val="11"/>
            </w:pPr>
            <w:r>
              <w:t>14.51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14.51</w:t>
            </w:r>
          </w:p>
        </w:tc>
        <w:tc>
          <w:tcPr>
            <w:tcW w:w="1361" w:type="dxa"/>
            <w:vAlign w:val="center"/>
          </w:tcPr>
          <w:p>
            <w:pPr>
              <w:pStyle w:val="11"/>
            </w:pPr>
            <w:r>
              <w:t>14.51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12.41</w:t>
            </w:r>
          </w:p>
        </w:tc>
        <w:tc>
          <w:tcPr>
            <w:tcW w:w="1361" w:type="dxa"/>
            <w:vAlign w:val="center"/>
          </w:tcPr>
          <w:p>
            <w:pPr>
              <w:pStyle w:val="11"/>
            </w:pPr>
            <w:r>
              <w:t>12.41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12.41</w:t>
            </w:r>
          </w:p>
        </w:tc>
        <w:tc>
          <w:tcPr>
            <w:tcW w:w="1361" w:type="dxa"/>
            <w:vAlign w:val="center"/>
          </w:tcPr>
          <w:p>
            <w:pPr>
              <w:pStyle w:val="11"/>
            </w:pPr>
            <w:r>
              <w:t>12.41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12.41</w:t>
            </w:r>
          </w:p>
        </w:tc>
        <w:tc>
          <w:tcPr>
            <w:tcW w:w="1361" w:type="dxa"/>
            <w:vAlign w:val="center"/>
          </w:tcPr>
          <w:p>
            <w:pPr>
              <w:pStyle w:val="11"/>
            </w:pPr>
            <w:r>
              <w:t>12.41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1003.58</w:t>
            </w:r>
          </w:p>
        </w:tc>
        <w:tc>
          <w:tcPr>
            <w:tcW w:w="3402" w:type="dxa"/>
            <w:vAlign w:val="center"/>
          </w:tcPr>
          <w:p>
            <w:pPr>
              <w:pStyle w:val="12"/>
            </w:pPr>
            <w:r>
              <w:t>一、一般公共服务支出</w:t>
            </w:r>
          </w:p>
        </w:tc>
        <w:tc>
          <w:tcPr>
            <w:tcW w:w="1474" w:type="dxa"/>
            <w:vAlign w:val="center"/>
          </w:tcPr>
          <w:p>
            <w:pPr>
              <w:pStyle w:val="11"/>
            </w:pPr>
            <w:r>
              <w:t>976.66</w:t>
            </w:r>
          </w:p>
        </w:tc>
        <w:tc>
          <w:tcPr>
            <w:tcW w:w="1474" w:type="dxa"/>
            <w:vAlign w:val="center"/>
          </w:tcPr>
          <w:p>
            <w:pPr>
              <w:pStyle w:val="11"/>
            </w:pPr>
            <w:r>
              <w:t>976.66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14.51</w:t>
            </w:r>
          </w:p>
        </w:tc>
        <w:tc>
          <w:tcPr>
            <w:tcW w:w="1474" w:type="dxa"/>
            <w:vAlign w:val="center"/>
          </w:tcPr>
          <w:p>
            <w:pPr>
              <w:pStyle w:val="11"/>
            </w:pPr>
            <w:r>
              <w:t>14.51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12.41</w:t>
            </w:r>
          </w:p>
        </w:tc>
        <w:tc>
          <w:tcPr>
            <w:tcW w:w="1474" w:type="dxa"/>
            <w:vAlign w:val="center"/>
          </w:tcPr>
          <w:p>
            <w:pPr>
              <w:pStyle w:val="11"/>
            </w:pPr>
            <w:r>
              <w:t>12.41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1003.58</w:t>
            </w:r>
          </w:p>
        </w:tc>
        <w:tc>
          <w:tcPr>
            <w:tcW w:w="3402" w:type="dxa"/>
            <w:vAlign w:val="center"/>
          </w:tcPr>
          <w:p>
            <w:pPr>
              <w:pStyle w:val="14"/>
            </w:pPr>
            <w:r>
              <w:t>本年支出合计</w:t>
            </w:r>
          </w:p>
        </w:tc>
        <w:tc>
          <w:tcPr>
            <w:tcW w:w="1474" w:type="dxa"/>
            <w:vAlign w:val="center"/>
          </w:tcPr>
          <w:p>
            <w:pPr>
              <w:pStyle w:val="15"/>
            </w:pPr>
            <w:r>
              <w:t>1003.58</w:t>
            </w:r>
          </w:p>
        </w:tc>
        <w:tc>
          <w:tcPr>
            <w:tcW w:w="1474" w:type="dxa"/>
            <w:vAlign w:val="center"/>
          </w:tcPr>
          <w:p>
            <w:pPr>
              <w:pStyle w:val="15"/>
            </w:pPr>
            <w:r>
              <w:t>1003.58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1003.58</w:t>
            </w:r>
          </w:p>
        </w:tc>
        <w:tc>
          <w:tcPr>
            <w:tcW w:w="3402" w:type="dxa"/>
            <w:vAlign w:val="center"/>
          </w:tcPr>
          <w:p>
            <w:pPr>
              <w:pStyle w:val="14"/>
            </w:pPr>
            <w:r>
              <w:t>支出总计</w:t>
            </w:r>
          </w:p>
        </w:tc>
        <w:tc>
          <w:tcPr>
            <w:tcW w:w="1474" w:type="dxa"/>
            <w:vAlign w:val="center"/>
          </w:tcPr>
          <w:p>
            <w:pPr>
              <w:pStyle w:val="15"/>
            </w:pPr>
            <w:r>
              <w:t>1003.58</w:t>
            </w:r>
          </w:p>
        </w:tc>
        <w:tc>
          <w:tcPr>
            <w:tcW w:w="1474" w:type="dxa"/>
            <w:vAlign w:val="center"/>
          </w:tcPr>
          <w:p>
            <w:pPr>
              <w:pStyle w:val="15"/>
            </w:pPr>
            <w:r>
              <w:t>1003.58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1003.58</w:t>
            </w:r>
          </w:p>
        </w:tc>
        <w:tc>
          <w:tcPr>
            <w:tcW w:w="2551" w:type="dxa"/>
            <w:vAlign w:val="center"/>
          </w:tcPr>
          <w:p>
            <w:pPr>
              <w:pStyle w:val="15"/>
            </w:pPr>
            <w:r>
              <w:t>203.58</w:t>
            </w:r>
          </w:p>
        </w:tc>
        <w:tc>
          <w:tcPr>
            <w:tcW w:w="2551" w:type="dxa"/>
            <w:vAlign w:val="center"/>
          </w:tcPr>
          <w:p>
            <w:pPr>
              <w:pStyle w:val="15"/>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976.66</w:t>
            </w:r>
          </w:p>
        </w:tc>
        <w:tc>
          <w:tcPr>
            <w:tcW w:w="2551" w:type="dxa"/>
            <w:vAlign w:val="center"/>
          </w:tcPr>
          <w:p>
            <w:pPr>
              <w:pStyle w:val="11"/>
            </w:pPr>
            <w:r>
              <w:t>176.66</w:t>
            </w: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976.66</w:t>
            </w:r>
          </w:p>
        </w:tc>
        <w:tc>
          <w:tcPr>
            <w:tcW w:w="2551" w:type="dxa"/>
            <w:vAlign w:val="center"/>
          </w:tcPr>
          <w:p>
            <w:pPr>
              <w:pStyle w:val="11"/>
            </w:pPr>
            <w:r>
              <w:t>176.66</w:t>
            </w: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176.66</w:t>
            </w:r>
          </w:p>
        </w:tc>
        <w:tc>
          <w:tcPr>
            <w:tcW w:w="2551" w:type="dxa"/>
            <w:vAlign w:val="center"/>
          </w:tcPr>
          <w:p>
            <w:pPr>
              <w:pStyle w:val="11"/>
            </w:pPr>
            <w:r>
              <w:t>176.66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14.51</w:t>
            </w:r>
          </w:p>
        </w:tc>
        <w:tc>
          <w:tcPr>
            <w:tcW w:w="2551" w:type="dxa"/>
            <w:vAlign w:val="center"/>
          </w:tcPr>
          <w:p>
            <w:pPr>
              <w:pStyle w:val="11"/>
            </w:pPr>
            <w:r>
              <w:t>14.51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14.51</w:t>
            </w:r>
          </w:p>
        </w:tc>
        <w:tc>
          <w:tcPr>
            <w:tcW w:w="2551" w:type="dxa"/>
            <w:vAlign w:val="center"/>
          </w:tcPr>
          <w:p>
            <w:pPr>
              <w:pStyle w:val="11"/>
            </w:pPr>
            <w:r>
              <w:t>14.51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14.51</w:t>
            </w:r>
          </w:p>
        </w:tc>
        <w:tc>
          <w:tcPr>
            <w:tcW w:w="2551" w:type="dxa"/>
            <w:vAlign w:val="center"/>
          </w:tcPr>
          <w:p>
            <w:pPr>
              <w:pStyle w:val="11"/>
            </w:pPr>
            <w:r>
              <w:t>14.51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203.58</w:t>
            </w:r>
          </w:p>
        </w:tc>
        <w:tc>
          <w:tcPr>
            <w:tcW w:w="2551" w:type="dxa"/>
            <w:vAlign w:val="center"/>
          </w:tcPr>
          <w:p>
            <w:pPr>
              <w:pStyle w:val="15"/>
            </w:pPr>
            <w:r>
              <w:t>187.15</w:t>
            </w:r>
          </w:p>
        </w:tc>
        <w:tc>
          <w:tcPr>
            <w:tcW w:w="2551" w:type="dxa"/>
            <w:vAlign w:val="center"/>
          </w:tcPr>
          <w:p>
            <w:pPr>
              <w:pStyle w:val="15"/>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185.17</w:t>
            </w:r>
          </w:p>
        </w:tc>
        <w:tc>
          <w:tcPr>
            <w:tcW w:w="2551" w:type="dxa"/>
            <w:vAlign w:val="center"/>
          </w:tcPr>
          <w:p>
            <w:pPr>
              <w:pStyle w:val="11"/>
            </w:pPr>
            <w:r>
              <w:t>185.17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48.37</w:t>
            </w:r>
          </w:p>
        </w:tc>
        <w:tc>
          <w:tcPr>
            <w:tcW w:w="2551" w:type="dxa"/>
            <w:vAlign w:val="center"/>
          </w:tcPr>
          <w:p>
            <w:pPr>
              <w:pStyle w:val="11"/>
            </w:pPr>
            <w:r>
              <w:t>48.37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44.16</w:t>
            </w:r>
          </w:p>
        </w:tc>
        <w:tc>
          <w:tcPr>
            <w:tcW w:w="2551" w:type="dxa"/>
            <w:vAlign w:val="center"/>
          </w:tcPr>
          <w:p>
            <w:pPr>
              <w:pStyle w:val="11"/>
            </w:pPr>
            <w:r>
              <w:t>44.16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9.77</w:t>
            </w:r>
          </w:p>
        </w:tc>
        <w:tc>
          <w:tcPr>
            <w:tcW w:w="2551" w:type="dxa"/>
            <w:vAlign w:val="center"/>
          </w:tcPr>
          <w:p>
            <w:pPr>
              <w:pStyle w:val="11"/>
            </w:pPr>
            <w:r>
              <w:t>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15.19</w:t>
            </w:r>
          </w:p>
        </w:tc>
        <w:tc>
          <w:tcPr>
            <w:tcW w:w="2551" w:type="dxa"/>
            <w:vAlign w:val="center"/>
          </w:tcPr>
          <w:p>
            <w:pPr>
              <w:pStyle w:val="11"/>
            </w:pPr>
            <w:r>
              <w:t>15.19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16.08</w:t>
            </w:r>
          </w:p>
        </w:tc>
        <w:tc>
          <w:tcPr>
            <w:tcW w:w="2551" w:type="dxa"/>
            <w:vAlign w:val="center"/>
          </w:tcPr>
          <w:p>
            <w:pPr>
              <w:pStyle w:val="11"/>
            </w:pPr>
            <w: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14.51</w:t>
            </w:r>
          </w:p>
        </w:tc>
        <w:tc>
          <w:tcPr>
            <w:tcW w:w="2551" w:type="dxa"/>
            <w:vAlign w:val="center"/>
          </w:tcPr>
          <w:p>
            <w:pPr>
              <w:pStyle w:val="11"/>
            </w:pPr>
            <w:r>
              <w:t>14.51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7.13</w:t>
            </w:r>
          </w:p>
        </w:tc>
        <w:tc>
          <w:tcPr>
            <w:tcW w:w="2551" w:type="dxa"/>
            <w:vAlign w:val="center"/>
          </w:tcPr>
          <w:p>
            <w:pPr>
              <w:pStyle w:val="11"/>
            </w:pPr>
            <w:r>
              <w:t>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17.55</w:t>
            </w:r>
          </w:p>
        </w:tc>
        <w:tc>
          <w:tcPr>
            <w:tcW w:w="2551" w:type="dxa"/>
            <w:vAlign w:val="center"/>
          </w:tcPr>
          <w:p>
            <w:pPr>
              <w:pStyle w:val="11"/>
            </w:pPr>
            <w:r>
              <w:t>17.55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16.43</w:t>
            </w:r>
          </w:p>
        </w:tc>
        <w:tc>
          <w:tcPr>
            <w:tcW w:w="2551" w:type="dxa"/>
            <w:vAlign w:val="center"/>
          </w:tcPr>
          <w:p>
            <w:pPr>
              <w:pStyle w:val="11"/>
            </w:pPr>
          </w:p>
        </w:tc>
        <w:tc>
          <w:tcPr>
            <w:tcW w:w="2551" w:type="dxa"/>
            <w:vAlign w:val="center"/>
          </w:tcPr>
          <w:p>
            <w:pPr>
              <w:pStyle w:val="11"/>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4.27</w:t>
            </w:r>
          </w:p>
        </w:tc>
        <w:tc>
          <w:tcPr>
            <w:tcW w:w="2551" w:type="dxa"/>
            <w:vAlign w:val="center"/>
          </w:tcPr>
          <w:p>
            <w:pPr>
              <w:pStyle w:val="11"/>
            </w:pPr>
          </w:p>
        </w:tc>
        <w:tc>
          <w:tcPr>
            <w:tcW w:w="2551" w:type="dxa"/>
            <w:vAlign w:val="center"/>
          </w:tcPr>
          <w:p>
            <w:pPr>
              <w:pStyle w:val="11"/>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0.97</w:t>
            </w:r>
          </w:p>
        </w:tc>
        <w:tc>
          <w:tcPr>
            <w:tcW w:w="2551" w:type="dxa"/>
            <w:vAlign w:val="center"/>
          </w:tcPr>
          <w:p>
            <w:pPr>
              <w:pStyle w:val="11"/>
            </w:pPr>
          </w:p>
        </w:tc>
        <w:tc>
          <w:tcPr>
            <w:tcW w:w="2551" w:type="dxa"/>
            <w:vAlign w:val="center"/>
          </w:tcPr>
          <w:p>
            <w:pPr>
              <w:pStyle w:val="11"/>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1.21</w:t>
            </w:r>
          </w:p>
        </w:tc>
        <w:tc>
          <w:tcPr>
            <w:tcW w:w="2551" w:type="dxa"/>
            <w:vAlign w:val="center"/>
          </w:tcPr>
          <w:p>
            <w:pPr>
              <w:pStyle w:val="11"/>
            </w:pPr>
          </w:p>
        </w:tc>
        <w:tc>
          <w:tcPr>
            <w:tcW w:w="2551"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4.68</w:t>
            </w:r>
          </w:p>
        </w:tc>
        <w:tc>
          <w:tcPr>
            <w:tcW w:w="2551" w:type="dxa"/>
            <w:vAlign w:val="center"/>
          </w:tcPr>
          <w:p>
            <w:pPr>
              <w:pStyle w:val="11"/>
            </w:pPr>
          </w:p>
        </w:tc>
        <w:tc>
          <w:tcPr>
            <w:tcW w:w="2551"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1.98</w:t>
            </w:r>
          </w:p>
        </w:tc>
        <w:tc>
          <w:tcPr>
            <w:tcW w:w="2551" w:type="dxa"/>
            <w:vAlign w:val="center"/>
          </w:tcPr>
          <w:p>
            <w:pPr>
              <w:pStyle w:val="11"/>
            </w:pPr>
            <w:r>
              <w:t>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w:t>
            </w:r>
          </w:p>
        </w:tc>
        <w:tc>
          <w:tcPr>
            <w:tcW w:w="2551" w:type="dxa"/>
            <w:vAlign w:val="center"/>
          </w:tcPr>
          <w:p>
            <w:pPr>
              <w:pStyle w:val="11"/>
            </w:pPr>
            <w:r>
              <w:t>1.98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289唐山市开平区信访局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唐山市开平区信访局2024年部门预算信息公开情况说明</w:t>
      </w:r>
    </w:p>
    <w:p>
      <w:pPr>
        <w:jc w:val="center"/>
      </w:pPr>
      <w:r>
        <w:rPr>
          <w:rFonts w:ascii="方正小标宋_GBK" w:hAnsi="方正小标宋_GBK" w:eastAsia="方正小标宋_GBK" w:cs="方正小标宋_GBK"/>
          <w:color w:val="000000"/>
          <w:sz w:val="44"/>
        </w:rPr>
        <w:t>唐山市开平区信访局2024年部门预算信息公开情况说明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按照《中华人民共和国预算法》、《地方预决算公开操作规程》和《关于进一步推进预算公开工作的实施意见》规定，现将唐山市开平区信访局2024年部门预算公开如下：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 研究提出全区信访工作思路，拟订信访工作方针政策。</w:t>
      </w:r>
    </w:p>
    <w:p>
      <w:pPr>
        <w:pStyle w:val="17"/>
      </w:pPr>
      <w:r>
        <w:t>(二)办理人民群众来信，接待群众来访，受理群众网上投诉，查办信访案件，负责人民群众建议征集工作。</w:t>
      </w:r>
    </w:p>
    <w:p>
      <w:pPr>
        <w:pStyle w:val="17"/>
      </w:pPr>
      <w:r>
        <w:t>(三)调查研究和综合分析全区信访形势及信访工作状况，总结推广各地各部门信访工作经验，提出改进和加强信访工作的意见和建议。</w:t>
      </w:r>
    </w:p>
    <w:p>
      <w:pPr>
        <w:pStyle w:val="17"/>
      </w:pPr>
      <w:r>
        <w:t>(四)参与组织、协调、指导全区社会治安综合治理和维护社会政治稳定工作，协助保障国家、省、市和区重大政治活动顺利进行，参与处理影响社会政治稳定的突发性、群体性事件。</w:t>
      </w:r>
    </w:p>
    <w:p>
      <w:pPr>
        <w:pStyle w:val="17"/>
      </w:pPr>
      <w:r>
        <w:t>(五)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pPr>
        <w:pStyle w:val="17"/>
      </w:pPr>
      <w:r>
        <w:t>(六)协助国家信访局、省信访局、市信访局处理开平区群众进京、赴省、到市上访工作，综合协调处理跨地区、跨部门、跨行业的重要信访问题，协助公安机关维护区委、区政府机关正常工作秩序。</w:t>
      </w:r>
    </w:p>
    <w:p>
      <w:pPr>
        <w:pStyle w:val="17"/>
      </w:pPr>
      <w:r>
        <w:t>(七) 负责区级领导和区直部门领导公开接访和包联案件的组织协调工作。</w:t>
      </w:r>
    </w:p>
    <w:p>
      <w:pPr>
        <w:pStyle w:val="17"/>
      </w:pPr>
      <w:r>
        <w:t>(八) 承担开平区信访工作联席会议的日常工作，督促落实联席会议决定的事项。</w:t>
      </w:r>
    </w:p>
    <w:p>
      <w:pPr>
        <w:pStyle w:val="17"/>
      </w:pPr>
      <w:r>
        <w:t>(九) 完成区委、区政府以及国家信访局、省信访局、市信访局交办的其他任务。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按照预算管理有关规定，目前部门预算的编制实行综合预算管理，即全部收入和支出都反映在预算中。唐山市开平区信访局机关及所属事业单位的收支包含在部门预算中。</w:t>
      </w:r>
    </w:p>
    <w:p>
      <w:pPr>
        <w:pStyle w:val="18"/>
      </w:pPr>
      <w:r>
        <w:t>1、收入说明</w:t>
      </w:r>
    </w:p>
    <w:p>
      <w:pPr>
        <w:pStyle w:val="18"/>
      </w:pPr>
      <w:r>
        <w:t>反映本部门当年全部收入。2024年预算收入1003.58万元，其中：一般公共预算收入1003.58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信访局年度部门预算中支出预算的总体情况。2024年支出预算1003.58万元，其中基本支出203.58万元，包括人员经费187.15万元和日常公用经费16.43万元；项目支出800.00万元，主要为2024年支出预算1003.58万元，其中基本支出203.58万元，包括人员经费187.15万元和日常公用经费16.43万元；项目支出800万元。</w:t>
      </w:r>
    </w:p>
    <w:p>
      <w:pPr>
        <w:pStyle w:val="18"/>
      </w:pPr>
      <w:r>
        <w:t>3、比上年增减情况</w:t>
      </w:r>
    </w:p>
    <w:p>
      <w:pPr>
        <w:pStyle w:val="18"/>
      </w:pPr>
      <w:r>
        <w:t>2024年预算收支安排1003.58万元，较2023年预算增加317.41万元，其中：基本支出增加17.41万元，主要为新增入职人员</w:t>
      </w:r>
      <w:r>
        <w:rPr>
          <w:rFonts w:hint="eastAsia" w:eastAsiaTheme="minorEastAsia"/>
          <w:lang w:eastAsia="zh-CN"/>
        </w:rPr>
        <w:t>,</w:t>
      </w:r>
      <w:r>
        <w:t>项目支出增加300.00万元，主要为维护全区的信访维稳工作，项目预算增加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2024年，我部门机关运行经费共计安排16.43万元，主要用于日常维修、办公用房水电费、办公用房取暖费、办公用房物业管理费等日常运行支出。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2024年我部门“三公”经费预算安排2万元，与上年持平，无增减变化。具体安排情况为：（1）公务用车购置及运行费，共计安排2万元，与上年持平，无增减变化。（其中公务用车购置费为0万元，与上年持平，无增减变化；公务用车运行维护经费安排2万元，与上年持平，无增减变化。（2）公务接待费安排0万元，与上年持平，无增减变化。（3）因公出国（境）费安排0万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坚持以人民为中心思想，以社会治理创新为动力，以解决群众合理诉求为核心，强化党政同抓，一岗双责机制，持续打造“责任信访、法治信访、阳光信访”。畅通信访渠道，规范信访秩序，不断创新信访工作机制，着力推进“事要解决”极大地调动信访工作的积极性。提前入手，做好矛盾纠纷排查化解工作，不断完善制度，建立信访工作长效运行机制，更好地维护群众合法权益、维护全区和谐稳定。</w:t>
      </w:r>
    </w:p>
    <w:p>
      <w:pPr>
        <w:pStyle w:val="21"/>
      </w:pPr>
    </w:p>
    <w:p>
      <w:pPr>
        <w:pStyle w:val="21"/>
      </w:pPr>
    </w:p>
    <w:p>
      <w:pPr>
        <w:spacing w:line="500" w:lineRule="exact"/>
        <w:ind w:firstLine="560"/>
      </w:pPr>
      <w:r>
        <w:rPr>
          <w:rFonts w:eastAsia="方正仿宋_GBK"/>
          <w:color w:val="000000"/>
          <w:sz w:val="28"/>
        </w:rPr>
        <w:t>（二）分项绩效目标</w:t>
      </w:r>
    </w:p>
    <w:p>
      <w:pPr>
        <w:pStyle w:val="22"/>
      </w:pPr>
      <w:r>
        <w:t>1、信访维稳：</w:t>
      </w:r>
    </w:p>
    <w:p>
      <w:pPr>
        <w:pStyle w:val="22"/>
      </w:pPr>
      <w:r>
        <w:t>绩效目标：及时接人劝返，搭建沟通平台，畅通信访渠道，减少信访案件，维护社会和谐稳定。</w:t>
      </w:r>
    </w:p>
    <w:p>
      <w:pPr>
        <w:pStyle w:val="22"/>
      </w:pPr>
      <w:r>
        <w:t>绩效指标：提高办案质量，严格做到“三到位一处理”，实现“件件有着落，事事有回音”。进京到重点地区访、进京集体访、进京个体访、赴省集体访、赴省个体访大幅度下降，力争同比下降30%以上。中省转交办信访事项“三率”大幅提升，信访机构和有权机关及时受理率、按期答复率达到100%。</w:t>
      </w:r>
    </w:p>
    <w:p>
      <w:pPr>
        <w:pStyle w:val="22"/>
      </w:pPr>
      <w:r>
        <w:t>2、信访事项管理：</w:t>
      </w:r>
    </w:p>
    <w:p>
      <w:pPr>
        <w:pStyle w:val="22"/>
      </w:pPr>
      <w:r>
        <w:t>绩效目标：广泛宣传《信访条例》，进一步提高信访干部业务能力；吸收可行性建议，改进信访工作；提高信访信息化应用水平，保障机要邮件正常传递和信访群众工作中心正常运转；确保会议正常召开。</w:t>
      </w:r>
    </w:p>
    <w:p>
      <w:pPr>
        <w:pStyle w:val="22"/>
      </w:pPr>
      <w:r>
        <w:t>绩效指标：100%的贯彻落实《信访条例》，引导群众依法有序信访；实现办公自动化、网络化、智能化100%覆盖。</w:t>
      </w:r>
    </w:p>
    <w:p>
      <w:pPr>
        <w:pStyle w:val="22"/>
      </w:pPr>
    </w:p>
    <w:p>
      <w:pPr>
        <w:pStyle w:val="22"/>
      </w:pPr>
    </w:p>
    <w:p>
      <w:pPr>
        <w:spacing w:line="500" w:lineRule="exact"/>
        <w:ind w:firstLine="560"/>
      </w:pPr>
      <w:r>
        <w:rPr>
          <w:rFonts w:eastAsia="方正仿宋_GBK"/>
          <w:color w:val="000000"/>
          <w:sz w:val="28"/>
        </w:rPr>
        <w:t>（三）工作保障措施</w:t>
      </w:r>
    </w:p>
    <w:p>
      <w:pPr>
        <w:pStyle w:val="23"/>
      </w:pPr>
      <w:r>
        <w:t>一是持续用力推进领导干部包联化解积案工作。对本辖区范围内重点疑难信访案件，特别是集中治理重复访、越级访、重点地区访、集体访、涉军访及重点隐患进行定期梳理，并按照分包原则，全部落实县级领导分包。推进乡镇领导干部做到随有随包，按照“五包”责任制要求和 “三到位、一处理”标准，亲自接访下访、调查核实问题、研究处理意见，力促问题解决。</w:t>
      </w:r>
    </w:p>
    <w:p>
      <w:pPr>
        <w:pStyle w:val="23"/>
      </w:pPr>
      <w:r>
        <w:t>二是持续打造高质量“阳光信访”平台。河北省阳光信访工作平台已于今年完成全面改换运行，实现了前台受理办理和后台督查分析并重。力争明年把信访信息系统各项功能整合起来，实现全流程的规范化。进一步做好平台应用的宣传、把好事办好、让群众好信访干部都觉得“好用、管用、爱用”，真正用科技的力量将信访工作提质体效。</w:t>
      </w:r>
    </w:p>
    <w:p>
      <w:pPr>
        <w:pStyle w:val="23"/>
        <w:sectPr>
          <w:pgSz w:w="16840" w:h="11900" w:orient="landscape"/>
          <w:pgMar w:top="1361" w:right="1020" w:bottom="1361" w:left="1020" w:header="720" w:footer="720" w:gutter="0"/>
          <w:cols w:space="720" w:num="1"/>
        </w:sectPr>
      </w:pPr>
      <w:r>
        <w:t>三是持续做好群众来访接待工作。牢固树立宗旨意识，践行</w:t>
      </w:r>
      <w:r>
        <w:rPr>
          <w:rFonts w:hint="eastAsia"/>
          <w:lang w:eastAsia="zh-CN"/>
        </w:rPr>
        <w:t>以人民为中心的发展思想</w:t>
      </w:r>
      <w:r>
        <w:t>，突出便民利民，不断畅通信访渠道，认真做好群众来访接待工作，全面推进让群众“最多访一次”更加有力有效消解矛盾积淀。结合防疫工作要求，做好来访群众场所疫情防控工作，严格落实属地防控要求和卫生安全措施，完善各项应急预案，坚决防止出现交叉感染和聚集性病例，做到信访接待场所“零传染”。</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1、本级信访维稳经费绩效目标表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13020524P009091100017</w:t>
            </w:r>
          </w:p>
        </w:tc>
        <w:tc>
          <w:tcPr>
            <w:tcW w:w="2835" w:type="dxa"/>
            <w:vAlign w:val="center"/>
          </w:tcPr>
          <w:p>
            <w:pPr>
              <w:pStyle w:val="10"/>
            </w:pPr>
            <w:r>
              <w:t>项目名称</w:t>
            </w:r>
          </w:p>
        </w:tc>
        <w:tc>
          <w:tcPr>
            <w:tcW w:w="6094" w:type="dxa"/>
            <w:gridSpan w:val="3"/>
            <w:vAlign w:val="center"/>
          </w:tcPr>
          <w:p>
            <w:pPr>
              <w:pStyle w:val="12"/>
            </w:pPr>
            <w:r>
              <w:t>本级信访维稳经费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用于全区的信访稳定工作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1.参与全区社会治安综合治理和维护社会政治稳定工作，协助保障中</w:t>
            </w:r>
            <w:r>
              <w:rPr>
                <w:rFonts w:hint="eastAsia" w:eastAsiaTheme="minorEastAsia"/>
                <w:lang w:eastAsia="zh-CN"/>
              </w:rPr>
              <w:t>央</w:t>
            </w:r>
            <w:r>
              <w:t>、省、市区重大政治活动顺利进行，信访案件及时化解及群众工作中心日常工作。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5386" w:type="dxa"/>
            <w:vAlign w:val="center"/>
          </w:tcPr>
          <w:p>
            <w:pPr>
              <w:pStyle w:val="12"/>
            </w:pPr>
            <w:r>
              <w:t>畅通信访渠道，提高信访事项办理的质量和效率</w:t>
            </w:r>
          </w:p>
        </w:tc>
        <w:tc>
          <w:tcPr>
            <w:tcW w:w="2268" w:type="dxa"/>
            <w:vAlign w:val="center"/>
          </w:tcPr>
          <w:p>
            <w:pPr>
              <w:pStyle w:val="12"/>
            </w:pPr>
            <w:r>
              <w:t>≥95%</w:t>
            </w:r>
          </w:p>
        </w:tc>
        <w:tc>
          <w:tcPr>
            <w:tcW w:w="1276" w:type="dxa"/>
            <w:vAlign w:val="center"/>
          </w:tcPr>
          <w:p>
            <w:pPr>
              <w:pStyle w:val="12"/>
            </w:pPr>
            <w:r>
              <w:t>畅通信访渠道，提高信访事项办理的质量和效率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开展联合接访的受理率</w:t>
            </w:r>
          </w:p>
        </w:tc>
        <w:tc>
          <w:tcPr>
            <w:tcW w:w="5386" w:type="dxa"/>
            <w:vAlign w:val="center"/>
          </w:tcPr>
          <w:p>
            <w:pPr>
              <w:pStyle w:val="12"/>
            </w:pPr>
            <w:r>
              <w:t>信访事项及时受理的情况</w:t>
            </w:r>
          </w:p>
        </w:tc>
        <w:tc>
          <w:tcPr>
            <w:tcW w:w="2268" w:type="dxa"/>
            <w:vAlign w:val="center"/>
          </w:tcPr>
          <w:p>
            <w:pPr>
              <w:pStyle w:val="12"/>
            </w:pPr>
            <w:r>
              <w:t>≥95%</w:t>
            </w:r>
          </w:p>
        </w:tc>
        <w:tc>
          <w:tcPr>
            <w:tcW w:w="1276" w:type="dxa"/>
            <w:vAlign w:val="center"/>
          </w:tcPr>
          <w:p>
            <w:pPr>
              <w:pStyle w:val="12"/>
            </w:pPr>
            <w:r>
              <w:t>信访事项及时受理的情况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承办区联席办的工作完成率</w:t>
            </w:r>
          </w:p>
        </w:tc>
        <w:tc>
          <w:tcPr>
            <w:tcW w:w="5386" w:type="dxa"/>
            <w:vAlign w:val="center"/>
          </w:tcPr>
          <w:p>
            <w:pPr>
              <w:pStyle w:val="12"/>
            </w:pPr>
            <w:r>
              <w:t>承办区联席办的工作完成情况</w:t>
            </w:r>
          </w:p>
        </w:tc>
        <w:tc>
          <w:tcPr>
            <w:tcW w:w="2268" w:type="dxa"/>
            <w:vAlign w:val="center"/>
          </w:tcPr>
          <w:p>
            <w:pPr>
              <w:pStyle w:val="12"/>
            </w:pPr>
            <w:r>
              <w:t>≥95%</w:t>
            </w:r>
          </w:p>
        </w:tc>
        <w:tc>
          <w:tcPr>
            <w:tcW w:w="1276" w:type="dxa"/>
            <w:vAlign w:val="center"/>
          </w:tcPr>
          <w:p>
            <w:pPr>
              <w:pStyle w:val="12"/>
            </w:pPr>
            <w:r>
              <w:t>承办区联席办的工作完成情况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信访疑难案件化解专项资金使用率</w:t>
            </w:r>
          </w:p>
        </w:tc>
        <w:tc>
          <w:tcPr>
            <w:tcW w:w="5386" w:type="dxa"/>
            <w:vAlign w:val="center"/>
          </w:tcPr>
          <w:p>
            <w:pPr>
              <w:pStyle w:val="12"/>
            </w:pPr>
            <w:r>
              <w:t>信访实际用于疑难案件化解资金占信访专项资金的比例</w:t>
            </w:r>
          </w:p>
        </w:tc>
        <w:tc>
          <w:tcPr>
            <w:tcW w:w="2268" w:type="dxa"/>
            <w:vAlign w:val="center"/>
          </w:tcPr>
          <w:p>
            <w:pPr>
              <w:pStyle w:val="12"/>
            </w:pPr>
            <w:r>
              <w:t>≥95%</w:t>
            </w:r>
          </w:p>
        </w:tc>
        <w:tc>
          <w:tcPr>
            <w:tcW w:w="1276" w:type="dxa"/>
            <w:vAlign w:val="center"/>
          </w:tcPr>
          <w:p>
            <w:pPr>
              <w:pStyle w:val="12"/>
            </w:pPr>
            <w:r>
              <w:t>信访实际用于疑难案件化解资金占信访专项资金的比例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保障工作持续完成率</w:t>
            </w:r>
          </w:p>
        </w:tc>
        <w:tc>
          <w:tcPr>
            <w:tcW w:w="5386" w:type="dxa"/>
            <w:vAlign w:val="center"/>
          </w:tcPr>
          <w:p>
            <w:pPr>
              <w:pStyle w:val="12"/>
            </w:pPr>
            <w:r>
              <w:t>敏感时期及日常信访维稳值班工作的完成情况</w:t>
            </w:r>
          </w:p>
        </w:tc>
        <w:tc>
          <w:tcPr>
            <w:tcW w:w="2268" w:type="dxa"/>
            <w:vAlign w:val="center"/>
          </w:tcPr>
          <w:p>
            <w:pPr>
              <w:pStyle w:val="12"/>
            </w:pPr>
            <w:r>
              <w:t>≥95%</w:t>
            </w:r>
          </w:p>
        </w:tc>
        <w:tc>
          <w:tcPr>
            <w:tcW w:w="1276" w:type="dxa"/>
            <w:vAlign w:val="center"/>
          </w:tcPr>
          <w:p>
            <w:pPr>
              <w:pStyle w:val="12"/>
            </w:pPr>
            <w:r>
              <w:t>敏感时期及日常信访维稳值班工作的完成情况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信访工作宣传落实率</w:t>
            </w:r>
          </w:p>
        </w:tc>
        <w:tc>
          <w:tcPr>
            <w:tcW w:w="5386" w:type="dxa"/>
            <w:vAlign w:val="center"/>
          </w:tcPr>
          <w:p>
            <w:pPr>
              <w:pStyle w:val="12"/>
            </w:pPr>
            <w:r>
              <w:t>信访工作宣传执行情况</w:t>
            </w:r>
          </w:p>
        </w:tc>
        <w:tc>
          <w:tcPr>
            <w:tcW w:w="2268" w:type="dxa"/>
            <w:vAlign w:val="center"/>
          </w:tcPr>
          <w:p>
            <w:pPr>
              <w:pStyle w:val="12"/>
            </w:pPr>
            <w:r>
              <w:t>≥95%</w:t>
            </w:r>
          </w:p>
        </w:tc>
        <w:tc>
          <w:tcPr>
            <w:tcW w:w="1276" w:type="dxa"/>
            <w:vAlign w:val="center"/>
          </w:tcPr>
          <w:p>
            <w:pPr>
              <w:pStyle w:val="12"/>
            </w:pPr>
            <w:r>
              <w:t>信访工作宣传执行情况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越级访的依法处置率</w:t>
            </w:r>
          </w:p>
        </w:tc>
        <w:tc>
          <w:tcPr>
            <w:tcW w:w="5386" w:type="dxa"/>
            <w:vAlign w:val="center"/>
          </w:tcPr>
          <w:p>
            <w:pPr>
              <w:pStyle w:val="12"/>
            </w:pPr>
            <w:r>
              <w:t>越级访处置占正常访的比例</w:t>
            </w:r>
          </w:p>
        </w:tc>
        <w:tc>
          <w:tcPr>
            <w:tcW w:w="2268" w:type="dxa"/>
            <w:vAlign w:val="center"/>
          </w:tcPr>
          <w:p>
            <w:pPr>
              <w:pStyle w:val="12"/>
            </w:pPr>
            <w:r>
              <w:t>≥95%</w:t>
            </w:r>
          </w:p>
        </w:tc>
        <w:tc>
          <w:tcPr>
            <w:tcW w:w="1276" w:type="dxa"/>
            <w:vAlign w:val="center"/>
          </w:tcPr>
          <w:p>
            <w:pPr>
              <w:pStyle w:val="12"/>
            </w:pPr>
            <w:r>
              <w:t>越级访处置占正常访的比例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2、本级信访维稳经费绩效目标表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13020524P00915610001E</w:t>
            </w:r>
          </w:p>
        </w:tc>
        <w:tc>
          <w:tcPr>
            <w:tcW w:w="2835" w:type="dxa"/>
            <w:vAlign w:val="center"/>
          </w:tcPr>
          <w:p>
            <w:pPr>
              <w:pStyle w:val="10"/>
            </w:pPr>
            <w:r>
              <w:t>项目名称</w:t>
            </w:r>
          </w:p>
        </w:tc>
        <w:tc>
          <w:tcPr>
            <w:tcW w:w="6094" w:type="dxa"/>
            <w:gridSpan w:val="3"/>
            <w:vAlign w:val="center"/>
          </w:tcPr>
          <w:p>
            <w:pPr>
              <w:pStyle w:val="12"/>
            </w:pPr>
            <w:r>
              <w:t>本级信访维稳经费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用于全区的信访稳定工作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55%</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1.参与全区社会治安综合治理和维护社会政治稳定工作。协助中</w:t>
            </w:r>
            <w:r>
              <w:rPr>
                <w:rFonts w:hint="eastAsia" w:eastAsiaTheme="minorEastAsia"/>
                <w:lang w:eastAsia="zh-CN"/>
              </w:rPr>
              <w:t>央</w:t>
            </w:r>
            <w:r>
              <w:t>、省、市和区重大政治活动顺利进行及群众工作中心日常工作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5386" w:type="dxa"/>
            <w:vAlign w:val="center"/>
          </w:tcPr>
          <w:p>
            <w:pPr>
              <w:pStyle w:val="12"/>
            </w:pPr>
            <w:r>
              <w:t>畅通信访渠道，提高信访事项办理的质量</w:t>
            </w:r>
          </w:p>
        </w:tc>
        <w:tc>
          <w:tcPr>
            <w:tcW w:w="2268" w:type="dxa"/>
            <w:vAlign w:val="center"/>
          </w:tcPr>
          <w:p>
            <w:pPr>
              <w:pStyle w:val="12"/>
            </w:pPr>
            <w:r>
              <w:t>≥95%</w:t>
            </w:r>
          </w:p>
        </w:tc>
        <w:tc>
          <w:tcPr>
            <w:tcW w:w="1276" w:type="dxa"/>
            <w:vAlign w:val="center"/>
          </w:tcPr>
          <w:p>
            <w:pPr>
              <w:pStyle w:val="12"/>
            </w:pPr>
            <w:r>
              <w:t>畅通信访渠道，提高信访事项办理的质量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开展联合接访的受理率</w:t>
            </w:r>
          </w:p>
        </w:tc>
        <w:tc>
          <w:tcPr>
            <w:tcW w:w="5386" w:type="dxa"/>
            <w:vAlign w:val="center"/>
          </w:tcPr>
          <w:p>
            <w:pPr>
              <w:pStyle w:val="12"/>
            </w:pPr>
            <w:r>
              <w:t>信访事项及时受理的情况</w:t>
            </w:r>
          </w:p>
        </w:tc>
        <w:tc>
          <w:tcPr>
            <w:tcW w:w="2268" w:type="dxa"/>
            <w:vAlign w:val="center"/>
          </w:tcPr>
          <w:p>
            <w:pPr>
              <w:pStyle w:val="12"/>
            </w:pPr>
            <w:r>
              <w:t>≥95%</w:t>
            </w:r>
          </w:p>
        </w:tc>
        <w:tc>
          <w:tcPr>
            <w:tcW w:w="1276" w:type="dxa"/>
            <w:vAlign w:val="center"/>
          </w:tcPr>
          <w:p>
            <w:pPr>
              <w:pStyle w:val="12"/>
            </w:pPr>
            <w:r>
              <w:t>信访事项及时受理的情况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承办区联席办的工作完成率</w:t>
            </w:r>
          </w:p>
        </w:tc>
        <w:tc>
          <w:tcPr>
            <w:tcW w:w="5386" w:type="dxa"/>
            <w:vAlign w:val="center"/>
          </w:tcPr>
          <w:p>
            <w:pPr>
              <w:pStyle w:val="12"/>
            </w:pPr>
            <w:r>
              <w:t>信访案件，资料上报及时率</w:t>
            </w:r>
          </w:p>
        </w:tc>
        <w:tc>
          <w:tcPr>
            <w:tcW w:w="2268" w:type="dxa"/>
            <w:vAlign w:val="center"/>
          </w:tcPr>
          <w:p>
            <w:pPr>
              <w:pStyle w:val="12"/>
            </w:pPr>
            <w:r>
              <w:t>≥95%</w:t>
            </w:r>
          </w:p>
        </w:tc>
        <w:tc>
          <w:tcPr>
            <w:tcW w:w="1276" w:type="dxa"/>
            <w:vAlign w:val="center"/>
          </w:tcPr>
          <w:p>
            <w:pPr>
              <w:pStyle w:val="12"/>
            </w:pPr>
            <w:r>
              <w:t>信访案件，资料上报及时率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信访疑难案件化解专项资金使用率</w:t>
            </w:r>
          </w:p>
        </w:tc>
        <w:tc>
          <w:tcPr>
            <w:tcW w:w="5386" w:type="dxa"/>
            <w:vAlign w:val="center"/>
          </w:tcPr>
          <w:p>
            <w:pPr>
              <w:pStyle w:val="12"/>
            </w:pPr>
            <w:r>
              <w:t>信访实际用于疑难案件化解资金占信访专项资金的比例</w:t>
            </w:r>
          </w:p>
        </w:tc>
        <w:tc>
          <w:tcPr>
            <w:tcW w:w="2268" w:type="dxa"/>
            <w:vAlign w:val="center"/>
          </w:tcPr>
          <w:p>
            <w:pPr>
              <w:pStyle w:val="12"/>
            </w:pPr>
            <w:r>
              <w:t>≥95%</w:t>
            </w:r>
          </w:p>
        </w:tc>
        <w:tc>
          <w:tcPr>
            <w:tcW w:w="1276" w:type="dxa"/>
            <w:vAlign w:val="center"/>
          </w:tcPr>
          <w:p>
            <w:pPr>
              <w:pStyle w:val="12"/>
            </w:pPr>
            <w:r>
              <w:t>信访实际用于疑难案件化解资金占信访专项资金的比例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越级访的依法处置率</w:t>
            </w:r>
          </w:p>
        </w:tc>
        <w:tc>
          <w:tcPr>
            <w:tcW w:w="5386" w:type="dxa"/>
            <w:vAlign w:val="center"/>
          </w:tcPr>
          <w:p>
            <w:pPr>
              <w:pStyle w:val="12"/>
            </w:pPr>
            <w:r>
              <w:t>越级访处置占正常的比例</w:t>
            </w:r>
          </w:p>
        </w:tc>
        <w:tc>
          <w:tcPr>
            <w:tcW w:w="2268" w:type="dxa"/>
            <w:vAlign w:val="center"/>
          </w:tcPr>
          <w:p>
            <w:pPr>
              <w:pStyle w:val="12"/>
            </w:pPr>
            <w:r>
              <w:t>≥95%</w:t>
            </w:r>
          </w:p>
        </w:tc>
        <w:tc>
          <w:tcPr>
            <w:tcW w:w="1276" w:type="dxa"/>
            <w:vAlign w:val="center"/>
          </w:tcPr>
          <w:p>
            <w:pPr>
              <w:pStyle w:val="12"/>
            </w:pPr>
            <w:r>
              <w:t>越级访处置占正常的比例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信访工作宣传落实率</w:t>
            </w:r>
          </w:p>
        </w:tc>
        <w:tc>
          <w:tcPr>
            <w:tcW w:w="5386" w:type="dxa"/>
            <w:vAlign w:val="center"/>
          </w:tcPr>
          <w:p>
            <w:pPr>
              <w:pStyle w:val="12"/>
            </w:pPr>
            <w:r>
              <w:t>信访工作宣传执行情况</w:t>
            </w:r>
          </w:p>
        </w:tc>
        <w:tc>
          <w:tcPr>
            <w:tcW w:w="2268" w:type="dxa"/>
            <w:vAlign w:val="center"/>
          </w:tcPr>
          <w:p>
            <w:pPr>
              <w:pStyle w:val="12"/>
            </w:pPr>
            <w:r>
              <w:t>≥95%</w:t>
            </w:r>
          </w:p>
        </w:tc>
        <w:tc>
          <w:tcPr>
            <w:tcW w:w="1276" w:type="dxa"/>
            <w:vAlign w:val="center"/>
          </w:tcPr>
          <w:p>
            <w:pPr>
              <w:pStyle w:val="12"/>
            </w:pPr>
            <w:r>
              <w:t>信访工作宣传执行情况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保障工作持续完成率</w:t>
            </w:r>
          </w:p>
        </w:tc>
        <w:tc>
          <w:tcPr>
            <w:tcW w:w="5386" w:type="dxa"/>
            <w:vAlign w:val="center"/>
          </w:tcPr>
          <w:p>
            <w:pPr>
              <w:pStyle w:val="12"/>
            </w:pPr>
            <w:r>
              <w:t>敏感时期及日常信访维稳值班工作的完成情况</w:t>
            </w:r>
          </w:p>
        </w:tc>
        <w:tc>
          <w:tcPr>
            <w:tcW w:w="2268" w:type="dxa"/>
            <w:vAlign w:val="center"/>
          </w:tcPr>
          <w:p>
            <w:pPr>
              <w:pStyle w:val="12"/>
            </w:pPr>
            <w:r>
              <w:t>≥95%</w:t>
            </w:r>
          </w:p>
        </w:tc>
        <w:tc>
          <w:tcPr>
            <w:tcW w:w="1276" w:type="dxa"/>
            <w:vAlign w:val="center"/>
          </w:tcPr>
          <w:p>
            <w:pPr>
              <w:pStyle w:val="12"/>
            </w:pPr>
            <w:r>
              <w:t>敏感时期及日常信访维稳值班工作的完成情况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群众的满意度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289唐山市开平区信访局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唐山市开平区信访局（含所属单位）上年末固定资产金额为107.55万元（详见下表）。本年度拟购置固定资产总额为0.00万元，已按要求列入政府采购预算，详见政府采购预算表。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289唐山市开平区信访局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w:t>
            </w:r>
          </w:p>
        </w:tc>
        <w:tc>
          <w:tcPr>
            <w:tcW w:w="2835" w:type="dxa"/>
            <w:vAlign w:val="center"/>
          </w:tcPr>
          <w:p>
            <w:pPr>
              <w:pStyle w:val="11"/>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w:t>
            </w:r>
          </w:p>
        </w:tc>
        <w:tc>
          <w:tcPr>
            <w:tcW w:w="2835" w:type="dxa"/>
            <w:vAlign w:val="center"/>
          </w:tcPr>
          <w:p>
            <w:pPr>
              <w:pStyle w:val="11"/>
            </w:pPr>
            <w: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636</w:t>
            </w:r>
          </w:p>
        </w:tc>
        <w:tc>
          <w:tcPr>
            <w:tcW w:w="2835" w:type="dxa"/>
            <w:vAlign w:val="center"/>
          </w:tcPr>
          <w:p>
            <w:pPr>
              <w:pStyle w:val="11"/>
            </w:pPr>
            <w:r>
              <w:t>84.96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6930"/>
    <w:rsid w:val="000B3DC5"/>
    <w:rsid w:val="00502BF5"/>
    <w:rsid w:val="006E482A"/>
    <w:rsid w:val="00816930"/>
    <w:rsid w:val="008925F9"/>
    <w:rsid w:val="00B02E34"/>
    <w:rsid w:val="00C1666D"/>
    <w:rsid w:val="00DC1234"/>
    <w:rsid w:val="00E528B2"/>
    <w:rsid w:val="4B0E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2024-01-29T14:59:25Z</dcterms:created>
  <dcterms:modified xsi:type="dcterms:W3CDTF">2024-01-29T06:59:25Z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2024-01-29T14:59:24Z</dcterms:created>
  <dcterms:modified xsi:type="dcterms:W3CDTF">2024-01-29T06:59:24Z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2024-01-29T14:59:25Z</dcterms:created>
  <dcterms:modified xsi:type="dcterms:W3CDTF">2024-01-29T06:59:25Z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2024-01-29T14:59:24Z</dcterms:created>
  <dcterms:modified xsi:type="dcterms:W3CDTF">2024-01-29T06:59:24Z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2024-01-29T14:59:24Z</dcterms:created>
  <dcterms:modified xsi:type="dcterms:W3CDTF">2024-01-29T06:59:23Z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2024-01-29T14:59:25Z</dcterms:created>
  <dcterms:modified xsi:type="dcterms:W3CDTF">2024-01-29T06:59:25Z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0E592B-52CB-47D2-99A0-7D90495CD206}">
  <ds:schemaRefs/>
</ds:datastoreItem>
</file>

<file path=customXml/itemProps11.xml><?xml version="1.0" encoding="utf-8"?>
<ds:datastoreItem xmlns:ds="http://schemas.openxmlformats.org/officeDocument/2006/customXml" ds:itemID="{C51302B1-653F-40D3-93F1-26439AE64F97}">
  <ds:schemaRefs/>
</ds:datastoreItem>
</file>

<file path=customXml/itemProps12.xml><?xml version="1.0" encoding="utf-8"?>
<ds:datastoreItem xmlns:ds="http://schemas.openxmlformats.org/officeDocument/2006/customXml" ds:itemID="{0C4A78B7-CBED-4D0B-A037-2A24239CD2E5}">
  <ds:schemaRefs/>
</ds:datastoreItem>
</file>

<file path=customXml/itemProps13.xml><?xml version="1.0" encoding="utf-8"?>
<ds:datastoreItem xmlns:ds="http://schemas.openxmlformats.org/officeDocument/2006/customXml" ds:itemID="{D9E106E7-738B-4ED5-8B3D-23AE4E26CA06}">
  <ds:schemaRefs/>
</ds:datastoreItem>
</file>

<file path=customXml/itemProps2.xml><?xml version="1.0" encoding="utf-8"?>
<ds:datastoreItem xmlns:ds="http://schemas.openxmlformats.org/officeDocument/2006/customXml" ds:itemID="{04B1A1F0-C2C0-43CA-9A93-DCF16A4782BB}">
  <ds:schemaRefs/>
</ds:datastoreItem>
</file>

<file path=customXml/itemProps3.xml><?xml version="1.0" encoding="utf-8"?>
<ds:datastoreItem xmlns:ds="http://schemas.openxmlformats.org/officeDocument/2006/customXml" ds:itemID="{2DABEE05-A9D5-470B-B1FC-BE5621F6B216}">
  <ds:schemaRefs/>
</ds:datastoreItem>
</file>

<file path=customXml/itemProps4.xml><?xml version="1.0" encoding="utf-8"?>
<ds:datastoreItem xmlns:ds="http://schemas.openxmlformats.org/officeDocument/2006/customXml" ds:itemID="{A6A76FFB-4E66-4C78-9981-E97D8B5ADCB8}">
  <ds:schemaRefs/>
</ds:datastoreItem>
</file>

<file path=customXml/itemProps5.xml><?xml version="1.0" encoding="utf-8"?>
<ds:datastoreItem xmlns:ds="http://schemas.openxmlformats.org/officeDocument/2006/customXml" ds:itemID="{C8E17836-F286-4D8D-9A17-54B2FC694C8F}">
  <ds:schemaRefs/>
</ds:datastoreItem>
</file>

<file path=customXml/itemProps6.xml><?xml version="1.0" encoding="utf-8"?>
<ds:datastoreItem xmlns:ds="http://schemas.openxmlformats.org/officeDocument/2006/customXml" ds:itemID="{26441B8A-F4DF-47B9-8CFC-CE13A40F7C09}">
  <ds:schemaRefs/>
</ds:datastoreItem>
</file>

<file path=customXml/itemProps7.xml><?xml version="1.0" encoding="utf-8"?>
<ds:datastoreItem xmlns:ds="http://schemas.openxmlformats.org/officeDocument/2006/customXml" ds:itemID="{8B30F20E-BD30-4680-9520-FDCA856103D7}">
  <ds:schemaRefs/>
</ds:datastoreItem>
</file>

<file path=customXml/itemProps8.xml><?xml version="1.0" encoding="utf-8"?>
<ds:datastoreItem xmlns:ds="http://schemas.openxmlformats.org/officeDocument/2006/customXml" ds:itemID="{1F8239C9-4096-464D-8FB2-C440E52464B3}">
  <ds:schemaRefs/>
</ds:datastoreItem>
</file>

<file path=customXml/itemProps9.xml><?xml version="1.0" encoding="utf-8"?>
<ds:datastoreItem xmlns:ds="http://schemas.openxmlformats.org/officeDocument/2006/customXml" ds:itemID="{EB1182B5-BF44-45F4-8186-712B5A7CABC5}">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1848</Words>
  <Characters>10535</Characters>
  <Lines>87</Lines>
  <Paragraphs>24</Paragraphs>
  <TotalTime>7</TotalTime>
  <ScaleCrop>false</ScaleCrop>
  <LinksUpToDate>false</LinksUpToDate>
  <CharactersWithSpaces>12359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2024-01-29T07:09:00Z</dcterms:created>
  <dc:creator>Administrator</dc:creator>
  <cp:lastModifiedBy>hp</cp:lastModifiedBy>
  <dcterms:modified xsi:type="dcterms:W3CDTF">2025-02-14T07:24:19Z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