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eastAsia="zh-CN"/>
        </w:rPr>
        <w:t>3</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w:t>
      </w:r>
      <w:r>
        <w:rPr>
          <w:rFonts w:hint="eastAsia"/>
          <w:lang w:eastAsia="zh-CN"/>
        </w:rPr>
        <w:t>3</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eastAsia="zh-CN"/>
        </w:rPr>
        <w:t>4</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138.66</w:t>
            </w:r>
          </w:p>
        </w:tc>
        <w:tc>
          <w:tcPr>
            <w:tcW w:w="4535" w:type="dxa"/>
            <w:vAlign w:val="center"/>
          </w:tcPr>
          <w:p>
            <w:pPr>
              <w:pStyle w:val="10"/>
            </w:pPr>
            <w:r>
              <w:t>一、一般公共服务支出</w:t>
            </w:r>
          </w:p>
        </w:tc>
        <w:tc>
          <w:tcPr>
            <w:tcW w:w="2126" w:type="dxa"/>
            <w:vAlign w:val="center"/>
          </w:tcPr>
          <w:p>
            <w:pPr>
              <w:pStyle w:val="9"/>
            </w:pPr>
            <w:r>
              <w:t>107.96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138.66</w:t>
            </w:r>
          </w:p>
        </w:tc>
        <w:tc>
          <w:tcPr>
            <w:tcW w:w="4535" w:type="dxa"/>
            <w:vAlign w:val="center"/>
          </w:tcPr>
          <w:p>
            <w:pPr>
              <w:pStyle w:val="12"/>
            </w:pPr>
            <w:r>
              <w:t>本年支出合计</w:t>
            </w:r>
          </w:p>
        </w:tc>
        <w:tc>
          <w:tcPr>
            <w:tcW w:w="2126" w:type="dxa"/>
            <w:vAlign w:val="center"/>
          </w:tcPr>
          <w:p>
            <w:pPr>
              <w:pStyle w:val="13"/>
            </w:pPr>
            <w:r>
              <w:t>138.66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138.66</w:t>
            </w:r>
          </w:p>
        </w:tc>
        <w:tc>
          <w:tcPr>
            <w:tcW w:w="4535" w:type="dxa"/>
            <w:vAlign w:val="center"/>
          </w:tcPr>
          <w:p>
            <w:pPr>
              <w:pStyle w:val="12"/>
            </w:pPr>
            <w:r>
              <w:t>支出总计</w:t>
            </w:r>
          </w:p>
        </w:tc>
        <w:tc>
          <w:tcPr>
            <w:tcW w:w="2126" w:type="dxa"/>
            <w:vAlign w:val="center"/>
          </w:tcPr>
          <w:p>
            <w:pPr>
              <w:pStyle w:val="13"/>
            </w:pPr>
            <w:r>
              <w:t>138.66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138.66</w:t>
            </w:r>
          </w:p>
        </w:tc>
        <w:tc>
          <w:tcPr>
            <w:tcW w:w="1134" w:type="dxa"/>
            <w:vAlign w:val="center"/>
          </w:tcPr>
          <w:p>
            <w:pPr>
              <w:pStyle w:val="13"/>
            </w:pPr>
            <w:r>
              <w:t>138.66</w:t>
            </w:r>
          </w:p>
        </w:tc>
        <w:tc>
          <w:tcPr>
            <w:tcW w:w="1134" w:type="dxa"/>
            <w:vAlign w:val="center"/>
          </w:tcPr>
          <w:p>
            <w:pPr>
              <w:pStyle w:val="13"/>
            </w:pPr>
            <w:r>
              <w:t>138.66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107.96</w:t>
            </w:r>
          </w:p>
        </w:tc>
        <w:tc>
          <w:tcPr>
            <w:tcW w:w="1134" w:type="dxa"/>
            <w:vAlign w:val="center"/>
          </w:tcPr>
          <w:p>
            <w:pPr>
              <w:pStyle w:val="9"/>
            </w:pPr>
            <w:r>
              <w:t>107.96</w:t>
            </w:r>
          </w:p>
        </w:tc>
        <w:tc>
          <w:tcPr>
            <w:tcW w:w="1134" w:type="dxa"/>
            <w:vAlign w:val="center"/>
          </w:tcPr>
          <w:p>
            <w:pPr>
              <w:pStyle w:val="9"/>
            </w:pPr>
            <w:r>
              <w:t>107.96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20131</w:t>
            </w:r>
          </w:p>
        </w:tc>
        <w:tc>
          <w:tcPr>
            <w:tcW w:w="1559" w:type="dxa"/>
            <w:vAlign w:val="center"/>
          </w:tcPr>
          <w:p>
            <w:pPr>
              <w:pStyle w:val="10"/>
            </w:pPr>
            <w:r>
              <w:t>党委办公厅（室）及相关机构事务</w:t>
            </w:r>
          </w:p>
        </w:tc>
        <w:tc>
          <w:tcPr>
            <w:tcW w:w="1134" w:type="dxa"/>
            <w:vAlign w:val="center"/>
          </w:tcPr>
          <w:p>
            <w:pPr>
              <w:pStyle w:val="9"/>
            </w:pPr>
            <w:r>
              <w:t>107.96</w:t>
            </w:r>
          </w:p>
        </w:tc>
        <w:tc>
          <w:tcPr>
            <w:tcW w:w="1134" w:type="dxa"/>
            <w:vAlign w:val="center"/>
          </w:tcPr>
          <w:p>
            <w:pPr>
              <w:pStyle w:val="9"/>
            </w:pPr>
            <w:r>
              <w:t>107.96</w:t>
            </w:r>
          </w:p>
        </w:tc>
        <w:tc>
          <w:tcPr>
            <w:tcW w:w="1134" w:type="dxa"/>
            <w:vAlign w:val="center"/>
          </w:tcPr>
          <w:p>
            <w:pPr>
              <w:pStyle w:val="9"/>
            </w:pPr>
            <w:r>
              <w:t>107.96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2013101</w:t>
            </w:r>
          </w:p>
        </w:tc>
        <w:tc>
          <w:tcPr>
            <w:tcW w:w="1559" w:type="dxa"/>
            <w:vAlign w:val="center"/>
          </w:tcPr>
          <w:p>
            <w:pPr>
              <w:pStyle w:val="10"/>
            </w:pPr>
            <w:r>
              <w:t>行政运行</w:t>
            </w:r>
          </w:p>
        </w:tc>
        <w:tc>
          <w:tcPr>
            <w:tcW w:w="1134" w:type="dxa"/>
            <w:vAlign w:val="center"/>
          </w:tcPr>
          <w:p>
            <w:pPr>
              <w:pStyle w:val="9"/>
            </w:pPr>
            <w:r>
              <w:t>102.96</w:t>
            </w:r>
          </w:p>
        </w:tc>
        <w:tc>
          <w:tcPr>
            <w:tcW w:w="1134" w:type="dxa"/>
            <w:vAlign w:val="center"/>
          </w:tcPr>
          <w:p>
            <w:pPr>
              <w:pStyle w:val="9"/>
            </w:pPr>
            <w:r>
              <w:t>102.96</w:t>
            </w:r>
          </w:p>
        </w:tc>
        <w:tc>
          <w:tcPr>
            <w:tcW w:w="1134" w:type="dxa"/>
            <w:vAlign w:val="center"/>
          </w:tcPr>
          <w:p>
            <w:pPr>
              <w:pStyle w:val="9"/>
            </w:pPr>
            <w:r>
              <w:t>102.96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2013105</w:t>
            </w:r>
          </w:p>
        </w:tc>
        <w:tc>
          <w:tcPr>
            <w:tcW w:w="1559" w:type="dxa"/>
            <w:vAlign w:val="center"/>
          </w:tcPr>
          <w:p>
            <w:pPr>
              <w:pStyle w:val="10"/>
            </w:pPr>
            <w:r>
              <w:t>专项业务</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r>
              <w:t>11.55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r>
              <w:t>12.27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r>
              <w:t>6.87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138.66</w:t>
            </w:r>
          </w:p>
        </w:tc>
        <w:tc>
          <w:tcPr>
            <w:tcW w:w="1361" w:type="dxa"/>
            <w:vAlign w:val="center"/>
          </w:tcPr>
          <w:p>
            <w:pPr>
              <w:pStyle w:val="13"/>
            </w:pPr>
            <w:r>
              <w:t>133.66</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107.96</w:t>
            </w:r>
          </w:p>
        </w:tc>
        <w:tc>
          <w:tcPr>
            <w:tcW w:w="1361" w:type="dxa"/>
            <w:vAlign w:val="center"/>
          </w:tcPr>
          <w:p>
            <w:pPr>
              <w:pStyle w:val="9"/>
            </w:pPr>
            <w:r>
              <w:t>102.96</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20131</w:t>
            </w:r>
          </w:p>
        </w:tc>
        <w:tc>
          <w:tcPr>
            <w:tcW w:w="4535" w:type="dxa"/>
            <w:vAlign w:val="center"/>
          </w:tcPr>
          <w:p>
            <w:pPr>
              <w:pStyle w:val="10"/>
            </w:pPr>
            <w:r>
              <w:t>党委办公厅（室）及相关机构事务</w:t>
            </w:r>
          </w:p>
        </w:tc>
        <w:tc>
          <w:tcPr>
            <w:tcW w:w="1361" w:type="dxa"/>
            <w:vAlign w:val="center"/>
          </w:tcPr>
          <w:p>
            <w:pPr>
              <w:pStyle w:val="9"/>
            </w:pPr>
            <w:r>
              <w:t>107.96</w:t>
            </w:r>
          </w:p>
        </w:tc>
        <w:tc>
          <w:tcPr>
            <w:tcW w:w="1361" w:type="dxa"/>
            <w:vAlign w:val="center"/>
          </w:tcPr>
          <w:p>
            <w:pPr>
              <w:pStyle w:val="9"/>
            </w:pPr>
            <w:r>
              <w:t>102.96</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2013101</w:t>
            </w:r>
          </w:p>
        </w:tc>
        <w:tc>
          <w:tcPr>
            <w:tcW w:w="4535" w:type="dxa"/>
            <w:vAlign w:val="center"/>
          </w:tcPr>
          <w:p>
            <w:pPr>
              <w:pStyle w:val="10"/>
            </w:pPr>
            <w:r>
              <w:t>行政运行</w:t>
            </w:r>
          </w:p>
        </w:tc>
        <w:tc>
          <w:tcPr>
            <w:tcW w:w="1361" w:type="dxa"/>
            <w:vAlign w:val="center"/>
          </w:tcPr>
          <w:p>
            <w:pPr>
              <w:pStyle w:val="9"/>
            </w:pPr>
            <w:r>
              <w:t>102.96</w:t>
            </w:r>
          </w:p>
        </w:tc>
        <w:tc>
          <w:tcPr>
            <w:tcW w:w="1361" w:type="dxa"/>
            <w:vAlign w:val="center"/>
          </w:tcPr>
          <w:p>
            <w:pPr>
              <w:pStyle w:val="9"/>
            </w:pPr>
            <w:r>
              <w:t>102.96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2013105</w:t>
            </w:r>
          </w:p>
        </w:tc>
        <w:tc>
          <w:tcPr>
            <w:tcW w:w="4535" w:type="dxa"/>
            <w:vAlign w:val="center"/>
          </w:tcPr>
          <w:p>
            <w:pPr>
              <w:pStyle w:val="10"/>
            </w:pPr>
            <w:r>
              <w:t>专项业务</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11.55</w:t>
            </w:r>
          </w:p>
        </w:tc>
        <w:tc>
          <w:tcPr>
            <w:tcW w:w="1361" w:type="dxa"/>
            <w:vAlign w:val="center"/>
          </w:tcPr>
          <w:p>
            <w:pPr>
              <w:pStyle w:val="9"/>
            </w:pPr>
            <w:r>
              <w:t>11.55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11.55</w:t>
            </w:r>
          </w:p>
        </w:tc>
        <w:tc>
          <w:tcPr>
            <w:tcW w:w="1361" w:type="dxa"/>
            <w:vAlign w:val="center"/>
          </w:tcPr>
          <w:p>
            <w:pPr>
              <w:pStyle w:val="9"/>
            </w:pPr>
            <w:r>
              <w:t>11.55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11.55</w:t>
            </w:r>
          </w:p>
        </w:tc>
        <w:tc>
          <w:tcPr>
            <w:tcW w:w="1361" w:type="dxa"/>
            <w:vAlign w:val="center"/>
          </w:tcPr>
          <w:p>
            <w:pPr>
              <w:pStyle w:val="9"/>
            </w:pPr>
            <w:r>
              <w:t>11.55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12.27</w:t>
            </w:r>
          </w:p>
        </w:tc>
        <w:tc>
          <w:tcPr>
            <w:tcW w:w="1361" w:type="dxa"/>
            <w:vAlign w:val="center"/>
          </w:tcPr>
          <w:p>
            <w:pPr>
              <w:pStyle w:val="9"/>
            </w:pPr>
            <w:r>
              <w:t>12.27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12.27</w:t>
            </w:r>
          </w:p>
        </w:tc>
        <w:tc>
          <w:tcPr>
            <w:tcW w:w="1361" w:type="dxa"/>
            <w:vAlign w:val="center"/>
          </w:tcPr>
          <w:p>
            <w:pPr>
              <w:pStyle w:val="9"/>
            </w:pPr>
            <w:r>
              <w:t>12.27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12.27</w:t>
            </w:r>
          </w:p>
        </w:tc>
        <w:tc>
          <w:tcPr>
            <w:tcW w:w="1361" w:type="dxa"/>
            <w:vAlign w:val="center"/>
          </w:tcPr>
          <w:p>
            <w:pPr>
              <w:pStyle w:val="9"/>
            </w:pPr>
            <w:r>
              <w:t>12.27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6.87</w:t>
            </w:r>
          </w:p>
        </w:tc>
        <w:tc>
          <w:tcPr>
            <w:tcW w:w="1361" w:type="dxa"/>
            <w:vAlign w:val="center"/>
          </w:tcPr>
          <w:p>
            <w:pPr>
              <w:pStyle w:val="9"/>
            </w:pPr>
            <w:r>
              <w:t>6.87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6.87</w:t>
            </w:r>
          </w:p>
        </w:tc>
        <w:tc>
          <w:tcPr>
            <w:tcW w:w="1361" w:type="dxa"/>
            <w:vAlign w:val="center"/>
          </w:tcPr>
          <w:p>
            <w:pPr>
              <w:pStyle w:val="9"/>
            </w:pPr>
            <w:r>
              <w:t>6.87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6.87</w:t>
            </w:r>
          </w:p>
        </w:tc>
        <w:tc>
          <w:tcPr>
            <w:tcW w:w="1361" w:type="dxa"/>
            <w:vAlign w:val="center"/>
          </w:tcPr>
          <w:p>
            <w:pPr>
              <w:pStyle w:val="9"/>
            </w:pPr>
            <w:r>
              <w:t>6.87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138.66</w:t>
            </w:r>
          </w:p>
        </w:tc>
        <w:tc>
          <w:tcPr>
            <w:tcW w:w="3402" w:type="dxa"/>
            <w:vAlign w:val="center"/>
          </w:tcPr>
          <w:p>
            <w:pPr>
              <w:pStyle w:val="10"/>
            </w:pPr>
            <w:r>
              <w:t>一、一般公共服务支出</w:t>
            </w:r>
          </w:p>
        </w:tc>
        <w:tc>
          <w:tcPr>
            <w:tcW w:w="1474" w:type="dxa"/>
            <w:vAlign w:val="center"/>
          </w:tcPr>
          <w:p>
            <w:pPr>
              <w:pStyle w:val="9"/>
            </w:pPr>
            <w:r>
              <w:t>107.96</w:t>
            </w:r>
          </w:p>
        </w:tc>
        <w:tc>
          <w:tcPr>
            <w:tcW w:w="1474" w:type="dxa"/>
            <w:vAlign w:val="center"/>
          </w:tcPr>
          <w:p>
            <w:pPr>
              <w:pStyle w:val="9"/>
            </w:pPr>
            <w:r>
              <w:t>107.96</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11.55</w:t>
            </w:r>
          </w:p>
        </w:tc>
        <w:tc>
          <w:tcPr>
            <w:tcW w:w="1474" w:type="dxa"/>
            <w:vAlign w:val="center"/>
          </w:tcPr>
          <w:p>
            <w:pPr>
              <w:pStyle w:val="9"/>
            </w:pPr>
            <w:r>
              <w:t>11.55</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12.27</w:t>
            </w:r>
          </w:p>
        </w:tc>
        <w:tc>
          <w:tcPr>
            <w:tcW w:w="1474" w:type="dxa"/>
            <w:vAlign w:val="center"/>
          </w:tcPr>
          <w:p>
            <w:pPr>
              <w:pStyle w:val="9"/>
            </w:pPr>
            <w:r>
              <w:t>12.27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6.87</w:t>
            </w:r>
          </w:p>
        </w:tc>
        <w:tc>
          <w:tcPr>
            <w:tcW w:w="1474" w:type="dxa"/>
            <w:vAlign w:val="center"/>
          </w:tcPr>
          <w:p>
            <w:pPr>
              <w:pStyle w:val="9"/>
            </w:pPr>
            <w:r>
              <w:t>6.87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138.66</w:t>
            </w:r>
          </w:p>
        </w:tc>
        <w:tc>
          <w:tcPr>
            <w:tcW w:w="3402" w:type="dxa"/>
            <w:vAlign w:val="center"/>
          </w:tcPr>
          <w:p>
            <w:pPr>
              <w:pStyle w:val="12"/>
            </w:pPr>
            <w:r>
              <w:t>本年支出合计</w:t>
            </w:r>
          </w:p>
        </w:tc>
        <w:tc>
          <w:tcPr>
            <w:tcW w:w="1474" w:type="dxa"/>
            <w:vAlign w:val="center"/>
          </w:tcPr>
          <w:p>
            <w:pPr>
              <w:pStyle w:val="13"/>
            </w:pPr>
            <w:r>
              <w:t>138.66</w:t>
            </w:r>
          </w:p>
        </w:tc>
        <w:tc>
          <w:tcPr>
            <w:tcW w:w="1474" w:type="dxa"/>
            <w:vAlign w:val="center"/>
          </w:tcPr>
          <w:p>
            <w:pPr>
              <w:pStyle w:val="13"/>
            </w:pPr>
            <w:r>
              <w:t>138.66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138.66</w:t>
            </w:r>
          </w:p>
        </w:tc>
        <w:tc>
          <w:tcPr>
            <w:tcW w:w="3402" w:type="dxa"/>
            <w:vAlign w:val="center"/>
          </w:tcPr>
          <w:p>
            <w:pPr>
              <w:pStyle w:val="12"/>
            </w:pPr>
            <w:r>
              <w:t>支出总计</w:t>
            </w:r>
          </w:p>
        </w:tc>
        <w:tc>
          <w:tcPr>
            <w:tcW w:w="1474" w:type="dxa"/>
            <w:vAlign w:val="center"/>
          </w:tcPr>
          <w:p>
            <w:pPr>
              <w:pStyle w:val="13"/>
            </w:pPr>
            <w:r>
              <w:t>138.66</w:t>
            </w:r>
          </w:p>
        </w:tc>
        <w:tc>
          <w:tcPr>
            <w:tcW w:w="1474" w:type="dxa"/>
            <w:vAlign w:val="center"/>
          </w:tcPr>
          <w:p>
            <w:pPr>
              <w:pStyle w:val="13"/>
            </w:pPr>
            <w:r>
              <w:t>138.66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138.66</w:t>
            </w:r>
          </w:p>
        </w:tc>
        <w:tc>
          <w:tcPr>
            <w:tcW w:w="2551" w:type="dxa"/>
            <w:vAlign w:val="center"/>
          </w:tcPr>
          <w:p>
            <w:pPr>
              <w:pStyle w:val="13"/>
            </w:pPr>
            <w:r>
              <w:t>133.66</w:t>
            </w:r>
          </w:p>
        </w:tc>
        <w:tc>
          <w:tcPr>
            <w:tcW w:w="2551" w:type="dxa"/>
            <w:vAlign w:val="center"/>
          </w:tcPr>
          <w:p>
            <w:pPr>
              <w:pStyle w:val="13"/>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107.96</w:t>
            </w:r>
          </w:p>
        </w:tc>
        <w:tc>
          <w:tcPr>
            <w:tcW w:w="2551" w:type="dxa"/>
            <w:vAlign w:val="center"/>
          </w:tcPr>
          <w:p>
            <w:pPr>
              <w:pStyle w:val="9"/>
            </w:pPr>
            <w:r>
              <w:t>102.96</w:t>
            </w:r>
          </w:p>
        </w:tc>
        <w:tc>
          <w:tcPr>
            <w:tcW w:w="2551" w:type="dxa"/>
            <w:vAlign w:val="center"/>
          </w:tcPr>
          <w:p>
            <w:pPr>
              <w:pStyle w:val="9"/>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20131</w:t>
            </w:r>
          </w:p>
        </w:tc>
        <w:tc>
          <w:tcPr>
            <w:tcW w:w="4535" w:type="dxa"/>
            <w:vAlign w:val="center"/>
          </w:tcPr>
          <w:p>
            <w:pPr>
              <w:pStyle w:val="10"/>
            </w:pPr>
            <w:r>
              <w:t>党委办公厅（室）及相关机构事务</w:t>
            </w:r>
          </w:p>
        </w:tc>
        <w:tc>
          <w:tcPr>
            <w:tcW w:w="2551" w:type="dxa"/>
            <w:vAlign w:val="center"/>
          </w:tcPr>
          <w:p>
            <w:pPr>
              <w:pStyle w:val="9"/>
            </w:pPr>
            <w:r>
              <w:t>107.96</w:t>
            </w:r>
          </w:p>
        </w:tc>
        <w:tc>
          <w:tcPr>
            <w:tcW w:w="2551" w:type="dxa"/>
            <w:vAlign w:val="center"/>
          </w:tcPr>
          <w:p>
            <w:pPr>
              <w:pStyle w:val="9"/>
            </w:pPr>
            <w:r>
              <w:t>102.96</w:t>
            </w:r>
          </w:p>
        </w:tc>
        <w:tc>
          <w:tcPr>
            <w:tcW w:w="2551" w:type="dxa"/>
            <w:vAlign w:val="center"/>
          </w:tcPr>
          <w:p>
            <w:pPr>
              <w:pStyle w:val="9"/>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2013101</w:t>
            </w:r>
          </w:p>
        </w:tc>
        <w:tc>
          <w:tcPr>
            <w:tcW w:w="4535" w:type="dxa"/>
            <w:vAlign w:val="center"/>
          </w:tcPr>
          <w:p>
            <w:pPr>
              <w:pStyle w:val="10"/>
            </w:pPr>
            <w:r>
              <w:t>行政运行</w:t>
            </w:r>
          </w:p>
        </w:tc>
        <w:tc>
          <w:tcPr>
            <w:tcW w:w="2551" w:type="dxa"/>
            <w:vAlign w:val="center"/>
          </w:tcPr>
          <w:p>
            <w:pPr>
              <w:pStyle w:val="9"/>
            </w:pPr>
            <w:r>
              <w:t>102.96</w:t>
            </w:r>
          </w:p>
        </w:tc>
        <w:tc>
          <w:tcPr>
            <w:tcW w:w="2551" w:type="dxa"/>
            <w:vAlign w:val="center"/>
          </w:tcPr>
          <w:p>
            <w:pPr>
              <w:pStyle w:val="9"/>
            </w:pPr>
            <w:r>
              <w:t>102.96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2013105</w:t>
            </w:r>
          </w:p>
        </w:tc>
        <w:tc>
          <w:tcPr>
            <w:tcW w:w="4535" w:type="dxa"/>
            <w:vAlign w:val="center"/>
          </w:tcPr>
          <w:p>
            <w:pPr>
              <w:pStyle w:val="10"/>
            </w:pPr>
            <w:r>
              <w:t>专项业务</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11.55</w:t>
            </w:r>
          </w:p>
        </w:tc>
        <w:tc>
          <w:tcPr>
            <w:tcW w:w="2551" w:type="dxa"/>
            <w:vAlign w:val="center"/>
          </w:tcPr>
          <w:p>
            <w:pPr>
              <w:pStyle w:val="9"/>
            </w:pPr>
            <w:r>
              <w:t>11.55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11.55</w:t>
            </w:r>
          </w:p>
        </w:tc>
        <w:tc>
          <w:tcPr>
            <w:tcW w:w="2551" w:type="dxa"/>
            <w:vAlign w:val="center"/>
          </w:tcPr>
          <w:p>
            <w:pPr>
              <w:pStyle w:val="9"/>
            </w:pPr>
            <w:r>
              <w:t>11.55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11.55</w:t>
            </w:r>
          </w:p>
        </w:tc>
        <w:tc>
          <w:tcPr>
            <w:tcW w:w="2551" w:type="dxa"/>
            <w:vAlign w:val="center"/>
          </w:tcPr>
          <w:p>
            <w:pPr>
              <w:pStyle w:val="9"/>
            </w:pPr>
            <w:r>
              <w:t>11.55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12.27</w:t>
            </w:r>
          </w:p>
        </w:tc>
        <w:tc>
          <w:tcPr>
            <w:tcW w:w="2551" w:type="dxa"/>
            <w:vAlign w:val="center"/>
          </w:tcPr>
          <w:p>
            <w:pPr>
              <w:pStyle w:val="9"/>
            </w:pPr>
            <w:r>
              <w:t>12.27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12.27</w:t>
            </w:r>
          </w:p>
        </w:tc>
        <w:tc>
          <w:tcPr>
            <w:tcW w:w="2551" w:type="dxa"/>
            <w:vAlign w:val="center"/>
          </w:tcPr>
          <w:p>
            <w:pPr>
              <w:pStyle w:val="9"/>
            </w:pPr>
            <w:r>
              <w:t>12.27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12.27</w:t>
            </w:r>
          </w:p>
        </w:tc>
        <w:tc>
          <w:tcPr>
            <w:tcW w:w="2551" w:type="dxa"/>
            <w:vAlign w:val="center"/>
          </w:tcPr>
          <w:p>
            <w:pPr>
              <w:pStyle w:val="9"/>
            </w:pPr>
            <w:r>
              <w:t>12.27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6.87</w:t>
            </w:r>
          </w:p>
        </w:tc>
        <w:tc>
          <w:tcPr>
            <w:tcW w:w="2551" w:type="dxa"/>
            <w:vAlign w:val="center"/>
          </w:tcPr>
          <w:p>
            <w:pPr>
              <w:pStyle w:val="9"/>
            </w:pPr>
            <w:r>
              <w:t>6.87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6.87</w:t>
            </w:r>
          </w:p>
        </w:tc>
        <w:tc>
          <w:tcPr>
            <w:tcW w:w="2551" w:type="dxa"/>
            <w:vAlign w:val="center"/>
          </w:tcPr>
          <w:p>
            <w:pPr>
              <w:pStyle w:val="9"/>
            </w:pPr>
            <w:r>
              <w:t>6.87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6.87</w:t>
            </w:r>
          </w:p>
        </w:tc>
        <w:tc>
          <w:tcPr>
            <w:tcW w:w="2551" w:type="dxa"/>
            <w:vAlign w:val="center"/>
          </w:tcPr>
          <w:p>
            <w:pPr>
              <w:pStyle w:val="9"/>
            </w:pPr>
            <w:r>
              <w:t>6.87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133.66</w:t>
            </w:r>
          </w:p>
        </w:tc>
        <w:tc>
          <w:tcPr>
            <w:tcW w:w="2551" w:type="dxa"/>
            <w:vAlign w:val="center"/>
          </w:tcPr>
          <w:p>
            <w:pPr>
              <w:pStyle w:val="13"/>
            </w:pPr>
            <w:r>
              <w:t>120.37</w:t>
            </w:r>
          </w:p>
        </w:tc>
        <w:tc>
          <w:tcPr>
            <w:tcW w:w="2551" w:type="dxa"/>
            <w:vAlign w:val="center"/>
          </w:tcPr>
          <w:p>
            <w:pPr>
              <w:pStyle w:val="13"/>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109.51</w:t>
            </w:r>
          </w:p>
        </w:tc>
        <w:tc>
          <w:tcPr>
            <w:tcW w:w="2551" w:type="dxa"/>
            <w:vAlign w:val="center"/>
          </w:tcPr>
          <w:p>
            <w:pPr>
              <w:pStyle w:val="9"/>
            </w:pPr>
            <w:r>
              <w:t>109.51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47.39</w:t>
            </w:r>
          </w:p>
        </w:tc>
        <w:tc>
          <w:tcPr>
            <w:tcW w:w="2551" w:type="dxa"/>
            <w:vAlign w:val="center"/>
          </w:tcPr>
          <w:p>
            <w:pPr>
              <w:pStyle w:val="9"/>
            </w:pPr>
            <w:r>
              <w:t>47.39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27.16</w:t>
            </w:r>
          </w:p>
        </w:tc>
        <w:tc>
          <w:tcPr>
            <w:tcW w:w="2551" w:type="dxa"/>
            <w:vAlign w:val="center"/>
          </w:tcPr>
          <w:p>
            <w:pPr>
              <w:pStyle w:val="9"/>
            </w:pPr>
            <w:r>
              <w:t>27.16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6.60</w:t>
            </w:r>
          </w:p>
        </w:tc>
        <w:tc>
          <w:tcPr>
            <w:tcW w:w="2551" w:type="dxa"/>
            <w:vAlign w:val="center"/>
          </w:tcPr>
          <w:p>
            <w:pPr>
              <w:pStyle w:val="9"/>
            </w:pPr>
            <w:r>
              <w:t>6.60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8.95</w:t>
            </w:r>
          </w:p>
        </w:tc>
        <w:tc>
          <w:tcPr>
            <w:tcW w:w="2551" w:type="dxa"/>
            <w:vAlign w:val="center"/>
          </w:tcPr>
          <w:p>
            <w:pPr>
              <w:pStyle w:val="9"/>
            </w:pPr>
            <w:r>
              <w:t>8.95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12.27</w:t>
            </w:r>
          </w:p>
        </w:tc>
        <w:tc>
          <w:tcPr>
            <w:tcW w:w="2551" w:type="dxa"/>
            <w:vAlign w:val="center"/>
          </w:tcPr>
          <w:p>
            <w:pPr>
              <w:pStyle w:val="9"/>
            </w:pPr>
            <w:r>
              <w:t>12.27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0.27</w:t>
            </w:r>
          </w:p>
        </w:tc>
        <w:tc>
          <w:tcPr>
            <w:tcW w:w="2551" w:type="dxa"/>
            <w:vAlign w:val="center"/>
          </w:tcPr>
          <w:p>
            <w:pPr>
              <w:pStyle w:val="9"/>
            </w:pPr>
            <w:r>
              <w:t>0.27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6.87</w:t>
            </w:r>
          </w:p>
        </w:tc>
        <w:tc>
          <w:tcPr>
            <w:tcW w:w="2551" w:type="dxa"/>
            <w:vAlign w:val="center"/>
          </w:tcPr>
          <w:p>
            <w:pPr>
              <w:pStyle w:val="9"/>
            </w:pPr>
            <w:r>
              <w:t>6.87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13.30</w:t>
            </w:r>
          </w:p>
        </w:tc>
        <w:tc>
          <w:tcPr>
            <w:tcW w:w="2551" w:type="dxa"/>
            <w:vAlign w:val="center"/>
          </w:tcPr>
          <w:p>
            <w:pPr>
              <w:pStyle w:val="9"/>
            </w:pPr>
          </w:p>
        </w:tc>
        <w:tc>
          <w:tcPr>
            <w:tcW w:w="2551" w:type="dxa"/>
            <w:vAlign w:val="center"/>
          </w:tcPr>
          <w:p>
            <w:pPr>
              <w:pStyle w:val="9"/>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3.35</w:t>
            </w:r>
          </w:p>
        </w:tc>
        <w:tc>
          <w:tcPr>
            <w:tcW w:w="2551" w:type="dxa"/>
            <w:vAlign w:val="center"/>
          </w:tcPr>
          <w:p>
            <w:pPr>
              <w:pStyle w:val="9"/>
            </w:pPr>
          </w:p>
        </w:tc>
        <w:tc>
          <w:tcPr>
            <w:tcW w:w="2551" w:type="dxa"/>
            <w:vAlign w:val="center"/>
          </w:tcPr>
          <w:p>
            <w:pPr>
              <w:pStyle w:val="9"/>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0.59</w:t>
            </w:r>
          </w:p>
        </w:tc>
        <w:tc>
          <w:tcPr>
            <w:tcW w:w="2551" w:type="dxa"/>
            <w:vAlign w:val="center"/>
          </w:tcPr>
          <w:p>
            <w:pPr>
              <w:pStyle w:val="9"/>
            </w:pPr>
          </w:p>
        </w:tc>
        <w:tc>
          <w:tcPr>
            <w:tcW w:w="2551" w:type="dxa"/>
            <w:vAlign w:val="center"/>
          </w:tcPr>
          <w:p>
            <w:pPr>
              <w:pStyle w:val="9"/>
            </w:pPr>
            <w:r>
              <w:t>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0.74</w:t>
            </w:r>
          </w:p>
        </w:tc>
        <w:tc>
          <w:tcPr>
            <w:tcW w:w="2551" w:type="dxa"/>
            <w:vAlign w:val="center"/>
          </w:tcPr>
          <w:p>
            <w:pPr>
              <w:pStyle w:val="9"/>
            </w:pPr>
          </w:p>
        </w:tc>
        <w:tc>
          <w:tcPr>
            <w:tcW w:w="2551" w:type="dxa"/>
            <w:vAlign w:val="center"/>
          </w:tcPr>
          <w:p>
            <w:pPr>
              <w:pStyle w:val="9"/>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4.62</w:t>
            </w:r>
          </w:p>
        </w:tc>
        <w:tc>
          <w:tcPr>
            <w:tcW w:w="2551" w:type="dxa"/>
            <w:vAlign w:val="center"/>
          </w:tcPr>
          <w:p>
            <w:pPr>
              <w:pStyle w:val="9"/>
            </w:pPr>
          </w:p>
        </w:tc>
        <w:tc>
          <w:tcPr>
            <w:tcW w:w="2551" w:type="dxa"/>
            <w:vAlign w:val="center"/>
          </w:tcPr>
          <w:p>
            <w:pPr>
              <w:pStyle w:val="9"/>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10.85</w:t>
            </w:r>
          </w:p>
        </w:tc>
        <w:tc>
          <w:tcPr>
            <w:tcW w:w="2551" w:type="dxa"/>
            <w:vAlign w:val="center"/>
          </w:tcPr>
          <w:p>
            <w:pPr>
              <w:pStyle w:val="9"/>
            </w:pPr>
            <w:r>
              <w:t>10.85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10.85</w:t>
            </w:r>
          </w:p>
        </w:tc>
        <w:tc>
          <w:tcPr>
            <w:tcW w:w="2551" w:type="dxa"/>
            <w:vAlign w:val="center"/>
          </w:tcPr>
          <w:p>
            <w:pPr>
              <w:pStyle w:val="9"/>
            </w:pPr>
            <w:r>
              <w:t>10.85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0.80</w:t>
            </w:r>
          </w:p>
        </w:tc>
        <w:tc>
          <w:tcPr>
            <w:tcW w:w="2381" w:type="dxa"/>
            <w:vAlign w:val="center"/>
          </w:tcPr>
          <w:p>
            <w:pPr>
              <w:pStyle w:val="9"/>
            </w:pPr>
            <w:r>
              <w:t>0.80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中国共产党唐山市开平区委区直机关工作委员会2025年部门预算信息公开情况说明</w:t>
      </w:r>
    </w:p>
    <w:p>
      <w:pPr>
        <w:jc w:val="center"/>
      </w:pPr>
      <w:r>
        <w:rPr>
          <w:rFonts w:ascii="方正小标宋_GBK" w:hAnsi="方正小标宋_GBK" w:eastAsia="方正小标宋_GBK" w:cs="方正小标宋_GBK"/>
          <w:color w:val="000000"/>
          <w:sz w:val="44"/>
        </w:rPr>
        <w:t>中国共产党唐山市开平区委区直机关工作委员会2025年部门预算信息公开情况说明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按照《中华人民共和国预算法》、《地方预决算公开操作规程》和《关于进一步推进预算公开工作的实施意见》规定，现将中国共产党唐山市开平区委区直机关工作委员会2025年部门预算公开如下：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中国共产党唐山市开平区委区直机关工作委员会本级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按照预算管理有关规定，目前部门预算的编制实行综合预算管理，即全部收入和支出都反映在预算中。中国共产党唐山市开平区委区直机关工作委员会机关及所属事业单位的收支包含在部门预算中。</w:t>
      </w:r>
    </w:p>
    <w:p>
      <w:pPr>
        <w:pStyle w:val="16"/>
      </w:pPr>
      <w:r>
        <w:t>1、收入说明</w:t>
      </w:r>
    </w:p>
    <w:p>
      <w:pPr>
        <w:pStyle w:val="16"/>
      </w:pPr>
      <w:r>
        <w:t>反映本部门当年全部收入。2025年预算收入138.66万元，其中：一般公共预算收入138.66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中国共产党唐山市开平区委区直机关工作委员会年度部门预算中支出预算的总体情况。2025年支出预算138.66万元，其中基本支出133.66万元，包括人员经费120.37万元和日常公用经费13.30万元；项目支出5.00万元，主要为党员宣传教育培训经费。</w:t>
      </w:r>
    </w:p>
    <w:p>
      <w:pPr>
        <w:pStyle w:val="16"/>
      </w:pPr>
      <w:r>
        <w:t>3、比上年增减情况</w:t>
      </w:r>
    </w:p>
    <w:p>
      <w:pPr>
        <w:pStyle w:val="16"/>
      </w:pPr>
      <w:r>
        <w:t>2025年预算收支安排138.66万元，较2024年预算增加3.10万元，其中：基本支出增加3.10万元，主要为工资保险费用增加。项目支出增加0.00万元，主要为党员宣传教育活动预算无变化。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2025年，我部门机关运行经费共计安排13.30万元，主要用于日常维修、办公用房水电费、办公用房取暖费、办公用房物业管理费等日常运行支出。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2025年，我部门财政拨款“三公”经费预算安排0.80万元，其中因公出国（境）费0.00万元；公务用车购置及运维费0.80万元（其中：公务用车购置费为0.00万元，公务用车运维费0.80万元)；公务接待费0.00万元。与2024年相比减少1.20万元，增减变化的主要原因是缩减公务用车，进一步节约办公成本。</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深入贯彻落实党的二十大精神，按照“稳中求进、改革发展”为主题，以建设节约型机关为主线，以制度体系建设为抓手，更加注重问题导向，着力推进机关事务改革创新，着力提高管理能力，着力提升服务水平，着力优化保障质量，努力为建设廉洁务实高效党政机关、为依法全面履行政府职能做出贡献。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pPr>
        <w:spacing w:line="500" w:lineRule="exact"/>
        <w:ind w:firstLine="560"/>
      </w:pPr>
      <w:r>
        <w:rPr>
          <w:rFonts w:eastAsia="方正仿宋_GBK"/>
          <w:color w:val="000000"/>
          <w:sz w:val="28"/>
        </w:rPr>
        <w:t>（二）分项绩效目标</w:t>
      </w:r>
    </w:p>
    <w:p>
      <w:pPr>
        <w:pStyle w:val="20"/>
      </w:pPr>
      <w:r>
        <w:t>(一)突出机关党组织政治建设，强化思想建设</w:t>
      </w:r>
    </w:p>
    <w:p>
      <w:pPr>
        <w:pStyle w:val="20"/>
      </w:pPr>
      <w:r>
        <w:t>绩效目标：扎实推进机关党组织的思想建设，再次掀起党的二十大精神学习热潮，坚持党工委中心组学习，切实增强了党员干部政治素质和思想水平。</w:t>
      </w:r>
    </w:p>
    <w:p>
      <w:pPr>
        <w:pStyle w:val="20"/>
      </w:pPr>
      <w:r>
        <w:t>绩效指标：持续深入学习《习近平谈治国理政》等书目，学习党内重要法规条例，抓住手机微信覆盖面广、交流速度快的特点，利用机关党建群及时发布学习参考资料，以此促进机关党员干部日常学习。积极指导各支部完善并落实理论学习制度，在年初党建考核工作中把理论学习和意识形态工作落实情况作为考核重要内容。大力推进学习强国注册学习，目前已注册学员1580名，其中活跃学员1105名。</w:t>
      </w:r>
    </w:p>
    <w:p>
      <w:pPr>
        <w:pStyle w:val="20"/>
      </w:pPr>
      <w:r>
        <w:t>(二)加强机关党组织党建规范，提升规范化水平</w:t>
      </w:r>
    </w:p>
    <w:p>
      <w:pPr>
        <w:pStyle w:val="20"/>
      </w:pPr>
      <w:r>
        <w:t>绩效目标：要求各机关党组织认真学习贯彻</w:t>
      </w:r>
      <w:r>
        <w:rPr>
          <w:rFonts w:hint="eastAsia"/>
          <w:lang w:eastAsia="zh-CN"/>
        </w:rPr>
        <w:t>《中国共产党支部工作条例（试行）》</w:t>
      </w:r>
      <w:r>
        <w:t>和区委《关于加强区直机关党建的建设规范化的实施意见》，努力夯实机关党支部组织建设基础。</w:t>
      </w:r>
    </w:p>
    <w:p>
      <w:pPr>
        <w:pStyle w:val="20"/>
      </w:pPr>
      <w:r>
        <w:t>绩效指标：年初印发通知，对机关党组织换届进行提醒，并提出规范性指导意见。提高党组织评议满意度、区直党员活动参与率。党工委支持各机关党组织按照“六有”标准，打造党员活动室，指导各单位开展特色主题党日活动。</w:t>
      </w:r>
    </w:p>
    <w:p>
      <w:pPr>
        <w:pStyle w:val="20"/>
      </w:pPr>
      <w:r>
        <w:t>(三)加强机关党风廉政建设，推动全面从严治党</w:t>
      </w:r>
    </w:p>
    <w:p>
      <w:pPr>
        <w:pStyle w:val="20"/>
      </w:pPr>
      <w:r>
        <w:t>绩效目标：贯彻落实《推进深化国家监察体制改革试点工作向开发区和镇（街道）延伸的实施方案》，进一步明确区直纪检监察工委的工作职能。区直纪检监察工委认真贯彻落实中央和省、市、区纪委全会精神，强调持之以恒正风肃纪，不断净化区直机关政治生态。全面落实党风廉政建设宣教任务，突出机关党员干部的党性教育和纪律教育，组织各单位党员观看警示教育专题片，参加区纪委召开的警示教育大会，做到以案为鉴，警钟长鸣。</w:t>
      </w:r>
    </w:p>
    <w:p>
      <w:pPr>
        <w:pStyle w:val="20"/>
      </w:pPr>
      <w:r>
        <w:t>绩效指标：提高区直党员活动参与率同时降低违纪发生率。制定《机关党工委领导班子成员党风廉政建设职责分工》，一把手负总责，落实主体责任；班子成员各负其责，严格履行“一岗双责”责任，进一步梳理明确了领导班子主体责任清单和领导干部个人的责任清单。各单位通过机关楼道文化长廊、宣传栏、照片墙、办公区电子大屏等载体，常态化展示廉洁从政、担当奉献、家风建设等内容，营造了浓厚的廉政文化氛围。在“七一”前后，区直各单位开展主题党日活动，集中强化党章党规党纪教育，组织党员开展革命传统和形势政策教育，到市内廉政教育基地开展参观学习。</w:t>
      </w:r>
    </w:p>
    <w:p>
      <w:pPr>
        <w:spacing w:line="500" w:lineRule="exact"/>
        <w:ind w:firstLine="560"/>
      </w:pPr>
      <w:r>
        <w:rPr>
          <w:rFonts w:eastAsia="方正仿宋_GBK"/>
          <w:color w:val="000000"/>
          <w:sz w:val="28"/>
        </w:rPr>
        <w:t>（三）工作保障措施</w:t>
      </w:r>
    </w:p>
    <w:p>
      <w:pPr>
        <w:pStyle w:val="21"/>
      </w:pPr>
      <w:r>
        <w:t>（一）统一组织、规划、部署区直机关党的工作，提出加强和改进机关党的建设的意见和建议，研究制定工作规划，并抓好组织实施。</w:t>
      </w:r>
    </w:p>
    <w:p>
      <w:pPr>
        <w:pStyle w:val="21"/>
      </w:pPr>
      <w:r>
        <w:t>（二）对区直机关各级党组织、党员领导干部落实党建责任制、遵守政治纪律和政治规矩情况进行监督检查，并向区委报告。</w:t>
      </w:r>
    </w:p>
    <w:p>
      <w:pPr>
        <w:pStyle w:val="21"/>
      </w:pPr>
      <w:r>
        <w:t>（三）指导区直机关党的政治建设、思想建设、组织建设、作风建设、纪律建设，把制度建设贯彻其中，深入推进反腐败斗争。</w:t>
      </w:r>
    </w:p>
    <w:p>
      <w:pPr>
        <w:pStyle w:val="21"/>
      </w:pPr>
      <w:r>
        <w:t>（四）完善制度建设。制定完善预算绩效管理制度、资金管理办法、工作保障制度等，为全年预算绩效目标的实现奠定制度基础。</w:t>
      </w:r>
    </w:p>
    <w:p>
      <w:pPr>
        <w:pStyle w:val="21"/>
      </w:pPr>
      <w:r>
        <w:t>（五）加强支出管理。通过优化支出结构、编细编实预算、加快履行政府采购手续、尽快启动项目、及时支付资金、6月底前细化代编预算、按规定及时下达资金等多种措施，确保支出进度达标。</w:t>
      </w:r>
    </w:p>
    <w:p>
      <w:pPr>
        <w:pStyle w:val="21"/>
      </w:pPr>
      <w:r>
        <w:t>（六）加强绩效运行监控。按要求开展绩效运行监控，发现问题及时采取措施，确保绩效目标如期保质实现。</w:t>
      </w:r>
    </w:p>
    <w:p>
      <w:pPr>
        <w:pStyle w:val="21"/>
      </w:pPr>
      <w:r>
        <w:t>（七）做好绩效自评。按要求开展上年度部门预算绩效自评和重点评价工作，对评价中发现的问题及时整改，调整优化支出结构，提高财政资金使用效益。</w:t>
      </w:r>
    </w:p>
    <w:p>
      <w:pPr>
        <w:pStyle w:val="21"/>
      </w:pPr>
      <w:r>
        <w:t>（八）规范财务资产管理。完善财务管理制度，严格审批程序，加强固定资产登记、使用和报废处置管理，做到支出合理，物尽其用。</w:t>
      </w:r>
    </w:p>
    <w:p>
      <w:pPr>
        <w:pStyle w:val="21"/>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sectPr>
          <w:pgSz w:w="16840" w:h="11900" w:orient="landscape"/>
          <w:pgMar w:top="1361" w:right="1020" w:bottom="1361" w:left="1020" w:header="720" w:footer="720" w:gutter="0"/>
          <w:cols w:space="720" w:num="1"/>
        </w:sectPr>
      </w:pPr>
      <w:r>
        <w:t>（十）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1、本级机关党员宣传教育培训经费绩效目标表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13020525P009154100025</w:t>
            </w:r>
          </w:p>
        </w:tc>
        <w:tc>
          <w:tcPr>
            <w:tcW w:w="2835" w:type="dxa"/>
            <w:vAlign w:val="center"/>
          </w:tcPr>
          <w:p>
            <w:pPr>
              <w:pStyle w:val="8"/>
            </w:pPr>
            <w:r>
              <w:t>项目名称</w:t>
            </w:r>
          </w:p>
        </w:tc>
        <w:tc>
          <w:tcPr>
            <w:tcW w:w="6095" w:type="dxa"/>
            <w:gridSpan w:val="3"/>
            <w:vAlign w:val="center"/>
          </w:tcPr>
          <w:p>
            <w:pPr>
              <w:pStyle w:val="10"/>
            </w:pPr>
            <w:r>
              <w:t>本级机关党员宣传教育培训经费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组织党务干部专题培训，庆"七一"等系列活动，评选表彰先进基层党组织、优秀党务工作者、优秀共产党员；组织党员干部专题讲座、党务干部专题培训、到爱国主义基层参观学习等一系列活动。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为活跃机关党建工作，全面提升机关党员和党务干部政治业务素质，将陆续组织党务干部专题培训，庆"七一"等系列活动。评选表彰先进基层党组织、优秀党务工作者、优秀共产党员；组织党员干部专题讲座、党务干部专题培训、到爱国主义基层参观学习等一系列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培训人员数量</w:t>
            </w:r>
          </w:p>
          <w:p>
            <w:pPr>
              <w:pStyle w:val="10"/>
            </w:pPr>
          </w:p>
        </w:tc>
        <w:tc>
          <w:tcPr>
            <w:tcW w:w="5386" w:type="dxa"/>
            <w:vAlign w:val="center"/>
          </w:tcPr>
          <w:p>
            <w:pPr>
              <w:pStyle w:val="10"/>
            </w:pPr>
            <w:r>
              <w:t>本年度参加培训人员数量</w:t>
            </w:r>
          </w:p>
        </w:tc>
        <w:tc>
          <w:tcPr>
            <w:tcW w:w="2268" w:type="dxa"/>
            <w:vAlign w:val="center"/>
          </w:tcPr>
          <w:p>
            <w:pPr>
              <w:pStyle w:val="10"/>
            </w:pPr>
            <w:r>
              <w:t>≥400人次</w:t>
            </w:r>
          </w:p>
        </w:tc>
        <w:tc>
          <w:tcPr>
            <w:tcW w:w="1276" w:type="dxa"/>
            <w:vAlign w:val="center"/>
          </w:tcPr>
          <w:p>
            <w:pPr>
              <w:pStyle w:val="10"/>
            </w:pPr>
            <w:r>
              <w:t>参加培训活动人员数量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宣传教育培训合格率</w:t>
            </w:r>
          </w:p>
          <w:p>
            <w:pPr>
              <w:pStyle w:val="10"/>
            </w:pPr>
          </w:p>
        </w:tc>
        <w:tc>
          <w:tcPr>
            <w:tcW w:w="5386" w:type="dxa"/>
            <w:vAlign w:val="center"/>
          </w:tcPr>
          <w:p>
            <w:pPr>
              <w:pStyle w:val="10"/>
            </w:pPr>
            <w:r>
              <w:t>接受宣传教育培训合格率</w:t>
            </w:r>
          </w:p>
        </w:tc>
        <w:tc>
          <w:tcPr>
            <w:tcW w:w="2268" w:type="dxa"/>
            <w:vAlign w:val="center"/>
          </w:tcPr>
          <w:p>
            <w:pPr>
              <w:pStyle w:val="10"/>
            </w:pPr>
            <w:r>
              <w:t>≥95%</w:t>
            </w:r>
          </w:p>
        </w:tc>
        <w:tc>
          <w:tcPr>
            <w:tcW w:w="1276" w:type="dxa"/>
            <w:vAlign w:val="center"/>
          </w:tcPr>
          <w:p>
            <w:pPr>
              <w:pStyle w:val="10"/>
            </w:pPr>
            <w:r>
              <w:t>参加培训合格率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开展培训教育费用使用</w:t>
            </w:r>
          </w:p>
          <w:p>
            <w:pPr>
              <w:pStyle w:val="10"/>
            </w:pPr>
          </w:p>
        </w:tc>
        <w:tc>
          <w:tcPr>
            <w:tcW w:w="5386" w:type="dxa"/>
            <w:vAlign w:val="center"/>
          </w:tcPr>
          <w:p>
            <w:pPr>
              <w:pStyle w:val="10"/>
            </w:pPr>
            <w:r>
              <w:t>开展培训教育费用</w:t>
            </w:r>
          </w:p>
        </w:tc>
        <w:tc>
          <w:tcPr>
            <w:tcW w:w="2268" w:type="dxa"/>
            <w:vAlign w:val="center"/>
          </w:tcPr>
          <w:p>
            <w:pPr>
              <w:pStyle w:val="10"/>
            </w:pPr>
            <w:r>
              <w:t>5万元</w:t>
            </w:r>
          </w:p>
        </w:tc>
        <w:tc>
          <w:tcPr>
            <w:tcW w:w="1276" w:type="dxa"/>
            <w:vAlign w:val="center"/>
          </w:tcPr>
          <w:p>
            <w:pPr>
              <w:pStyle w:val="10"/>
            </w:pPr>
            <w:r>
              <w:t>开展培训教育活动总费用5万元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培训完成时限</w:t>
            </w:r>
          </w:p>
        </w:tc>
        <w:tc>
          <w:tcPr>
            <w:tcW w:w="5386" w:type="dxa"/>
            <w:vAlign w:val="center"/>
          </w:tcPr>
          <w:p>
            <w:pPr>
              <w:pStyle w:val="10"/>
            </w:pPr>
            <w:r>
              <w:t>培训教育完成时限</w:t>
            </w:r>
          </w:p>
        </w:tc>
        <w:tc>
          <w:tcPr>
            <w:tcW w:w="2268" w:type="dxa"/>
            <w:vAlign w:val="center"/>
          </w:tcPr>
          <w:p>
            <w:pPr>
              <w:pStyle w:val="10"/>
            </w:pPr>
            <w:r>
              <w:t>12月份</w:t>
            </w:r>
          </w:p>
        </w:tc>
        <w:tc>
          <w:tcPr>
            <w:tcW w:w="1276" w:type="dxa"/>
            <w:vAlign w:val="center"/>
          </w:tcPr>
          <w:p>
            <w:pPr>
              <w:pStyle w:val="10"/>
            </w:pPr>
            <w:r>
              <w:t>培训教育活动在12月底前完成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提升业务能力</w:t>
            </w:r>
          </w:p>
          <w:p>
            <w:pPr>
              <w:pStyle w:val="10"/>
            </w:pPr>
          </w:p>
        </w:tc>
        <w:tc>
          <w:tcPr>
            <w:tcW w:w="5386" w:type="dxa"/>
            <w:vAlign w:val="center"/>
          </w:tcPr>
          <w:p>
            <w:pPr>
              <w:pStyle w:val="10"/>
            </w:pPr>
            <w:r>
              <w:t>提升政策理论水平</w:t>
            </w:r>
          </w:p>
        </w:tc>
        <w:tc>
          <w:tcPr>
            <w:tcW w:w="2268" w:type="dxa"/>
            <w:vAlign w:val="center"/>
          </w:tcPr>
          <w:p>
            <w:pPr>
              <w:pStyle w:val="10"/>
            </w:pPr>
            <w:r>
              <w:t>政策理论水平提升</w:t>
            </w:r>
          </w:p>
        </w:tc>
        <w:tc>
          <w:tcPr>
            <w:tcW w:w="1276" w:type="dxa"/>
            <w:vAlign w:val="center"/>
          </w:tcPr>
          <w:p>
            <w:pPr>
              <w:pStyle w:val="10"/>
            </w:pPr>
            <w:r>
              <w:t>政策理论水平提升，工作效率提高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营造浓厚学习氛围</w:t>
            </w:r>
          </w:p>
          <w:p>
            <w:pPr>
              <w:pStyle w:val="10"/>
            </w:pPr>
          </w:p>
        </w:tc>
        <w:tc>
          <w:tcPr>
            <w:tcW w:w="5386" w:type="dxa"/>
            <w:vAlign w:val="center"/>
          </w:tcPr>
          <w:p>
            <w:pPr>
              <w:pStyle w:val="10"/>
            </w:pPr>
            <w:r>
              <w:t>营造浓厚学习氛围</w:t>
            </w:r>
          </w:p>
        </w:tc>
        <w:tc>
          <w:tcPr>
            <w:tcW w:w="2268" w:type="dxa"/>
            <w:vAlign w:val="center"/>
          </w:tcPr>
          <w:p>
            <w:pPr>
              <w:pStyle w:val="10"/>
            </w:pPr>
            <w:r>
              <w:t>营造浓厚学习氛围</w:t>
            </w:r>
          </w:p>
        </w:tc>
        <w:tc>
          <w:tcPr>
            <w:tcW w:w="1276" w:type="dxa"/>
            <w:vAlign w:val="center"/>
          </w:tcPr>
          <w:p>
            <w:pPr>
              <w:pStyle w:val="10"/>
            </w:pPr>
            <w:r>
              <w:t>营造浓厚的学习氛围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党员理论学习参与率</w:t>
            </w:r>
          </w:p>
        </w:tc>
        <w:tc>
          <w:tcPr>
            <w:tcW w:w="5386" w:type="dxa"/>
            <w:vAlign w:val="center"/>
          </w:tcPr>
          <w:p>
            <w:pPr>
              <w:pStyle w:val="10"/>
            </w:pPr>
            <w:r>
              <w:t>党员积极参加理论学习</w:t>
            </w:r>
          </w:p>
        </w:tc>
        <w:tc>
          <w:tcPr>
            <w:tcW w:w="2268" w:type="dxa"/>
            <w:vAlign w:val="center"/>
          </w:tcPr>
          <w:p>
            <w:pPr>
              <w:pStyle w:val="10"/>
            </w:pPr>
            <w:r>
              <w:t>党员积极参加理论学习</w:t>
            </w:r>
          </w:p>
        </w:tc>
        <w:tc>
          <w:tcPr>
            <w:tcW w:w="1276" w:type="dxa"/>
            <w:vAlign w:val="center"/>
          </w:tcPr>
          <w:p>
            <w:pPr>
              <w:pStyle w:val="10"/>
            </w:pPr>
            <w:r>
              <w:t>党员积极参加理论学习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机关干部满意度</w:t>
            </w:r>
          </w:p>
          <w:p>
            <w:pPr>
              <w:pStyle w:val="10"/>
            </w:pPr>
          </w:p>
        </w:tc>
        <w:tc>
          <w:tcPr>
            <w:tcW w:w="5386" w:type="dxa"/>
            <w:vAlign w:val="center"/>
          </w:tcPr>
          <w:p>
            <w:pPr>
              <w:pStyle w:val="10"/>
            </w:pPr>
            <w:r>
              <w:t>机关干部满意度</w:t>
            </w:r>
          </w:p>
        </w:tc>
        <w:tc>
          <w:tcPr>
            <w:tcW w:w="2268" w:type="dxa"/>
            <w:vAlign w:val="center"/>
          </w:tcPr>
          <w:p>
            <w:pPr>
              <w:pStyle w:val="10"/>
            </w:pPr>
            <w:r>
              <w:t>≥90%</w:t>
            </w:r>
          </w:p>
        </w:tc>
        <w:tc>
          <w:tcPr>
            <w:tcW w:w="1276" w:type="dxa"/>
            <w:vAlign w:val="center"/>
          </w:tcPr>
          <w:p>
            <w:pPr>
              <w:pStyle w:val="10"/>
            </w:pPr>
            <w:r>
              <w:t>机关干部满意度</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中国共产党唐山市开平区委区直机关工作委员会（含所属单位）上年末固定资产金额为</w:t>
      </w:r>
      <w:r>
        <w:rPr>
          <w:rFonts w:hint="eastAsia" w:eastAsia="方正仿宋_GBK"/>
          <w:color w:val="000000"/>
          <w:sz w:val="28"/>
          <w:lang w:eastAsia="zh-CN"/>
        </w:rPr>
        <w:t>20.04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286中国共产党唐山市开平区委区直机关工作委员会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w:t>
            </w:r>
            <w:r>
              <w:rPr>
                <w:rFonts w:hint="eastAsia" w:eastAsiaTheme="minorEastAsia"/>
                <w:lang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20</w:t>
            </w:r>
            <w:r>
              <w:rPr>
                <w:rFonts w:hint="eastAsia" w:eastAsiaTheme="minorEastAsia"/>
                <w:lang w:eastAsia="zh-CN"/>
              </w:rPr>
              <w:t>.</w:t>
            </w:r>
            <w: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14</w:t>
            </w:r>
            <w:r>
              <w:rPr>
                <w:rFonts w:hint="eastAsia" w:eastAsiaTheme="minorEastAsia"/>
                <w:lang w:eastAsia="zh-CN"/>
              </w:rPr>
              <w:t>.</w:t>
            </w: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29</w:t>
            </w:r>
          </w:p>
        </w:tc>
        <w:tc>
          <w:tcPr>
            <w:tcW w:w="2835" w:type="dxa"/>
            <w:vAlign w:val="center"/>
          </w:tcPr>
          <w:p>
            <w:pPr>
              <w:pStyle w:val="9"/>
            </w:pPr>
            <w:r>
              <w:t>5</w:t>
            </w:r>
            <w:r>
              <w:rPr>
                <w:rFonts w:hint="eastAsia" w:eastAsiaTheme="minorEastAsia"/>
                <w:lang w:eastAsia="zh-CN"/>
              </w:rPr>
              <w:t>.</w:t>
            </w:r>
            <w:r>
              <w:t>84</w:t>
            </w:r>
          </w:p>
        </w:tc>
      </w:tr>
    </w:tbl>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420"/>
        <w:rPr>
          <w:rFonts w:hint="eastAsia" w:ascii="方正书宋_GBK" w:hAnsi="方正书宋_GBK" w:cs="方正书宋_GBK" w:eastAsiaTheme="minorEastAsia"/>
          <w:color w:val="000000"/>
          <w:sz w:val="21"/>
          <w:lang w:eastAsia="zh-CN"/>
        </w:rPr>
      </w:pPr>
    </w:p>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C2041"/>
    <w:rsid w:val="00270C99"/>
    <w:rsid w:val="004C2041"/>
    <w:rsid w:val="006441A5"/>
    <w:rsid w:val="00D535C2"/>
    <w:rsid w:val="00F87916"/>
    <w:rsid w:val="474C1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1907</Words>
  <Characters>10873</Characters>
  <Lines>90</Lines>
  <Paragraphs>25</Paragraphs>
  <TotalTime>13</TotalTime>
  <ScaleCrop>false</ScaleCrop>
  <LinksUpToDate>false</LinksUpToDate>
  <CharactersWithSpaces>12755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2025-02-13T14:18:00Z</dcterms:created>
  <dc:creator>hp</dc:creator>
  <cp:lastModifiedBy>hp</cp:lastModifiedBy>
  <dcterms:modified xsi:type="dcterms:W3CDTF">2025-02-14T06:56:47Z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