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sz w:val="24"/>
          <w:szCs w:val="24"/>
        </w:rPr>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bookmarkStart w:id="20" w:name="_GoBack"/>
      <w:bookmarkEnd w:id="20"/>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130.28</w:t>
            </w:r>
          </w:p>
        </w:tc>
        <w:tc>
          <w:tcPr>
            <w:tcW w:w="4535" w:type="dxa"/>
            <w:vAlign w:val="center"/>
          </w:tcPr>
          <w:p>
            <w:pPr>
              <w:pStyle w:val="13"/>
            </w:pPr>
            <w:r>
              <w:t>一、一般公共服务支出</w:t>
            </w:r>
          </w:p>
        </w:tc>
        <w:tc>
          <w:tcPr>
            <w:tcW w:w="2126" w:type="dxa"/>
            <w:vAlign w:val="center"/>
          </w:tcPr>
          <w:p>
            <w:pPr>
              <w:pStyle w:val="12"/>
            </w:pPr>
            <w:r>
              <w:t>96.09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130.28</w:t>
            </w:r>
          </w:p>
        </w:tc>
        <w:tc>
          <w:tcPr>
            <w:tcW w:w="4535" w:type="dxa"/>
            <w:vAlign w:val="center"/>
          </w:tcPr>
          <w:p>
            <w:pPr>
              <w:pStyle w:val="15"/>
            </w:pPr>
            <w:r>
              <w:t>本年支出合计</w:t>
            </w:r>
          </w:p>
        </w:tc>
        <w:tc>
          <w:tcPr>
            <w:tcW w:w="2126" w:type="dxa"/>
            <w:vAlign w:val="center"/>
          </w:tcPr>
          <w:p>
            <w:pPr>
              <w:pStyle w:val="16"/>
            </w:pPr>
            <w:r>
              <w:t>130.28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130.28</w:t>
            </w:r>
          </w:p>
        </w:tc>
        <w:tc>
          <w:tcPr>
            <w:tcW w:w="4535" w:type="dxa"/>
            <w:vAlign w:val="center"/>
          </w:tcPr>
          <w:p>
            <w:pPr>
              <w:pStyle w:val="15"/>
            </w:pPr>
            <w:r>
              <w:t>支出总计</w:t>
            </w:r>
          </w:p>
        </w:tc>
        <w:tc>
          <w:tcPr>
            <w:tcW w:w="2126" w:type="dxa"/>
            <w:vAlign w:val="center"/>
          </w:tcPr>
          <w:p>
            <w:pPr>
              <w:pStyle w:val="16"/>
            </w:pPr>
            <w:r>
              <w:t>130.28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130.28</w:t>
            </w:r>
          </w:p>
        </w:tc>
        <w:tc>
          <w:tcPr>
            <w:tcW w:w="1134" w:type="dxa"/>
            <w:vAlign w:val="center"/>
          </w:tcPr>
          <w:p>
            <w:pPr>
              <w:pStyle w:val="16"/>
            </w:pPr>
            <w:r>
              <w:t>130.28</w:t>
            </w:r>
          </w:p>
        </w:tc>
        <w:tc>
          <w:tcPr>
            <w:tcW w:w="1134" w:type="dxa"/>
            <w:vAlign w:val="center"/>
          </w:tcPr>
          <w:p>
            <w:pPr>
              <w:pStyle w:val="16"/>
            </w:pPr>
            <w:r>
              <w:t>130.28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r>
              <w:t>96.09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r>
              <w:t>14.93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r>
              <w:t>12.91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r>
              <w:t>6.35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130.28</w:t>
            </w:r>
          </w:p>
        </w:tc>
        <w:tc>
          <w:tcPr>
            <w:tcW w:w="1361" w:type="dxa"/>
            <w:vAlign w:val="center"/>
          </w:tcPr>
          <w:p>
            <w:pPr>
              <w:pStyle w:val="16"/>
            </w:pPr>
            <w:r>
              <w:t>130.28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96.09</w:t>
            </w:r>
          </w:p>
        </w:tc>
        <w:tc>
          <w:tcPr>
            <w:tcW w:w="1361" w:type="dxa"/>
            <w:vAlign w:val="center"/>
          </w:tcPr>
          <w:p>
            <w:pPr>
              <w:pStyle w:val="12"/>
            </w:pPr>
            <w:r>
              <w:t>96.09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96.09</w:t>
            </w:r>
          </w:p>
        </w:tc>
        <w:tc>
          <w:tcPr>
            <w:tcW w:w="1361" w:type="dxa"/>
            <w:vAlign w:val="center"/>
          </w:tcPr>
          <w:p>
            <w:pPr>
              <w:pStyle w:val="12"/>
            </w:pPr>
            <w:r>
              <w:t>96.09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96.09</w:t>
            </w:r>
          </w:p>
        </w:tc>
        <w:tc>
          <w:tcPr>
            <w:tcW w:w="1361" w:type="dxa"/>
            <w:vAlign w:val="center"/>
          </w:tcPr>
          <w:p>
            <w:pPr>
              <w:pStyle w:val="12"/>
            </w:pPr>
            <w:r>
              <w:t>96.09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14.93</w:t>
            </w:r>
          </w:p>
        </w:tc>
        <w:tc>
          <w:tcPr>
            <w:tcW w:w="1361" w:type="dxa"/>
            <w:vAlign w:val="center"/>
          </w:tcPr>
          <w:p>
            <w:pPr>
              <w:pStyle w:val="12"/>
            </w:pPr>
            <w:r>
              <w:t>14.93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14.93</w:t>
            </w:r>
          </w:p>
        </w:tc>
        <w:tc>
          <w:tcPr>
            <w:tcW w:w="1361" w:type="dxa"/>
            <w:vAlign w:val="center"/>
          </w:tcPr>
          <w:p>
            <w:pPr>
              <w:pStyle w:val="12"/>
            </w:pPr>
            <w:r>
              <w:t>14.93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14.93</w:t>
            </w:r>
          </w:p>
        </w:tc>
        <w:tc>
          <w:tcPr>
            <w:tcW w:w="1361" w:type="dxa"/>
            <w:vAlign w:val="center"/>
          </w:tcPr>
          <w:p>
            <w:pPr>
              <w:pStyle w:val="12"/>
            </w:pPr>
            <w:r>
              <w:t>14.93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12.91</w:t>
            </w:r>
          </w:p>
        </w:tc>
        <w:tc>
          <w:tcPr>
            <w:tcW w:w="1361" w:type="dxa"/>
            <w:vAlign w:val="center"/>
          </w:tcPr>
          <w:p>
            <w:pPr>
              <w:pStyle w:val="12"/>
            </w:pPr>
            <w:r>
              <w:t>12.91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12.91</w:t>
            </w:r>
          </w:p>
        </w:tc>
        <w:tc>
          <w:tcPr>
            <w:tcW w:w="1361" w:type="dxa"/>
            <w:vAlign w:val="center"/>
          </w:tcPr>
          <w:p>
            <w:pPr>
              <w:pStyle w:val="12"/>
            </w:pPr>
            <w:r>
              <w:t>12.91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12.91</w:t>
            </w:r>
          </w:p>
        </w:tc>
        <w:tc>
          <w:tcPr>
            <w:tcW w:w="1361" w:type="dxa"/>
            <w:vAlign w:val="center"/>
          </w:tcPr>
          <w:p>
            <w:pPr>
              <w:pStyle w:val="12"/>
            </w:pPr>
            <w:r>
              <w:t>12.91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6.35</w:t>
            </w:r>
          </w:p>
        </w:tc>
        <w:tc>
          <w:tcPr>
            <w:tcW w:w="1361" w:type="dxa"/>
            <w:vAlign w:val="center"/>
          </w:tcPr>
          <w:p>
            <w:pPr>
              <w:pStyle w:val="12"/>
            </w:pPr>
            <w:r>
              <w:t>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6.35</w:t>
            </w:r>
          </w:p>
        </w:tc>
        <w:tc>
          <w:tcPr>
            <w:tcW w:w="1361" w:type="dxa"/>
            <w:vAlign w:val="center"/>
          </w:tcPr>
          <w:p>
            <w:pPr>
              <w:pStyle w:val="12"/>
            </w:pPr>
            <w:r>
              <w:t>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6.35</w:t>
            </w:r>
          </w:p>
        </w:tc>
        <w:tc>
          <w:tcPr>
            <w:tcW w:w="1361" w:type="dxa"/>
            <w:vAlign w:val="center"/>
          </w:tcPr>
          <w:p>
            <w:pPr>
              <w:pStyle w:val="12"/>
            </w:pPr>
            <w:r>
              <w:t>6.35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130.28</w:t>
            </w:r>
          </w:p>
        </w:tc>
        <w:tc>
          <w:tcPr>
            <w:tcW w:w="3402" w:type="dxa"/>
            <w:vAlign w:val="center"/>
          </w:tcPr>
          <w:p>
            <w:pPr>
              <w:pStyle w:val="13"/>
            </w:pPr>
            <w:r>
              <w:t>一、一般公共服务支出</w:t>
            </w:r>
          </w:p>
        </w:tc>
        <w:tc>
          <w:tcPr>
            <w:tcW w:w="1474" w:type="dxa"/>
            <w:vAlign w:val="center"/>
          </w:tcPr>
          <w:p>
            <w:pPr>
              <w:pStyle w:val="12"/>
            </w:pPr>
            <w:r>
              <w:t>96.09</w:t>
            </w:r>
          </w:p>
        </w:tc>
        <w:tc>
          <w:tcPr>
            <w:tcW w:w="1474" w:type="dxa"/>
            <w:vAlign w:val="center"/>
          </w:tcPr>
          <w:p>
            <w:pPr>
              <w:pStyle w:val="12"/>
            </w:pPr>
            <w:r>
              <w:t>96.09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14.93</w:t>
            </w:r>
          </w:p>
        </w:tc>
        <w:tc>
          <w:tcPr>
            <w:tcW w:w="1474" w:type="dxa"/>
            <w:vAlign w:val="center"/>
          </w:tcPr>
          <w:p>
            <w:pPr>
              <w:pStyle w:val="12"/>
            </w:pPr>
            <w:r>
              <w:t>14.93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12.91</w:t>
            </w:r>
          </w:p>
        </w:tc>
        <w:tc>
          <w:tcPr>
            <w:tcW w:w="1474" w:type="dxa"/>
            <w:vAlign w:val="center"/>
          </w:tcPr>
          <w:p>
            <w:pPr>
              <w:pStyle w:val="12"/>
            </w:pPr>
            <w:r>
              <w:t>12.91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6.35</w:t>
            </w:r>
          </w:p>
        </w:tc>
        <w:tc>
          <w:tcPr>
            <w:tcW w:w="1474" w:type="dxa"/>
            <w:vAlign w:val="center"/>
          </w:tcPr>
          <w:p>
            <w:pPr>
              <w:pStyle w:val="12"/>
            </w:pPr>
            <w:r>
              <w:t>6.35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130.28</w:t>
            </w:r>
          </w:p>
        </w:tc>
        <w:tc>
          <w:tcPr>
            <w:tcW w:w="3402" w:type="dxa"/>
            <w:vAlign w:val="center"/>
          </w:tcPr>
          <w:p>
            <w:pPr>
              <w:pStyle w:val="15"/>
            </w:pPr>
            <w:r>
              <w:t>本年支出合计</w:t>
            </w:r>
          </w:p>
        </w:tc>
        <w:tc>
          <w:tcPr>
            <w:tcW w:w="1474" w:type="dxa"/>
            <w:vAlign w:val="center"/>
          </w:tcPr>
          <w:p>
            <w:pPr>
              <w:pStyle w:val="16"/>
            </w:pPr>
            <w:r>
              <w:t>130.28</w:t>
            </w:r>
          </w:p>
        </w:tc>
        <w:tc>
          <w:tcPr>
            <w:tcW w:w="1474" w:type="dxa"/>
            <w:vAlign w:val="center"/>
          </w:tcPr>
          <w:p>
            <w:pPr>
              <w:pStyle w:val="16"/>
            </w:pPr>
            <w:r>
              <w:t>130.28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130.28</w:t>
            </w:r>
          </w:p>
        </w:tc>
        <w:tc>
          <w:tcPr>
            <w:tcW w:w="3402" w:type="dxa"/>
            <w:vAlign w:val="center"/>
          </w:tcPr>
          <w:p>
            <w:pPr>
              <w:pStyle w:val="15"/>
            </w:pPr>
            <w:r>
              <w:t>支出总计</w:t>
            </w:r>
          </w:p>
        </w:tc>
        <w:tc>
          <w:tcPr>
            <w:tcW w:w="1474" w:type="dxa"/>
            <w:vAlign w:val="center"/>
          </w:tcPr>
          <w:p>
            <w:pPr>
              <w:pStyle w:val="16"/>
            </w:pPr>
            <w:r>
              <w:t>130.28</w:t>
            </w:r>
          </w:p>
        </w:tc>
        <w:tc>
          <w:tcPr>
            <w:tcW w:w="1474" w:type="dxa"/>
            <w:vAlign w:val="center"/>
          </w:tcPr>
          <w:p>
            <w:pPr>
              <w:pStyle w:val="16"/>
            </w:pPr>
            <w:r>
              <w:t>130.28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130.28</w:t>
            </w:r>
          </w:p>
        </w:tc>
        <w:tc>
          <w:tcPr>
            <w:tcW w:w="2551" w:type="dxa"/>
            <w:vAlign w:val="center"/>
          </w:tcPr>
          <w:p>
            <w:pPr>
              <w:pStyle w:val="16"/>
            </w:pPr>
            <w:r>
              <w:t>130.28</w:t>
            </w:r>
          </w:p>
        </w:tc>
        <w:tc>
          <w:tcPr>
            <w:tcW w:w="255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96.09</w:t>
            </w:r>
          </w:p>
        </w:tc>
        <w:tc>
          <w:tcPr>
            <w:tcW w:w="2551" w:type="dxa"/>
            <w:vAlign w:val="center"/>
          </w:tcPr>
          <w:p>
            <w:pPr>
              <w:pStyle w:val="12"/>
            </w:pPr>
            <w:r>
              <w:t>96.09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96.09</w:t>
            </w:r>
          </w:p>
        </w:tc>
        <w:tc>
          <w:tcPr>
            <w:tcW w:w="2551" w:type="dxa"/>
            <w:vAlign w:val="center"/>
          </w:tcPr>
          <w:p>
            <w:pPr>
              <w:pStyle w:val="12"/>
            </w:pPr>
            <w:r>
              <w:t>96.09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96.09</w:t>
            </w:r>
          </w:p>
        </w:tc>
        <w:tc>
          <w:tcPr>
            <w:tcW w:w="2551" w:type="dxa"/>
            <w:vAlign w:val="center"/>
          </w:tcPr>
          <w:p>
            <w:pPr>
              <w:pStyle w:val="12"/>
            </w:pPr>
            <w:r>
              <w:t>96.09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14.93</w:t>
            </w:r>
          </w:p>
        </w:tc>
        <w:tc>
          <w:tcPr>
            <w:tcW w:w="2551" w:type="dxa"/>
            <w:vAlign w:val="center"/>
          </w:tcPr>
          <w:p>
            <w:pPr>
              <w:pStyle w:val="12"/>
            </w:pPr>
            <w:r>
              <w:t>14.93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14.93</w:t>
            </w:r>
          </w:p>
        </w:tc>
        <w:tc>
          <w:tcPr>
            <w:tcW w:w="2551" w:type="dxa"/>
            <w:vAlign w:val="center"/>
          </w:tcPr>
          <w:p>
            <w:pPr>
              <w:pStyle w:val="12"/>
            </w:pPr>
            <w:r>
              <w:t>14.93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14.93</w:t>
            </w:r>
          </w:p>
        </w:tc>
        <w:tc>
          <w:tcPr>
            <w:tcW w:w="2551" w:type="dxa"/>
            <w:vAlign w:val="center"/>
          </w:tcPr>
          <w:p>
            <w:pPr>
              <w:pStyle w:val="12"/>
            </w:pPr>
            <w:r>
              <w:t>14.93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12.91</w:t>
            </w:r>
          </w:p>
        </w:tc>
        <w:tc>
          <w:tcPr>
            <w:tcW w:w="2551" w:type="dxa"/>
            <w:vAlign w:val="center"/>
          </w:tcPr>
          <w:p>
            <w:pPr>
              <w:pStyle w:val="12"/>
            </w:pPr>
            <w:r>
              <w:t>12.91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12.91</w:t>
            </w:r>
          </w:p>
        </w:tc>
        <w:tc>
          <w:tcPr>
            <w:tcW w:w="2551" w:type="dxa"/>
            <w:vAlign w:val="center"/>
          </w:tcPr>
          <w:p>
            <w:pPr>
              <w:pStyle w:val="12"/>
            </w:pPr>
            <w:r>
              <w:t>12.91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12.91</w:t>
            </w:r>
          </w:p>
        </w:tc>
        <w:tc>
          <w:tcPr>
            <w:tcW w:w="2551" w:type="dxa"/>
            <w:vAlign w:val="center"/>
          </w:tcPr>
          <w:p>
            <w:pPr>
              <w:pStyle w:val="12"/>
            </w:pPr>
            <w:r>
              <w:t>12.91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6.35</w:t>
            </w:r>
          </w:p>
        </w:tc>
        <w:tc>
          <w:tcPr>
            <w:tcW w:w="2551" w:type="dxa"/>
            <w:vAlign w:val="center"/>
          </w:tcPr>
          <w:p>
            <w:pPr>
              <w:pStyle w:val="12"/>
            </w:pPr>
            <w:r>
              <w:t>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6.35</w:t>
            </w:r>
          </w:p>
        </w:tc>
        <w:tc>
          <w:tcPr>
            <w:tcW w:w="2551" w:type="dxa"/>
            <w:vAlign w:val="center"/>
          </w:tcPr>
          <w:p>
            <w:pPr>
              <w:pStyle w:val="12"/>
            </w:pPr>
            <w:r>
              <w:t>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6.35</w:t>
            </w:r>
          </w:p>
        </w:tc>
        <w:tc>
          <w:tcPr>
            <w:tcW w:w="2551" w:type="dxa"/>
            <w:vAlign w:val="center"/>
          </w:tcPr>
          <w:p>
            <w:pPr>
              <w:pStyle w:val="12"/>
            </w:pPr>
            <w:r>
              <w:t>6.35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130.28</w:t>
            </w:r>
          </w:p>
        </w:tc>
        <w:tc>
          <w:tcPr>
            <w:tcW w:w="2551" w:type="dxa"/>
            <w:vAlign w:val="center"/>
          </w:tcPr>
          <w:p>
            <w:pPr>
              <w:pStyle w:val="16"/>
            </w:pPr>
            <w:r>
              <w:t>117.47</w:t>
            </w:r>
          </w:p>
        </w:tc>
        <w:tc>
          <w:tcPr>
            <w:tcW w:w="2551" w:type="dxa"/>
            <w:vAlign w:val="center"/>
          </w:tcPr>
          <w:p>
            <w:pPr>
              <w:pStyle w:val="16"/>
            </w:pPr>
            <w:r>
              <w:t>12.81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103.44</w:t>
            </w:r>
          </w:p>
        </w:tc>
        <w:tc>
          <w:tcPr>
            <w:tcW w:w="2551" w:type="dxa"/>
            <w:vAlign w:val="center"/>
          </w:tcPr>
          <w:p>
            <w:pPr>
              <w:pStyle w:val="12"/>
            </w:pPr>
            <w:r>
              <w:t>103.44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43.67</w:t>
            </w:r>
          </w:p>
        </w:tc>
        <w:tc>
          <w:tcPr>
            <w:tcW w:w="2551" w:type="dxa"/>
            <w:vAlign w:val="center"/>
          </w:tcPr>
          <w:p>
            <w:pPr>
              <w:pStyle w:val="12"/>
            </w:pPr>
            <w:r>
              <w:t>43.67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25.85</w:t>
            </w:r>
          </w:p>
        </w:tc>
        <w:tc>
          <w:tcPr>
            <w:tcW w:w="2551" w:type="dxa"/>
            <w:vAlign w:val="center"/>
          </w:tcPr>
          <w:p>
            <w:pPr>
              <w:pStyle w:val="12"/>
            </w:pPr>
            <w:r>
              <w:t>25.85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6.16</w:t>
            </w:r>
          </w:p>
        </w:tc>
        <w:tc>
          <w:tcPr>
            <w:tcW w:w="2551" w:type="dxa"/>
            <w:vAlign w:val="center"/>
          </w:tcPr>
          <w:p>
            <w:pPr>
              <w:pStyle w:val="12"/>
            </w:pPr>
            <w:r>
              <w:t>6.16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8.26</w:t>
            </w:r>
          </w:p>
        </w:tc>
        <w:tc>
          <w:tcPr>
            <w:tcW w:w="2551" w:type="dxa"/>
            <w:vAlign w:val="center"/>
          </w:tcPr>
          <w:p>
            <w:pPr>
              <w:pStyle w:val="12"/>
            </w:pPr>
            <w:r>
              <w:t>8.26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12.91</w:t>
            </w:r>
          </w:p>
        </w:tc>
        <w:tc>
          <w:tcPr>
            <w:tcW w:w="2551" w:type="dxa"/>
            <w:vAlign w:val="center"/>
          </w:tcPr>
          <w:p>
            <w:pPr>
              <w:pStyle w:val="12"/>
            </w:pPr>
            <w:r>
              <w:t>12.91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0.24</w:t>
            </w:r>
          </w:p>
        </w:tc>
        <w:tc>
          <w:tcPr>
            <w:tcW w:w="2551" w:type="dxa"/>
            <w:vAlign w:val="center"/>
          </w:tcPr>
          <w:p>
            <w:pPr>
              <w:pStyle w:val="12"/>
            </w:pPr>
            <w:r>
              <w:t>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6.35</w:t>
            </w:r>
          </w:p>
        </w:tc>
        <w:tc>
          <w:tcPr>
            <w:tcW w:w="2551" w:type="dxa"/>
            <w:vAlign w:val="center"/>
          </w:tcPr>
          <w:p>
            <w:pPr>
              <w:pStyle w:val="12"/>
            </w:pPr>
            <w:r>
              <w:t>6.35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12.81</w:t>
            </w:r>
          </w:p>
        </w:tc>
        <w:tc>
          <w:tcPr>
            <w:tcW w:w="2551" w:type="dxa"/>
            <w:vAlign w:val="center"/>
          </w:tcPr>
          <w:p>
            <w:pPr>
              <w:pStyle w:val="12"/>
            </w:pPr>
          </w:p>
        </w:tc>
        <w:tc>
          <w:tcPr>
            <w:tcW w:w="2551" w:type="dxa"/>
            <w:vAlign w:val="center"/>
          </w:tcPr>
          <w:p>
            <w:pPr>
              <w:pStyle w:val="12"/>
            </w:pPr>
            <w:r>
              <w:t>12.81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1.65</w:t>
            </w:r>
          </w:p>
        </w:tc>
        <w:tc>
          <w:tcPr>
            <w:tcW w:w="2551" w:type="dxa"/>
            <w:vAlign w:val="center"/>
          </w:tcPr>
          <w:p>
            <w:pPr>
              <w:pStyle w:val="12"/>
            </w:pPr>
          </w:p>
        </w:tc>
        <w:tc>
          <w:tcPr>
            <w:tcW w:w="2551" w:type="dxa"/>
            <w:vAlign w:val="center"/>
          </w:tcPr>
          <w:p>
            <w:pPr>
              <w:pStyle w:val="12"/>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3.08</w:t>
            </w:r>
          </w:p>
        </w:tc>
        <w:tc>
          <w:tcPr>
            <w:tcW w:w="2551" w:type="dxa"/>
            <w:vAlign w:val="center"/>
          </w:tcPr>
          <w:p>
            <w:pPr>
              <w:pStyle w:val="12"/>
            </w:pPr>
          </w:p>
        </w:tc>
        <w:tc>
          <w:tcPr>
            <w:tcW w:w="2551" w:type="dxa"/>
            <w:vAlign w:val="center"/>
          </w:tcPr>
          <w:p>
            <w:pPr>
              <w:pStyle w:val="12"/>
            </w:pPr>
            <w:r>
              <w:t>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0.52</w:t>
            </w:r>
          </w:p>
        </w:tc>
        <w:tc>
          <w:tcPr>
            <w:tcW w:w="2551" w:type="dxa"/>
            <w:vAlign w:val="center"/>
          </w:tcPr>
          <w:p>
            <w:pPr>
              <w:pStyle w:val="12"/>
            </w:pPr>
          </w:p>
        </w:tc>
        <w:tc>
          <w:tcPr>
            <w:tcW w:w="2551" w:type="dxa"/>
            <w:vAlign w:val="center"/>
          </w:tcPr>
          <w:p>
            <w:pPr>
              <w:pStyle w:val="12"/>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0.65</w:t>
            </w:r>
          </w:p>
        </w:tc>
        <w:tc>
          <w:tcPr>
            <w:tcW w:w="2551" w:type="dxa"/>
            <w:vAlign w:val="center"/>
          </w:tcPr>
          <w:p>
            <w:pPr>
              <w:pStyle w:val="12"/>
            </w:pPr>
          </w:p>
        </w:tc>
        <w:tc>
          <w:tcPr>
            <w:tcW w:w="2551" w:type="dxa"/>
            <w:vAlign w:val="center"/>
          </w:tcPr>
          <w:p>
            <w:pPr>
              <w:pStyle w:val="12"/>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14.03</w:t>
            </w:r>
          </w:p>
        </w:tc>
        <w:tc>
          <w:tcPr>
            <w:tcW w:w="2551" w:type="dxa"/>
            <w:vAlign w:val="center"/>
          </w:tcPr>
          <w:p>
            <w:pPr>
              <w:pStyle w:val="12"/>
            </w:pPr>
            <w:r>
              <w:t>14.03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14.03</w:t>
            </w:r>
          </w:p>
        </w:tc>
        <w:tc>
          <w:tcPr>
            <w:tcW w:w="2551" w:type="dxa"/>
            <w:vAlign w:val="center"/>
          </w:tcPr>
          <w:p>
            <w:pPr>
              <w:pStyle w:val="12"/>
            </w:pPr>
            <w:r>
              <w:t>14.03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w:t>
            </w:r>
          </w:p>
        </w:tc>
        <w:tc>
          <w:tcPr>
            <w:tcW w:w="2381" w:type="dxa"/>
            <w:vAlign w:val="center"/>
          </w:tcPr>
          <w:p>
            <w:pPr>
              <w:pStyle w:val="16"/>
            </w:pPr>
            <w:r>
              <w:t>1.80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1.80</w:t>
            </w:r>
          </w:p>
        </w:tc>
        <w:tc>
          <w:tcPr>
            <w:tcW w:w="2381" w:type="dxa"/>
            <w:vAlign w:val="center"/>
          </w:tcPr>
          <w:p>
            <w:pPr>
              <w:pStyle w:val="12"/>
            </w:pPr>
            <w:r>
              <w:t>1.80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唐山市开平区支持重点建设中心2025年部门预算信息公开情况说明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唐山市开平区支持重点建设中心2025年部门预算信息公开情况说明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按照《中华人民共和国预算法》、《地方预决算公开操作规程》和《关于进一步推进预算公开工作的实施意见》规定，现将唐山市开平区支持重点建设中心2025年部门预算公开如下：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一、多方协调，对采煤塌陷受损房屋土地进行鉴定、补偿</w:t>
      </w:r>
    </w:p>
    <w:p>
      <w:pPr>
        <w:pStyle w:val="18"/>
      </w:pPr>
      <w:r>
        <w:t>二、组织召开对接会议，协调企业和相关镇、村关系，解决村企共同发展问题，为企业提供良好营商环境。</w:t>
      </w:r>
    </w:p>
    <w:p>
      <w:pPr>
        <w:pStyle w:val="18"/>
      </w:pPr>
      <w:r>
        <w:t>三、为国家重点工程提供坚强有力的地方保障，确保工程顺利开工</w:t>
      </w:r>
    </w:p>
    <w:p>
      <w:pPr>
        <w:pStyle w:val="18"/>
      </w:pPr>
      <w:r>
        <w:t>四、接收国有企业退休职工，实行社会化管理。</w:t>
      </w:r>
    </w:p>
    <w:p>
      <w:pPr>
        <w:pStyle w:val="18"/>
      </w:pPr>
      <w:r>
        <w:t>五、继续完成丰南供水管线工程，已进入收尾阶段。</w:t>
      </w:r>
    </w:p>
    <w:p>
      <w:pPr>
        <w:pStyle w:val="18"/>
      </w:pPr>
      <w:r>
        <w:t>六、三供一业移交管理工作已进入实质性资产接收阶段，此工作进度在全市名列前茅。</w:t>
      </w:r>
    </w:p>
    <w:p>
      <w:pPr>
        <w:pStyle w:val="18"/>
      </w:pPr>
      <w:r>
        <w:t>七、按照区委区政府要求，高质量完成临时性工作任务。</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唐山市开平区支持重点建设中心本级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按照预算管理有关规定，目前部门预算的编制实行综合预算管理，即全部收入和支出都反映在预算中。唐山市开平区支持重点建设中心机关及所属事业单位的收支包含在部门预算中。</w:t>
      </w:r>
    </w:p>
    <w:p>
      <w:pPr>
        <w:pStyle w:val="19"/>
      </w:pPr>
      <w:r>
        <w:t>1、收入说明</w:t>
      </w:r>
    </w:p>
    <w:p>
      <w:pPr>
        <w:pStyle w:val="19"/>
      </w:pPr>
      <w:r>
        <w:t>反映本部门当年全部收入。2025年预算收入130.28万元，其中：一般公共预算收入130.28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eastAsia="zh-CN"/>
        </w:rPr>
      </w:pPr>
      <w:r>
        <w:t>收支预算总表支出栏、基本支出表、项目支出表按经济分类和支出功能分类科目编制，反映唐山市开平区支持重点建设中心年度部门预算中支出预算的总体情况。2025年支出预算130.28万元，其中基本支出130.28万元，包括人员经费117.47万元和日常公用经费12.81万元；项目支出0.00万元，主要为我单位无项目</w:t>
      </w:r>
      <w:r>
        <w:rPr>
          <w:rFonts w:hint="eastAsia"/>
          <w:lang w:eastAsia="zh-CN"/>
        </w:rPr>
        <w:t>支出。</w:t>
      </w:r>
    </w:p>
    <w:p>
      <w:pPr>
        <w:pStyle w:val="19"/>
      </w:pPr>
      <w:r>
        <w:t>3、比上年增减情况</w:t>
      </w:r>
    </w:p>
    <w:p>
      <w:pPr>
        <w:pStyle w:val="19"/>
      </w:pPr>
      <w:r>
        <w:t>2025年预算收支安排130.28万元，较2024年预算增加4.98万元，其中：基本支出增加4.98万元，主要为2023年新入职的两名工作人员转正，工资薪金增加。项目支出增加0.00万元，主要为我单位无项目支出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2025年，我部门机关运行经费共计安排12.81万元，主要用于日常维修、办公用房水电费、办公用房取暖费、办公用房物业管理费等日常运行支出。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1.80万元，其中因公出国（境）费0.00万元；公务用车购置及运维费1.80万元（其中：公务用车购置费为0.00万元，公务用车运维费1.80万元)；公务接待费0.00万元。与2024年相比减少0.20万元，增减变化的主要原因是缩减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一、多方协调，对采煤塌陷受损房屋土地进行鉴定、补偿</w:t>
      </w:r>
    </w:p>
    <w:p>
      <w:pPr>
        <w:pStyle w:val="22"/>
      </w:pPr>
      <w:r>
        <w:t>二、组织召开对接会议，协调企业和相关镇、村关系，解决村企共同发展问题，为企业提供良好营商环境</w:t>
      </w:r>
    </w:p>
    <w:p>
      <w:pPr>
        <w:pStyle w:val="22"/>
      </w:pPr>
      <w:r>
        <w:t>三、为国家重点工程提供坚强有力的地方保障，确保工程顺利开工</w:t>
      </w:r>
    </w:p>
    <w:p>
      <w:pPr>
        <w:pStyle w:val="22"/>
      </w:pPr>
      <w:r>
        <w:t>四、接收国有企业退休职工，实行社会化管理</w:t>
      </w:r>
    </w:p>
    <w:p>
      <w:pPr>
        <w:pStyle w:val="22"/>
      </w:pPr>
      <w:r>
        <w:t>五、继续完成丰南管线工程，已进入收尾阶段</w:t>
      </w:r>
    </w:p>
    <w:p>
      <w:pPr>
        <w:pStyle w:val="22"/>
      </w:pPr>
      <w:r>
        <w:t>六、三供一业移交管理工作已进入实质性接收阶段</w:t>
      </w:r>
    </w:p>
    <w:p>
      <w:pPr>
        <w:pStyle w:val="22"/>
      </w:pPr>
      <w:r>
        <w:t>七、按照区委区政府要求，高质量完成临时性工作任务</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一、采沉治理。</w:t>
      </w:r>
    </w:p>
    <w:p>
      <w:pPr>
        <w:pStyle w:val="23"/>
      </w:pPr>
      <w:r>
        <w:t>绩效目标：对因采煤塌陷受损房屋土地进行补偿</w:t>
      </w:r>
    </w:p>
    <w:p>
      <w:pPr>
        <w:pStyle w:val="23"/>
      </w:pPr>
      <w:r>
        <w:t>绩效指标：协调补偿及时到位</w:t>
      </w:r>
    </w:p>
    <w:p>
      <w:pPr>
        <w:pStyle w:val="23"/>
      </w:pPr>
      <w:r>
        <w:t>二、协调重点企业与周边村镇关系</w:t>
      </w:r>
    </w:p>
    <w:p>
      <w:pPr>
        <w:pStyle w:val="23"/>
      </w:pPr>
      <w:r>
        <w:t>绩效目标：为企业提供良好的营商环境</w:t>
      </w:r>
    </w:p>
    <w:p>
      <w:pPr>
        <w:pStyle w:val="23"/>
      </w:pPr>
      <w:r>
        <w:t>绩效指标：协调企业与地方关系，确保企业正常生产经营</w:t>
      </w:r>
    </w:p>
    <w:p>
      <w:pPr>
        <w:pStyle w:val="23"/>
      </w:pPr>
      <w:r>
        <w:t>三、支持国家重点工程建设，提供地方保障工作</w:t>
      </w:r>
    </w:p>
    <w:p>
      <w:pPr>
        <w:pStyle w:val="23"/>
      </w:pPr>
      <w:r>
        <w:t>绩效目标：服务国家重点工程建设，提供有力地方保障</w:t>
      </w:r>
    </w:p>
    <w:p>
      <w:pPr>
        <w:pStyle w:val="23"/>
      </w:pPr>
      <w:r>
        <w:t>绩效指标：确保工程开工建设</w:t>
      </w:r>
    </w:p>
    <w:p>
      <w:pPr>
        <w:pStyle w:val="23"/>
      </w:pPr>
      <w:r>
        <w:t>四、国有企业退休职工社会化管理工作</w:t>
      </w:r>
    </w:p>
    <w:p>
      <w:pPr>
        <w:pStyle w:val="23"/>
      </w:pPr>
      <w:r>
        <w:t>绩效目标：接收国有企业退休职工</w:t>
      </w:r>
    </w:p>
    <w:p>
      <w:pPr>
        <w:pStyle w:val="23"/>
      </w:pPr>
      <w:r>
        <w:t>绩效指标：接收尚未移交的国有企业退休职工</w:t>
      </w:r>
    </w:p>
    <w:p>
      <w:pPr>
        <w:pStyle w:val="23"/>
      </w:pPr>
      <w:r>
        <w:t>五、继续完成丰南供水管线工程</w:t>
      </w:r>
    </w:p>
    <w:p>
      <w:pPr>
        <w:pStyle w:val="23"/>
      </w:pPr>
      <w:r>
        <w:t>绩效目标：完成丰南供水管线工程占地补偿工作</w:t>
      </w:r>
    </w:p>
    <w:p>
      <w:pPr>
        <w:pStyle w:val="23"/>
      </w:pPr>
      <w:r>
        <w:t>绩效指标：工程已进入收尾阶段</w:t>
      </w:r>
    </w:p>
    <w:p>
      <w:pPr>
        <w:pStyle w:val="23"/>
      </w:pPr>
      <w:r>
        <w:t>六、三供一业移交管理工作已进入实质性资产接收阶段</w:t>
      </w:r>
    </w:p>
    <w:p>
      <w:pPr>
        <w:pStyle w:val="23"/>
      </w:pPr>
      <w:r>
        <w:t>绩效目标：三供一业顺利接收</w:t>
      </w:r>
    </w:p>
    <w:p>
      <w:pPr>
        <w:pStyle w:val="23"/>
      </w:pPr>
      <w:r>
        <w:t>绩效指标：三供一业移交工作进入实质性接收阶段</w:t>
      </w:r>
    </w:p>
    <w:p>
      <w:pPr>
        <w:pStyle w:val="23"/>
      </w:pPr>
      <w:r>
        <w:t>七、完成临时任务</w:t>
      </w:r>
    </w:p>
    <w:p>
      <w:pPr>
        <w:pStyle w:val="23"/>
      </w:pPr>
      <w:r>
        <w:t>绩效目标：完成区委区政府交办的临时性工作</w:t>
      </w:r>
    </w:p>
    <w:p>
      <w:pPr>
        <w:pStyle w:val="23"/>
      </w:pPr>
      <w:r>
        <w:t>绩效指标：高质量完成各项临时性工作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唐山市开平区支持重点建设中心职责：负责贯彻落实上级有关支持重点工程、重点企业建设的方针政策。负责开滦采煤搬迁工作，协调搬迁中出现的问题，协调市以上重点工程、重点企业建设与地方的关系以及区委区政府交办的有关事项。</w:t>
      </w:r>
    </w:p>
    <w:p>
      <w:pPr>
        <w:pStyle w:val="24"/>
      </w:pP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rPr>
          <w:rFonts w:ascii="Times New Roman" w:hAnsi="Times New Roman" w:eastAsia="Times New Roman" w:cstheme="minorBidi"/>
          <w:sz w:val="24"/>
          <w:szCs w:val="24"/>
          <w:lang w:val="en-US" w:eastAsia="uk-UA" w:bidi="ar-SA"/>
        </w:rPr>
      </w:pPr>
    </w:p>
    <w:p>
      <w:pPr>
        <w:bidi w:val="0"/>
        <w:rPr>
          <w:lang w:val="en-US" w:eastAsia="uk-UA"/>
        </w:rPr>
      </w:pPr>
    </w:p>
    <w:p>
      <w:pPr>
        <w:bidi w:val="0"/>
        <w:rPr>
          <w:lang w:val="en-US" w:eastAsia="uk-UA"/>
        </w:rPr>
      </w:pPr>
    </w:p>
    <w:p>
      <w:pPr>
        <w:tabs>
          <w:tab w:val="left" w:pos="973"/>
        </w:tabs>
        <w:bidi w:val="0"/>
        <w:jc w:val="left"/>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t>无</w:t>
      </w:r>
    </w:p>
    <w:p>
      <w:p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唐山市开平区支持重点建设中心（含所属单位）上年末固定资产金额为0.00万元（详见下表）。本年度拟购置固定资产总额为0.00万元，已按要求列入政府采购预算，详见政府采购预算表。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436唐山市开平区支持重点建设中心</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ind w:firstLine="0" w:firstLineChars="0"/>
              <w:rPr>
                <w:rFonts w:ascii="方正书宋_GBK" w:hAnsi="方正书宋_GBK" w:eastAsia="方正书宋_GBK" w:cs="方正书宋_GBK"/>
                <w:b/>
                <w:sz w:val="21"/>
                <w:szCs w:val="24"/>
                <w:lang w:val="en-US" w:eastAsia="uk-UA" w:bidi="ar-SA"/>
              </w:rPr>
            </w:pPr>
            <w:r>
              <w:t>项   目</w:t>
            </w:r>
          </w:p>
        </w:tc>
        <w:tc>
          <w:tcPr>
            <w:tcW w:w="2835" w:type="dxa"/>
            <w:vAlign w:val="center"/>
          </w:tcPr>
          <w:p>
            <w:pPr>
              <w:pStyle w:val="11"/>
              <w:ind w:firstLine="0" w:firstLineChars="0"/>
              <w:rPr>
                <w:rFonts w:ascii="方正书宋_GBK" w:hAnsi="方正书宋_GBK" w:eastAsia="方正书宋_GBK" w:cs="方正书宋_GBK"/>
                <w:b/>
                <w:sz w:val="21"/>
                <w:szCs w:val="24"/>
                <w:lang w:val="en-US" w:eastAsia="uk-UA" w:bidi="ar-SA"/>
              </w:rPr>
            </w:pPr>
            <w:r>
              <w:t>数量</w:t>
            </w:r>
          </w:p>
        </w:tc>
        <w:tc>
          <w:tcPr>
            <w:tcW w:w="2835" w:type="dxa"/>
            <w:vAlign w:val="center"/>
          </w:tcPr>
          <w:p>
            <w:pPr>
              <w:pStyle w:val="11"/>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835" w:type="dxa"/>
            <w:vAlign w:val="center"/>
          </w:tcPr>
          <w:p>
            <w:pPr>
              <w:pStyle w:val="12"/>
              <w:ind w:firstLine="0" w:firstLineChars="0"/>
              <w:rPr>
                <w:rFonts w:ascii="方正书宋_GBK" w:hAnsi="方正书宋_GBK" w:eastAsia="方正书宋_GBK" w:cs="方正书宋_GBK"/>
                <w:sz w:val="21"/>
                <w:szCs w:val="24"/>
                <w:lang w:val="en-US" w:eastAsia="uk-UA" w:bidi="ar-SA"/>
              </w:rPr>
            </w:pPr>
            <w:r>
              <w:t>38.80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45</w:t>
            </w:r>
          </w:p>
        </w:tc>
        <w:tc>
          <w:tcPr>
            <w:tcW w:w="0" w:type="auto"/>
            <w:vAlign w:val="center"/>
          </w:tcPr>
          <w:p>
            <w:pPr>
              <w:pStyle w:val="12"/>
              <w:ind w:firstLine="0" w:firstLineChars="0"/>
              <w:rPr>
                <w:rFonts w:ascii="方正书宋_GBK" w:hAnsi="方正书宋_GBK" w:eastAsia="方正书宋_GBK" w:cs="方正书宋_GBK"/>
                <w:sz w:val="21"/>
                <w:szCs w:val="24"/>
                <w:lang w:val="en-US" w:eastAsia="uk-UA" w:bidi="ar-SA"/>
              </w:rPr>
            </w:pPr>
            <w:r>
              <w:t>16.80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C05E3"/>
    <w:rsid w:val="7C6B120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TotalTime>3</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2025-02-12T10:49:00Z</dcterms:created>
  <dc:creator>Administrator</dc:creator>
  <cp:lastModifiedBy>Administrator</cp:lastModifiedBy>
  <dcterms:modified xsi:type="dcterms:W3CDTF">2025-02-13T01:44:43Z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7D0D8D1746604D069035B1C094CF3D5F</vt:lpwstr>
  </property>
</Properties>
</file>