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一、唐山市开平区支持重点建设中心本级收支预算</w:t>
      </w:r>
      <w:r>
        <w:rPr>
          <w:rFonts w:hint="eastAsia"/>
          <w:b w:val="0"/>
          <w:lang w:eastAsia="zh-CN"/>
        </w:rPr>
        <w:t>表</w:t>
      </w:r>
      <w:r>
        <w:tab/>
      </w:r>
      <w:r>
        <w:fldChar w:fldCharType="begin"/>
      </w:r>
      <w:r>
        <w:instrText xml:space="preserve">PAGEREF _Toc_4_4_0000000001 \h</w:instrText>
      </w:r>
      <w:r>
        <w:fldChar w:fldCharType="separate"/>
      </w:r>
      <w:r>
        <w:t>1</w:t>
      </w:r>
      <w:r>
        <w:fldChar w:fldCharType="end"/>
      </w:r>
      <w:r>
        <w:fldChar w:fldCharType="end"/>
      </w:r>
    </w:p>
    <w:p>
      <w:pPr>
        <w:spacing w:before="0" w:after="0" w:line="240" w:lineRule="auto"/>
        <w:ind w:firstLine="0"/>
        <w:jc w:val="left"/>
        <w:outlineLvl w:val="9"/>
        <w:rPr>
          <w:rFonts w:hint="eastAsia" w:ascii="方正兰亭超细黑简体" w:hAnsi="方正兰亭超细黑简体" w:eastAsia="方正兰亭超细黑简体" w:cs="方正兰亭超细黑简体"/>
          <w:sz w:val="28"/>
          <w:szCs w:val="28"/>
        </w:rPr>
      </w:pPr>
      <w:r>
        <w:fldChar w:fldCharType="end"/>
      </w:r>
      <w:bookmarkStart w:id="0" w:name="_Toc_4_4_0000000001"/>
      <w:r>
        <w:rPr>
          <w:rFonts w:hint="eastAsia" w:ascii="方正兰亭超细黑简体" w:hAnsi="方正兰亭超细黑简体" w:eastAsia="方正兰亭超细黑简体" w:cs="方正兰亭超细黑简体"/>
          <w:b/>
          <w:bCs/>
          <w:sz w:val="28"/>
          <w:szCs w:val="28"/>
          <w:lang w:eastAsia="zh-CN"/>
        </w:rPr>
        <w:t>单位</w:t>
      </w:r>
      <w:r>
        <w:rPr>
          <w:rFonts w:hint="eastAsia" w:ascii="方正兰亭超细黑简体" w:hAnsi="方正兰亭超细黑简体" w:eastAsia="方正兰亭超细黑简体" w:cs="方正兰亭超细黑简体"/>
          <w:b/>
          <w:color w:val="000000"/>
          <w:sz w:val="28"/>
          <w:szCs w:val="28"/>
        </w:rPr>
        <w:t>预算公开表</w:t>
      </w:r>
    </w:p>
    <w:p>
      <w:pPr>
        <w:pStyle w:val="2"/>
        <w:tabs>
          <w:tab w:val="right" w:leader="dot" w:pos="14562"/>
        </w:tabs>
      </w:pPr>
      <w:r>
        <w:rPr>
          <w:rFonts w:hint="eastAsia"/>
          <w:lang w:eastAsia="zh-CN"/>
        </w:rPr>
        <w:t>唐山市开平区</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支持重点建设中心本级</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唐山市开平区支持重点建设中心本级</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唐山市开平区支持重点建设中心本级</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唐山市开平区支持重点建设中心本级</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唐山市开平区支持重点建设中心本级</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唐山市开平区支持重点建设中心本级</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唐山市开平区支持重点建设中心本级</w:t>
      </w:r>
      <w:r>
        <w:t>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唐山市开平区支持重点建设中心本级</w:t>
      </w:r>
      <w:r>
        <w:t>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唐山市开平区支持重点建设中心本级</w:t>
      </w:r>
      <w:r>
        <w:t>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唐山市开平区支持重点建设中心本级</w:t>
      </w:r>
      <w:r>
        <w:rPr>
          <w:rFonts w:ascii="方正楷体_GBK" w:hAnsi="方正楷体_GBK" w:eastAsia="方正楷体_GBK" w:cs="方正楷体_GBK"/>
          <w:b/>
          <w:color w:val="000000"/>
          <w:sz w:val="28"/>
        </w:rPr>
        <w:t>预算信息公开情况说明</w:t>
      </w:r>
      <w:bookmarkStart w:id="1" w:name="_GoBack"/>
      <w:bookmarkEnd w:id="1"/>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唐山市开平区支持重点建设中心本级</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唐山市开平区支持重点建设中心本级</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ectPr>
          <w:pgSz w:w="16840" w:h="11900" w:orient="landscape"/>
          <w:pgMar w:top="1587" w:right="1134" w:bottom="1361" w:left="1134" w:header="720" w:footer="720" w:gutter="0"/>
          <w:pgNumType w:start="1"/>
          <w:cols w:space="720" w:num="1"/>
        </w:sectPr>
      </w:pPr>
    </w:p>
    <w:p>
      <w:r>
        <w:rPr>
          <w:rFonts w:ascii="方正小标宋_GBK" w:hAnsi="方正小标宋_GBK" w:eastAsia="方正小标宋_GBK" w:cs="方正小标宋_GBK"/>
          <w:b w:val="0"/>
          <w:color w:val="000000"/>
          <w:sz w:val="44"/>
        </w:rPr>
        <w:t>一、唐山市开平区支持重点建设中心本级收支预算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436001唐山市开平区支持重点建设中心本级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130.28</w:t>
            </w:r>
          </w:p>
        </w:tc>
        <w:tc>
          <w:tcPr>
            <w:tcW w:w="4535" w:type="dxa"/>
            <w:vAlign w:val="center"/>
          </w:tcPr>
          <w:p>
            <w:pPr>
              <w:pStyle w:val="12"/>
            </w:pPr>
            <w:r>
              <w:t>一、一般公共服务支出</w:t>
            </w:r>
          </w:p>
        </w:tc>
        <w:tc>
          <w:tcPr>
            <w:tcW w:w="2126" w:type="dxa"/>
            <w:vAlign w:val="center"/>
          </w:tcPr>
          <w:p>
            <w:pPr>
              <w:pStyle w:val="11"/>
            </w:pPr>
            <w:r>
              <w:t>96.09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130.28</w:t>
            </w:r>
          </w:p>
        </w:tc>
        <w:tc>
          <w:tcPr>
            <w:tcW w:w="4535" w:type="dxa"/>
            <w:vAlign w:val="center"/>
          </w:tcPr>
          <w:p>
            <w:pPr>
              <w:pStyle w:val="14"/>
            </w:pPr>
            <w:r>
              <w:t>本年支出合计</w:t>
            </w:r>
          </w:p>
        </w:tc>
        <w:tc>
          <w:tcPr>
            <w:tcW w:w="2126" w:type="dxa"/>
            <w:vAlign w:val="center"/>
          </w:tcPr>
          <w:p>
            <w:pPr>
              <w:pStyle w:val="15"/>
            </w:pPr>
            <w:r>
              <w:t>130.28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130.28</w:t>
            </w:r>
          </w:p>
        </w:tc>
        <w:tc>
          <w:tcPr>
            <w:tcW w:w="4535" w:type="dxa"/>
            <w:vAlign w:val="center"/>
          </w:tcPr>
          <w:p>
            <w:pPr>
              <w:pStyle w:val="14"/>
            </w:pPr>
            <w:r>
              <w:t>支出总计</w:t>
            </w:r>
          </w:p>
        </w:tc>
        <w:tc>
          <w:tcPr>
            <w:tcW w:w="2126" w:type="dxa"/>
            <w:vAlign w:val="center"/>
          </w:tcPr>
          <w:p>
            <w:pPr>
              <w:pStyle w:val="15"/>
            </w:pPr>
            <w:r>
              <w:t>130.28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436001唐山市开平区支持重点建设中心本级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130.28</w:t>
            </w:r>
          </w:p>
        </w:tc>
        <w:tc>
          <w:tcPr>
            <w:tcW w:w="1134" w:type="dxa"/>
            <w:vAlign w:val="center"/>
          </w:tcPr>
          <w:p>
            <w:pPr>
              <w:pStyle w:val="15"/>
            </w:pPr>
            <w:r>
              <w:t>130.28</w:t>
            </w:r>
          </w:p>
        </w:tc>
        <w:tc>
          <w:tcPr>
            <w:tcW w:w="1134" w:type="dxa"/>
            <w:vAlign w:val="center"/>
          </w:tcPr>
          <w:p>
            <w:pPr>
              <w:pStyle w:val="15"/>
            </w:pPr>
            <w:r>
              <w:t>130.28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96.09</w:t>
            </w:r>
          </w:p>
        </w:tc>
        <w:tc>
          <w:tcPr>
            <w:tcW w:w="1134" w:type="dxa"/>
            <w:vAlign w:val="center"/>
          </w:tcPr>
          <w:p>
            <w:pPr>
              <w:pStyle w:val="11"/>
            </w:pPr>
            <w:r>
              <w:t>96.09</w:t>
            </w:r>
          </w:p>
        </w:tc>
        <w:tc>
          <w:tcPr>
            <w:tcW w:w="1134" w:type="dxa"/>
            <w:vAlign w:val="center"/>
          </w:tcPr>
          <w:p>
            <w:pPr>
              <w:pStyle w:val="11"/>
            </w:pPr>
            <w:r>
              <w:t>96.09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20199</w:t>
            </w:r>
          </w:p>
        </w:tc>
        <w:tc>
          <w:tcPr>
            <w:tcW w:w="1559" w:type="dxa"/>
            <w:vAlign w:val="center"/>
          </w:tcPr>
          <w:p>
            <w:pPr>
              <w:pStyle w:val="12"/>
            </w:pPr>
            <w:r>
              <w:t>其他一般公共服务支出</w:t>
            </w:r>
          </w:p>
        </w:tc>
        <w:tc>
          <w:tcPr>
            <w:tcW w:w="1134" w:type="dxa"/>
            <w:vAlign w:val="center"/>
          </w:tcPr>
          <w:p>
            <w:pPr>
              <w:pStyle w:val="11"/>
            </w:pPr>
            <w:r>
              <w:t>96.09</w:t>
            </w:r>
          </w:p>
        </w:tc>
        <w:tc>
          <w:tcPr>
            <w:tcW w:w="1134" w:type="dxa"/>
            <w:vAlign w:val="center"/>
          </w:tcPr>
          <w:p>
            <w:pPr>
              <w:pStyle w:val="11"/>
            </w:pPr>
            <w:r>
              <w:t>96.09</w:t>
            </w:r>
          </w:p>
        </w:tc>
        <w:tc>
          <w:tcPr>
            <w:tcW w:w="1134" w:type="dxa"/>
            <w:vAlign w:val="center"/>
          </w:tcPr>
          <w:p>
            <w:pPr>
              <w:pStyle w:val="11"/>
            </w:pPr>
            <w:r>
              <w:t>96.09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2019999</w:t>
            </w:r>
          </w:p>
        </w:tc>
        <w:tc>
          <w:tcPr>
            <w:tcW w:w="1559" w:type="dxa"/>
            <w:vAlign w:val="center"/>
          </w:tcPr>
          <w:p>
            <w:pPr>
              <w:pStyle w:val="12"/>
            </w:pPr>
            <w:r>
              <w:t>其他一般公共服务支出</w:t>
            </w:r>
          </w:p>
        </w:tc>
        <w:tc>
          <w:tcPr>
            <w:tcW w:w="1134" w:type="dxa"/>
            <w:vAlign w:val="center"/>
          </w:tcPr>
          <w:p>
            <w:pPr>
              <w:pStyle w:val="11"/>
            </w:pPr>
            <w:r>
              <w:t>96.09</w:t>
            </w:r>
          </w:p>
        </w:tc>
        <w:tc>
          <w:tcPr>
            <w:tcW w:w="1134" w:type="dxa"/>
            <w:vAlign w:val="center"/>
          </w:tcPr>
          <w:p>
            <w:pPr>
              <w:pStyle w:val="11"/>
            </w:pPr>
            <w:r>
              <w:t>96.09</w:t>
            </w:r>
          </w:p>
        </w:tc>
        <w:tc>
          <w:tcPr>
            <w:tcW w:w="1134" w:type="dxa"/>
            <w:vAlign w:val="center"/>
          </w:tcPr>
          <w:p>
            <w:pPr>
              <w:pStyle w:val="11"/>
            </w:pPr>
            <w:r>
              <w:t>96.09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14.93</w:t>
            </w:r>
          </w:p>
        </w:tc>
        <w:tc>
          <w:tcPr>
            <w:tcW w:w="1134" w:type="dxa"/>
            <w:vAlign w:val="center"/>
          </w:tcPr>
          <w:p>
            <w:pPr>
              <w:pStyle w:val="11"/>
            </w:pPr>
            <w:r>
              <w:t>14.93</w:t>
            </w:r>
          </w:p>
        </w:tc>
        <w:tc>
          <w:tcPr>
            <w:tcW w:w="1134" w:type="dxa"/>
            <w:vAlign w:val="center"/>
          </w:tcPr>
          <w:p>
            <w:pPr>
              <w:pStyle w:val="11"/>
            </w:pPr>
            <w:r>
              <w:t>14.93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14.93</w:t>
            </w:r>
          </w:p>
        </w:tc>
        <w:tc>
          <w:tcPr>
            <w:tcW w:w="1134" w:type="dxa"/>
            <w:vAlign w:val="center"/>
          </w:tcPr>
          <w:p>
            <w:pPr>
              <w:pStyle w:val="11"/>
            </w:pPr>
            <w:r>
              <w:t>14.93</w:t>
            </w:r>
          </w:p>
        </w:tc>
        <w:tc>
          <w:tcPr>
            <w:tcW w:w="1134" w:type="dxa"/>
            <w:vAlign w:val="center"/>
          </w:tcPr>
          <w:p>
            <w:pPr>
              <w:pStyle w:val="11"/>
            </w:pPr>
            <w:r>
              <w:t>14.93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14.93</w:t>
            </w:r>
          </w:p>
        </w:tc>
        <w:tc>
          <w:tcPr>
            <w:tcW w:w="1134" w:type="dxa"/>
            <w:vAlign w:val="center"/>
          </w:tcPr>
          <w:p>
            <w:pPr>
              <w:pStyle w:val="11"/>
            </w:pPr>
            <w:r>
              <w:t>14.93</w:t>
            </w:r>
          </w:p>
        </w:tc>
        <w:tc>
          <w:tcPr>
            <w:tcW w:w="1134" w:type="dxa"/>
            <w:vAlign w:val="center"/>
          </w:tcPr>
          <w:p>
            <w:pPr>
              <w:pStyle w:val="11"/>
            </w:pPr>
            <w:r>
              <w:t>14.93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436001唐山市开平区支持重点建设中心本级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130.28</w:t>
            </w:r>
          </w:p>
        </w:tc>
        <w:tc>
          <w:tcPr>
            <w:tcW w:w="1361" w:type="dxa"/>
            <w:vAlign w:val="center"/>
          </w:tcPr>
          <w:p>
            <w:pPr>
              <w:pStyle w:val="15"/>
            </w:pPr>
            <w:r>
              <w:t>130.28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96.09</w:t>
            </w:r>
          </w:p>
        </w:tc>
        <w:tc>
          <w:tcPr>
            <w:tcW w:w="1361" w:type="dxa"/>
            <w:vAlign w:val="center"/>
          </w:tcPr>
          <w:p>
            <w:pPr>
              <w:pStyle w:val="11"/>
            </w:pPr>
            <w:r>
              <w:t>96.09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96.09</w:t>
            </w:r>
          </w:p>
        </w:tc>
        <w:tc>
          <w:tcPr>
            <w:tcW w:w="1361" w:type="dxa"/>
            <w:vAlign w:val="center"/>
          </w:tcPr>
          <w:p>
            <w:pPr>
              <w:pStyle w:val="11"/>
            </w:pPr>
            <w:r>
              <w:t>96.09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96.09</w:t>
            </w:r>
          </w:p>
        </w:tc>
        <w:tc>
          <w:tcPr>
            <w:tcW w:w="1361" w:type="dxa"/>
            <w:vAlign w:val="center"/>
          </w:tcPr>
          <w:p>
            <w:pPr>
              <w:pStyle w:val="11"/>
            </w:pPr>
            <w:r>
              <w:t>96.09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14.93</w:t>
            </w:r>
          </w:p>
        </w:tc>
        <w:tc>
          <w:tcPr>
            <w:tcW w:w="1361" w:type="dxa"/>
            <w:vAlign w:val="center"/>
          </w:tcPr>
          <w:p>
            <w:pPr>
              <w:pStyle w:val="11"/>
            </w:pPr>
            <w:r>
              <w:t>14.93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14.93</w:t>
            </w:r>
          </w:p>
        </w:tc>
        <w:tc>
          <w:tcPr>
            <w:tcW w:w="1361" w:type="dxa"/>
            <w:vAlign w:val="center"/>
          </w:tcPr>
          <w:p>
            <w:pPr>
              <w:pStyle w:val="11"/>
            </w:pPr>
            <w:r>
              <w:t>14.93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14.93</w:t>
            </w:r>
          </w:p>
        </w:tc>
        <w:tc>
          <w:tcPr>
            <w:tcW w:w="1361" w:type="dxa"/>
            <w:vAlign w:val="center"/>
          </w:tcPr>
          <w:p>
            <w:pPr>
              <w:pStyle w:val="11"/>
            </w:pPr>
            <w:r>
              <w:t>14.93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12.91</w:t>
            </w:r>
          </w:p>
        </w:tc>
        <w:tc>
          <w:tcPr>
            <w:tcW w:w="1361" w:type="dxa"/>
            <w:vAlign w:val="center"/>
          </w:tcPr>
          <w:p>
            <w:pPr>
              <w:pStyle w:val="11"/>
            </w:pPr>
            <w:r>
              <w:t>12.91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12.91</w:t>
            </w:r>
          </w:p>
        </w:tc>
        <w:tc>
          <w:tcPr>
            <w:tcW w:w="1361" w:type="dxa"/>
            <w:vAlign w:val="center"/>
          </w:tcPr>
          <w:p>
            <w:pPr>
              <w:pStyle w:val="11"/>
            </w:pPr>
            <w:r>
              <w:t>12.91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12.91</w:t>
            </w:r>
          </w:p>
        </w:tc>
        <w:tc>
          <w:tcPr>
            <w:tcW w:w="1361" w:type="dxa"/>
            <w:vAlign w:val="center"/>
          </w:tcPr>
          <w:p>
            <w:pPr>
              <w:pStyle w:val="11"/>
            </w:pPr>
            <w:r>
              <w:t>12.91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6.35</w:t>
            </w:r>
          </w:p>
        </w:tc>
        <w:tc>
          <w:tcPr>
            <w:tcW w:w="1361" w:type="dxa"/>
            <w:vAlign w:val="center"/>
          </w:tcPr>
          <w:p>
            <w:pPr>
              <w:pStyle w:val="11"/>
            </w:pPr>
            <w:r>
              <w:t>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6.35</w:t>
            </w:r>
          </w:p>
        </w:tc>
        <w:tc>
          <w:tcPr>
            <w:tcW w:w="1361" w:type="dxa"/>
            <w:vAlign w:val="center"/>
          </w:tcPr>
          <w:p>
            <w:pPr>
              <w:pStyle w:val="11"/>
            </w:pPr>
            <w:r>
              <w:t>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6.35</w:t>
            </w:r>
          </w:p>
        </w:tc>
        <w:tc>
          <w:tcPr>
            <w:tcW w:w="1361" w:type="dxa"/>
            <w:vAlign w:val="center"/>
          </w:tcPr>
          <w:p>
            <w:pPr>
              <w:pStyle w:val="11"/>
            </w:pPr>
            <w:r>
              <w:t>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436001唐山市开平区支持重点建设中心本级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130.28</w:t>
            </w:r>
          </w:p>
        </w:tc>
        <w:tc>
          <w:tcPr>
            <w:tcW w:w="3402" w:type="dxa"/>
            <w:vAlign w:val="center"/>
          </w:tcPr>
          <w:p>
            <w:pPr>
              <w:pStyle w:val="12"/>
            </w:pPr>
            <w:r>
              <w:t>一、一般公共服务支出</w:t>
            </w:r>
          </w:p>
        </w:tc>
        <w:tc>
          <w:tcPr>
            <w:tcW w:w="1474" w:type="dxa"/>
            <w:vAlign w:val="center"/>
          </w:tcPr>
          <w:p>
            <w:pPr>
              <w:pStyle w:val="11"/>
            </w:pPr>
            <w:r>
              <w:t>96.09</w:t>
            </w:r>
          </w:p>
        </w:tc>
        <w:tc>
          <w:tcPr>
            <w:tcW w:w="1474" w:type="dxa"/>
            <w:vAlign w:val="center"/>
          </w:tcPr>
          <w:p>
            <w:pPr>
              <w:pStyle w:val="11"/>
            </w:pPr>
            <w:r>
              <w:t>96.09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14.93</w:t>
            </w:r>
          </w:p>
        </w:tc>
        <w:tc>
          <w:tcPr>
            <w:tcW w:w="1474" w:type="dxa"/>
            <w:vAlign w:val="center"/>
          </w:tcPr>
          <w:p>
            <w:pPr>
              <w:pStyle w:val="11"/>
            </w:pPr>
            <w:r>
              <w:t>14.93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12.91</w:t>
            </w:r>
          </w:p>
        </w:tc>
        <w:tc>
          <w:tcPr>
            <w:tcW w:w="1474" w:type="dxa"/>
            <w:vAlign w:val="center"/>
          </w:tcPr>
          <w:p>
            <w:pPr>
              <w:pStyle w:val="11"/>
            </w:pPr>
            <w:r>
              <w:t>12.91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6.35</w:t>
            </w:r>
          </w:p>
        </w:tc>
        <w:tc>
          <w:tcPr>
            <w:tcW w:w="1474" w:type="dxa"/>
            <w:vAlign w:val="center"/>
          </w:tcPr>
          <w:p>
            <w:pPr>
              <w:pStyle w:val="11"/>
            </w:pPr>
            <w:r>
              <w:t>6.35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130.28</w:t>
            </w:r>
          </w:p>
        </w:tc>
        <w:tc>
          <w:tcPr>
            <w:tcW w:w="3402" w:type="dxa"/>
            <w:vAlign w:val="center"/>
          </w:tcPr>
          <w:p>
            <w:pPr>
              <w:pStyle w:val="14"/>
            </w:pPr>
            <w:r>
              <w:t>本年支出合计</w:t>
            </w:r>
          </w:p>
        </w:tc>
        <w:tc>
          <w:tcPr>
            <w:tcW w:w="1474" w:type="dxa"/>
            <w:vAlign w:val="center"/>
          </w:tcPr>
          <w:p>
            <w:pPr>
              <w:pStyle w:val="15"/>
            </w:pPr>
            <w:r>
              <w:t>130.28</w:t>
            </w:r>
          </w:p>
        </w:tc>
        <w:tc>
          <w:tcPr>
            <w:tcW w:w="1474" w:type="dxa"/>
            <w:vAlign w:val="center"/>
          </w:tcPr>
          <w:p>
            <w:pPr>
              <w:pStyle w:val="15"/>
            </w:pPr>
            <w:r>
              <w:t>130.28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130.28</w:t>
            </w:r>
          </w:p>
        </w:tc>
        <w:tc>
          <w:tcPr>
            <w:tcW w:w="3402" w:type="dxa"/>
            <w:vAlign w:val="center"/>
          </w:tcPr>
          <w:p>
            <w:pPr>
              <w:pStyle w:val="14"/>
            </w:pPr>
            <w:r>
              <w:t>支出总计</w:t>
            </w:r>
          </w:p>
        </w:tc>
        <w:tc>
          <w:tcPr>
            <w:tcW w:w="1474" w:type="dxa"/>
            <w:vAlign w:val="center"/>
          </w:tcPr>
          <w:p>
            <w:pPr>
              <w:pStyle w:val="15"/>
            </w:pPr>
            <w:r>
              <w:t>130.28</w:t>
            </w:r>
          </w:p>
        </w:tc>
        <w:tc>
          <w:tcPr>
            <w:tcW w:w="1474" w:type="dxa"/>
            <w:vAlign w:val="center"/>
          </w:tcPr>
          <w:p>
            <w:pPr>
              <w:pStyle w:val="15"/>
            </w:pPr>
            <w:r>
              <w:t>130.28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436001唐山市开平区支持重点建设中心本级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130.28</w:t>
            </w:r>
          </w:p>
        </w:tc>
        <w:tc>
          <w:tcPr>
            <w:tcW w:w="2551" w:type="dxa"/>
            <w:vAlign w:val="center"/>
          </w:tcPr>
          <w:p>
            <w:pPr>
              <w:pStyle w:val="15"/>
            </w:pPr>
            <w:r>
              <w:t>130.28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96.09</w:t>
            </w:r>
          </w:p>
        </w:tc>
        <w:tc>
          <w:tcPr>
            <w:tcW w:w="2551" w:type="dxa"/>
            <w:vAlign w:val="center"/>
          </w:tcPr>
          <w:p>
            <w:pPr>
              <w:pStyle w:val="11"/>
            </w:pPr>
            <w:r>
              <w:t>96.09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96.09</w:t>
            </w:r>
          </w:p>
        </w:tc>
        <w:tc>
          <w:tcPr>
            <w:tcW w:w="2551" w:type="dxa"/>
            <w:vAlign w:val="center"/>
          </w:tcPr>
          <w:p>
            <w:pPr>
              <w:pStyle w:val="11"/>
            </w:pPr>
            <w:r>
              <w:t>96.09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96.09</w:t>
            </w:r>
          </w:p>
        </w:tc>
        <w:tc>
          <w:tcPr>
            <w:tcW w:w="2551" w:type="dxa"/>
            <w:vAlign w:val="center"/>
          </w:tcPr>
          <w:p>
            <w:pPr>
              <w:pStyle w:val="11"/>
            </w:pPr>
            <w:r>
              <w:t>96.09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14.93</w:t>
            </w:r>
          </w:p>
        </w:tc>
        <w:tc>
          <w:tcPr>
            <w:tcW w:w="2551" w:type="dxa"/>
            <w:vAlign w:val="center"/>
          </w:tcPr>
          <w:p>
            <w:pPr>
              <w:pStyle w:val="11"/>
            </w:pPr>
            <w:r>
              <w:t>14.93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14.93</w:t>
            </w:r>
          </w:p>
        </w:tc>
        <w:tc>
          <w:tcPr>
            <w:tcW w:w="2551" w:type="dxa"/>
            <w:vAlign w:val="center"/>
          </w:tcPr>
          <w:p>
            <w:pPr>
              <w:pStyle w:val="11"/>
            </w:pPr>
            <w:r>
              <w:t>14.93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14.93</w:t>
            </w:r>
          </w:p>
        </w:tc>
        <w:tc>
          <w:tcPr>
            <w:tcW w:w="2551" w:type="dxa"/>
            <w:vAlign w:val="center"/>
          </w:tcPr>
          <w:p>
            <w:pPr>
              <w:pStyle w:val="11"/>
            </w:pPr>
            <w:r>
              <w:t>14.93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12.91</w:t>
            </w:r>
          </w:p>
        </w:tc>
        <w:tc>
          <w:tcPr>
            <w:tcW w:w="2551" w:type="dxa"/>
            <w:vAlign w:val="center"/>
          </w:tcPr>
          <w:p>
            <w:pPr>
              <w:pStyle w:val="11"/>
            </w:pPr>
            <w:r>
              <w:t>12.91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12.91</w:t>
            </w:r>
          </w:p>
        </w:tc>
        <w:tc>
          <w:tcPr>
            <w:tcW w:w="2551" w:type="dxa"/>
            <w:vAlign w:val="center"/>
          </w:tcPr>
          <w:p>
            <w:pPr>
              <w:pStyle w:val="11"/>
            </w:pPr>
            <w:r>
              <w:t>12.91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12.91</w:t>
            </w:r>
          </w:p>
        </w:tc>
        <w:tc>
          <w:tcPr>
            <w:tcW w:w="2551" w:type="dxa"/>
            <w:vAlign w:val="center"/>
          </w:tcPr>
          <w:p>
            <w:pPr>
              <w:pStyle w:val="11"/>
            </w:pPr>
            <w:r>
              <w:t>12.91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436001唐山市开平区支持重点建设中心本级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130.28</w:t>
            </w:r>
          </w:p>
        </w:tc>
        <w:tc>
          <w:tcPr>
            <w:tcW w:w="2551" w:type="dxa"/>
            <w:vAlign w:val="center"/>
          </w:tcPr>
          <w:p>
            <w:pPr>
              <w:pStyle w:val="15"/>
            </w:pPr>
            <w:r>
              <w:t>117.47</w:t>
            </w:r>
          </w:p>
        </w:tc>
        <w:tc>
          <w:tcPr>
            <w:tcW w:w="2551" w:type="dxa"/>
            <w:vAlign w:val="center"/>
          </w:tcPr>
          <w:p>
            <w:pPr>
              <w:pStyle w:val="15"/>
            </w:pPr>
            <w:r>
              <w:t>12.81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103.44</w:t>
            </w:r>
          </w:p>
        </w:tc>
        <w:tc>
          <w:tcPr>
            <w:tcW w:w="2551" w:type="dxa"/>
            <w:vAlign w:val="center"/>
          </w:tcPr>
          <w:p>
            <w:pPr>
              <w:pStyle w:val="11"/>
            </w:pPr>
            <w:r>
              <w:t>103.44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43.67</w:t>
            </w:r>
          </w:p>
        </w:tc>
        <w:tc>
          <w:tcPr>
            <w:tcW w:w="2551" w:type="dxa"/>
            <w:vAlign w:val="center"/>
          </w:tcPr>
          <w:p>
            <w:pPr>
              <w:pStyle w:val="11"/>
            </w:pPr>
            <w:r>
              <w:t>43.67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25.85</w:t>
            </w:r>
          </w:p>
        </w:tc>
        <w:tc>
          <w:tcPr>
            <w:tcW w:w="2551" w:type="dxa"/>
            <w:vAlign w:val="center"/>
          </w:tcPr>
          <w:p>
            <w:pPr>
              <w:pStyle w:val="11"/>
            </w:pPr>
            <w:r>
              <w:t>25.85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6.16</w:t>
            </w:r>
          </w:p>
        </w:tc>
        <w:tc>
          <w:tcPr>
            <w:tcW w:w="2551" w:type="dxa"/>
            <w:vAlign w:val="center"/>
          </w:tcPr>
          <w:p>
            <w:pPr>
              <w:pStyle w:val="11"/>
            </w:pPr>
            <w:r>
              <w:t>6.16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12.91</w:t>
            </w:r>
          </w:p>
        </w:tc>
        <w:tc>
          <w:tcPr>
            <w:tcW w:w="2551" w:type="dxa"/>
            <w:vAlign w:val="center"/>
          </w:tcPr>
          <w:p>
            <w:pPr>
              <w:pStyle w:val="11"/>
            </w:pPr>
            <w:r>
              <w:t>12.91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0.24</w:t>
            </w:r>
          </w:p>
        </w:tc>
        <w:tc>
          <w:tcPr>
            <w:tcW w:w="2551" w:type="dxa"/>
            <w:vAlign w:val="center"/>
          </w:tcPr>
          <w:p>
            <w:pPr>
              <w:pStyle w:val="11"/>
            </w:pPr>
            <w:r>
              <w:t>0.24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12.81</w:t>
            </w:r>
          </w:p>
        </w:tc>
        <w:tc>
          <w:tcPr>
            <w:tcW w:w="2551" w:type="dxa"/>
            <w:vAlign w:val="center"/>
          </w:tcPr>
          <w:p>
            <w:pPr>
              <w:pStyle w:val="11"/>
            </w:pPr>
          </w:p>
        </w:tc>
        <w:tc>
          <w:tcPr>
            <w:tcW w:w="2551" w:type="dxa"/>
            <w:vAlign w:val="center"/>
          </w:tcPr>
          <w:p>
            <w:pPr>
              <w:pStyle w:val="11"/>
            </w:pPr>
            <w:r>
              <w:t>12.81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3.08</w:t>
            </w:r>
          </w:p>
        </w:tc>
        <w:tc>
          <w:tcPr>
            <w:tcW w:w="2551" w:type="dxa"/>
            <w:vAlign w:val="center"/>
          </w:tcPr>
          <w:p>
            <w:pPr>
              <w:pStyle w:val="11"/>
            </w:pPr>
          </w:p>
        </w:tc>
        <w:tc>
          <w:tcPr>
            <w:tcW w:w="2551" w:type="dxa"/>
            <w:vAlign w:val="center"/>
          </w:tcPr>
          <w:p>
            <w:pPr>
              <w:pStyle w:val="11"/>
            </w:pPr>
            <w:r>
              <w:t>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0.52</w:t>
            </w:r>
          </w:p>
        </w:tc>
        <w:tc>
          <w:tcPr>
            <w:tcW w:w="2551" w:type="dxa"/>
            <w:vAlign w:val="center"/>
          </w:tcPr>
          <w:p>
            <w:pPr>
              <w:pStyle w:val="11"/>
            </w:pPr>
          </w:p>
        </w:tc>
        <w:tc>
          <w:tcPr>
            <w:tcW w:w="2551" w:type="dxa"/>
            <w:vAlign w:val="center"/>
          </w:tcPr>
          <w:p>
            <w:pPr>
              <w:pStyle w:val="11"/>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0.65</w:t>
            </w:r>
          </w:p>
        </w:tc>
        <w:tc>
          <w:tcPr>
            <w:tcW w:w="2551" w:type="dxa"/>
            <w:vAlign w:val="center"/>
          </w:tcPr>
          <w:p>
            <w:pPr>
              <w:pStyle w:val="11"/>
            </w:pPr>
          </w:p>
        </w:tc>
        <w:tc>
          <w:tcPr>
            <w:tcW w:w="2551"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14.03</w:t>
            </w:r>
          </w:p>
        </w:tc>
        <w:tc>
          <w:tcPr>
            <w:tcW w:w="2551" w:type="dxa"/>
            <w:vAlign w:val="center"/>
          </w:tcPr>
          <w:p>
            <w:pPr>
              <w:pStyle w:val="11"/>
            </w:pPr>
            <w:r>
              <w:t>14.03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14.03</w:t>
            </w:r>
          </w:p>
        </w:tc>
        <w:tc>
          <w:tcPr>
            <w:tcW w:w="2551" w:type="dxa"/>
            <w:vAlign w:val="center"/>
          </w:tcPr>
          <w:p>
            <w:pPr>
              <w:pStyle w:val="11"/>
            </w:pPr>
            <w:r>
              <w:t>14.03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436001唐山市开平区支持重点建设中心本级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436001唐山市开平区支持重点建设中心本级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436001唐山市开平区支持重点建设中心本级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w:t>
            </w:r>
          </w:p>
        </w:tc>
        <w:tc>
          <w:tcPr>
            <w:tcW w:w="2381" w:type="dxa"/>
            <w:vAlign w:val="center"/>
          </w:tcPr>
          <w:p>
            <w:pPr>
              <w:pStyle w:val="15"/>
            </w:pPr>
            <w:r>
              <w:t>1.80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唐山市开平区支持重点建设中心本级2025年单位预算信息公开情况说明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按照《中华人民共和国预算法》、《地方预决算公开操作规程》和《关于进一步推进预算公开工作的实施意见》规定，现将唐山市开平区支持重点建设中心本级2025年单位预算公开如下：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一、多方协调，对采煤塌陷受损房屋土地进行鉴定、补偿</w:t>
      </w:r>
    </w:p>
    <w:p>
      <w:pPr>
        <w:pStyle w:val="17"/>
      </w:pPr>
      <w:r>
        <w:t>二、组织召开对接会议，协调企业和相关镇、村关系，解决村企共同发展问题，为企业提供良好营商环境。</w:t>
      </w:r>
    </w:p>
    <w:p>
      <w:pPr>
        <w:pStyle w:val="17"/>
      </w:pPr>
      <w:r>
        <w:t>三、为国家重点工程提供坚强有力的地方保障，确保工程顺利开工</w:t>
      </w:r>
    </w:p>
    <w:p>
      <w:pPr>
        <w:pStyle w:val="17"/>
      </w:pPr>
      <w:r>
        <w:t>四、接收国有企业退休职工，实行社会化管理。</w:t>
      </w:r>
    </w:p>
    <w:p>
      <w:pPr>
        <w:pStyle w:val="17"/>
      </w:pPr>
      <w:r>
        <w:t>五、继续完成丰南供水管线工程，已进入收尾阶段。</w:t>
      </w:r>
    </w:p>
    <w:p>
      <w:pPr>
        <w:pStyle w:val="17"/>
      </w:pPr>
      <w:r>
        <w:t>六、三供一业移交管理工作已进入实质性资产接收阶段，此工作进度在全市名列前茅。</w:t>
      </w:r>
    </w:p>
    <w:p>
      <w:pPr>
        <w:pStyle w:val="17"/>
      </w:pPr>
      <w:r>
        <w:t>七、按照区委区政府要求，高质量完成临时性工作任务。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唐山市开平区支持重点建设中心本级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130.28万元，其中：一般公共预算收入130.28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支持重点建设中心本级年度单位预算中支出预算的总体情况。2025年支出预算130.28万元，其中基本支出130.28万元，包括人员经费117.47万元和日常公用经费12.81万元；项目支出0.00万元，主要为我单位无项目支出</w:t>
      </w:r>
    </w:p>
    <w:p>
      <w:pPr>
        <w:pStyle w:val="18"/>
      </w:pPr>
      <w:r>
        <w:t>3、比上年增减情况</w:t>
      </w:r>
    </w:p>
    <w:p>
      <w:pPr>
        <w:pStyle w:val="18"/>
      </w:pPr>
      <w:r>
        <w:t>2025年预算收支安排130.28万元，较2024年预算增加4.98万元，其中：基本支出增加4.98万元，主要为2023年新入职的两名工作人员转正，工资薪金增加。项目支出增加0.00万元，主要为我单位无项目支出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2025年，我单位机关运行经费共计安排12.81万元，主要用于日常维修、办公用房水电费、办公用房取暖费、办公用房物业管理费等日常运行支出。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1.80万元，其中因公出国（境）费0.00万元；公务用车购置及运维费1.80万元（其中：公务用车购置费为0.00万元，公务用车运维费1.80万元)；公务接待费0.00万元。与2024年相比减少0.20万元，增减变化的主要原因是缩减开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436001唐山市开平区支持重点建设中心本级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唐山市开平区支持重点建设中心本级上年末固定资产金额为0.00万元（详见下表）。本年度拟购置固定资产总额为0.00万元，已按要求列入政府采购预算，详见政府采购预算表。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436001唐山市开平区支持重点建设中心本级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ind w:firstLine="0" w:firstLineChars="0"/>
              <w:rPr>
                <w:rFonts w:ascii="方正书宋_GBK" w:hAnsi="方正书宋_GBK" w:eastAsia="方正书宋_GBK" w:cs="方正书宋_GBK"/>
                <w:b/>
                <w:sz w:val="21"/>
              </w:rPr>
            </w:pPr>
            <w:r>
              <w:t>项   目</w:t>
            </w:r>
          </w:p>
        </w:tc>
        <w:tc>
          <w:tcPr>
            <w:tcW w:w="2835" w:type="dxa"/>
            <w:vAlign w:val="center"/>
          </w:tcPr>
          <w:p>
            <w:pPr>
              <w:pStyle w:val="10"/>
              <w:ind w:firstLine="0" w:firstLineChars="0"/>
              <w:rPr>
                <w:rFonts w:ascii="方正书宋_GBK" w:hAnsi="方正书宋_GBK" w:eastAsia="方正书宋_GBK" w:cs="方正书宋_GBK"/>
                <w:b/>
                <w:sz w:val="21"/>
              </w:rPr>
            </w:pPr>
            <w:r>
              <w:t>数量</w:t>
            </w:r>
          </w:p>
        </w:tc>
        <w:tc>
          <w:tcPr>
            <w:tcW w:w="2835" w:type="dxa"/>
            <w:vAlign w:val="center"/>
          </w:tcPr>
          <w:p>
            <w:pPr>
              <w:pStyle w:val="10"/>
              <w:ind w:firstLine="0" w:firstLineChars="0"/>
              <w:rPr>
                <w:rFonts w:ascii="方正书宋_GBK" w:hAnsi="方正书宋_GBK" w:eastAsia="方正书宋_GBK" w:cs="方正书宋_GBK"/>
                <w:b/>
                <w:sz w:val="21"/>
              </w:rPr>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ascii="方正书宋_GBK" w:hAnsi="方正书宋_GBK" w:eastAsia="方正书宋_GBK" w:cs="方正书宋_GBK"/>
                <w:sz w:val="21"/>
              </w:rPr>
            </w:pPr>
            <w:r>
              <w:t>资产总额</w:t>
            </w:r>
          </w:p>
        </w:tc>
        <w:tc>
          <w:tcPr>
            <w:tcW w:w="2835" w:type="dxa"/>
            <w:vAlign w:val="center"/>
          </w:tcPr>
          <w:p>
            <w:pPr>
              <w:pStyle w:val="13"/>
              <w:ind w:firstLine="0" w:firstLineChars="0"/>
              <w:rPr>
                <w:rFonts w:ascii="方正书宋_GBK" w:hAnsi="方正书宋_GBK" w:eastAsia="方正书宋_GBK" w:cs="方正书宋_GBK"/>
                <w:sz w:val="21"/>
              </w:rPr>
            </w:pPr>
          </w:p>
        </w:tc>
        <w:tc>
          <w:tcPr>
            <w:tcW w:w="2835" w:type="dxa"/>
            <w:vAlign w:val="center"/>
          </w:tcPr>
          <w:p>
            <w:pPr>
              <w:pStyle w:val="11"/>
              <w:ind w:firstLine="0" w:firstLineChars="0"/>
              <w:rPr>
                <w:rFonts w:ascii="方正书宋_GBK" w:hAnsi="方正书宋_GBK" w:eastAsia="方正书宋_GBK" w:cs="方正书宋_GBK"/>
                <w:sz w:val="21"/>
              </w:rPr>
            </w:pPr>
            <w:r>
              <w:t>38.80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2"/>
              <w:ind w:firstLine="0" w:firstLineChars="0"/>
              <w:rPr>
                <w:rFonts w:ascii="方正书宋_GBK" w:hAnsi="方正书宋_GBK" w:eastAsia="方正书宋_GBK" w:cs="方正书宋_GBK"/>
                <w:sz w:val="21"/>
              </w:rPr>
            </w:pPr>
            <w:r>
              <w:t>1、房屋（平方米）</w:t>
            </w:r>
          </w:p>
        </w:tc>
        <w:tc>
          <w:tcPr>
            <w:tcW w:w="0" w:type="auto"/>
            <w:vAlign w:val="center"/>
          </w:tcPr>
          <w:p>
            <w:pPr>
              <w:pStyle w:val="13"/>
              <w:ind w:firstLine="0" w:firstLineChars="0"/>
              <w:rPr>
                <w:rFonts w:ascii="方正书宋_GBK" w:hAnsi="方正书宋_GBK" w:eastAsia="方正书宋_GBK" w:cs="方正书宋_GBK"/>
                <w:sz w:val="21"/>
              </w:rPr>
            </w:pPr>
          </w:p>
        </w:tc>
        <w:tc>
          <w:tcPr>
            <w:tcW w:w="0" w:type="auto"/>
            <w:vAlign w:val="center"/>
          </w:tcPr>
          <w:p>
            <w:pPr>
              <w:pStyle w:val="11"/>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2"/>
              <w:ind w:firstLine="0" w:firstLineChars="0"/>
              <w:rPr>
                <w:rFonts w:ascii="方正书宋_GBK" w:hAnsi="方正书宋_GBK" w:eastAsia="方正书宋_GBK" w:cs="方正书宋_GBK"/>
                <w:sz w:val="21"/>
              </w:rPr>
            </w:pPr>
            <w:r>
              <w:t>　　其中：办公用房（平方米）</w:t>
            </w:r>
          </w:p>
        </w:tc>
        <w:tc>
          <w:tcPr>
            <w:tcW w:w="0" w:type="auto"/>
            <w:vAlign w:val="center"/>
          </w:tcPr>
          <w:p>
            <w:pPr>
              <w:pStyle w:val="13"/>
              <w:ind w:firstLine="0" w:firstLineChars="0"/>
              <w:rPr>
                <w:rFonts w:ascii="方正书宋_GBK" w:hAnsi="方正书宋_GBK" w:eastAsia="方正书宋_GBK" w:cs="方正书宋_GBK"/>
                <w:sz w:val="21"/>
              </w:rPr>
            </w:pPr>
          </w:p>
        </w:tc>
        <w:tc>
          <w:tcPr>
            <w:tcW w:w="0" w:type="auto"/>
            <w:vAlign w:val="center"/>
          </w:tcPr>
          <w:p>
            <w:pPr>
              <w:pStyle w:val="11"/>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2"/>
              <w:ind w:firstLine="0" w:firstLineChars="0"/>
              <w:rPr>
                <w:rFonts w:ascii="方正书宋_GBK" w:hAnsi="方正书宋_GBK" w:eastAsia="方正书宋_GBK" w:cs="方正书宋_GBK"/>
                <w:sz w:val="21"/>
              </w:rPr>
            </w:pPr>
            <w:r>
              <w:t>2、车辆（台、辆）</w:t>
            </w:r>
          </w:p>
        </w:tc>
        <w:tc>
          <w:tcPr>
            <w:tcW w:w="0" w:type="auto"/>
            <w:vAlign w:val="center"/>
          </w:tcPr>
          <w:p>
            <w:pPr>
              <w:pStyle w:val="13"/>
              <w:ind w:firstLine="0" w:firstLineChars="0"/>
              <w:rPr>
                <w:rFonts w:ascii="方正书宋_GBK" w:hAnsi="方正书宋_GBK" w:eastAsia="方正书宋_GBK" w:cs="方正书宋_GBK"/>
                <w:sz w:val="21"/>
              </w:rPr>
            </w:pPr>
          </w:p>
        </w:tc>
        <w:tc>
          <w:tcPr>
            <w:tcW w:w="0" w:type="auto"/>
            <w:vAlign w:val="center"/>
          </w:tcPr>
          <w:p>
            <w:pPr>
              <w:pStyle w:val="11"/>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2"/>
              <w:ind w:firstLine="0" w:firstLineChars="0"/>
              <w:rPr>
                <w:rFonts w:ascii="方正书宋_GBK" w:hAnsi="方正书宋_GBK" w:eastAsia="方正书宋_GBK" w:cs="方正书宋_GBK"/>
                <w:sz w:val="21"/>
              </w:rPr>
            </w:pPr>
            <w:r>
              <w:t>3、单价在20万元以上的设备</w:t>
            </w:r>
          </w:p>
        </w:tc>
        <w:tc>
          <w:tcPr>
            <w:tcW w:w="0" w:type="auto"/>
            <w:vAlign w:val="center"/>
          </w:tcPr>
          <w:p>
            <w:pPr>
              <w:pStyle w:val="13"/>
              <w:ind w:firstLine="0" w:firstLineChars="0"/>
              <w:rPr>
                <w:rFonts w:ascii="方正书宋_GBK" w:hAnsi="方正书宋_GBK" w:eastAsia="方正书宋_GBK" w:cs="方正书宋_GBK"/>
                <w:sz w:val="21"/>
              </w:rPr>
            </w:pPr>
            <w:r>
              <w:t>1</w:t>
            </w:r>
          </w:p>
        </w:tc>
        <w:tc>
          <w:tcPr>
            <w:tcW w:w="0" w:type="auto"/>
            <w:vAlign w:val="center"/>
          </w:tcPr>
          <w:p>
            <w:pPr>
              <w:pStyle w:val="11"/>
              <w:ind w:firstLine="0" w:firstLineChars="0"/>
              <w:rPr>
                <w:rFonts w:ascii="方正书宋_GBK" w:hAnsi="方正书宋_GBK" w:eastAsia="方正书宋_GBK" w:cs="方正书宋_GBK"/>
                <w:sz w:val="21"/>
              </w:rPr>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2"/>
              <w:ind w:firstLine="0" w:firstLineChars="0"/>
              <w:rPr>
                <w:rFonts w:ascii="方正书宋_GBK" w:hAnsi="方正书宋_GBK" w:eastAsia="方正书宋_GBK" w:cs="方正书宋_GBK"/>
                <w:sz w:val="21"/>
              </w:rPr>
            </w:pPr>
            <w:r>
              <w:t>4、其他固定资产</w:t>
            </w:r>
          </w:p>
        </w:tc>
        <w:tc>
          <w:tcPr>
            <w:tcW w:w="0" w:type="auto"/>
            <w:vAlign w:val="center"/>
          </w:tcPr>
          <w:p>
            <w:pPr>
              <w:pStyle w:val="13"/>
              <w:ind w:firstLine="0" w:firstLineChars="0"/>
              <w:rPr>
                <w:rFonts w:ascii="方正书宋_GBK" w:hAnsi="方正书宋_GBK" w:eastAsia="方正书宋_GBK" w:cs="方正书宋_GBK"/>
                <w:sz w:val="21"/>
              </w:rPr>
            </w:pPr>
            <w:r>
              <w:t>45</w:t>
            </w:r>
          </w:p>
        </w:tc>
        <w:tc>
          <w:tcPr>
            <w:tcW w:w="0" w:type="auto"/>
            <w:vAlign w:val="center"/>
          </w:tcPr>
          <w:p>
            <w:pPr>
              <w:pStyle w:val="11"/>
              <w:ind w:firstLine="0" w:firstLineChars="0"/>
              <w:rPr>
                <w:rFonts w:ascii="方正书宋_GBK" w:hAnsi="方正书宋_GBK" w:eastAsia="方正书宋_GBK" w:cs="方正书宋_GBK"/>
                <w:sz w:val="21"/>
              </w:rPr>
            </w:pPr>
            <w:r>
              <w:t>16.80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行楷">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ndalus">
    <w:panose1 w:val="02020603050405020304"/>
    <w:charset w:val="00"/>
    <w:family w:val="auto"/>
    <w:pitch w:val="default"/>
    <w:sig w:usb0="00002003" w:usb1="80000000" w:usb2="00000008" w:usb3="00000000" w:csb0="00000041" w:csb1="20080000"/>
  </w:font>
  <w:font w:name="华文细黑">
    <w:panose1 w:val="02010600040101010101"/>
    <w:charset w:val="86"/>
    <w:family w:val="auto"/>
    <w:pitch w:val="default"/>
    <w:sig w:usb0="00000287" w:usb1="080F0000" w:usb2="00000000" w:usb3="00000000" w:csb0="0004009F" w:csb1="DFD70000"/>
  </w:font>
  <w:font w:name="AngsanaUPC">
    <w:panose1 w:val="02020603050405020304"/>
    <w:charset w:val="00"/>
    <w:family w:val="auto"/>
    <w:pitch w:val="default"/>
    <w:sig w:usb0="81000003" w:usb1="00000000" w:usb2="00000000" w:usb3="00000000" w:csb0="0001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A429F"/>
    <w:rsid w:val="3E262D83"/>
    <w:rsid w:val="4F654FF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TotalTime>17</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2025-02-12T10:51:00Z</dcterms:created>
  <dc:creator>Administrator</dc:creator>
  <cp:lastModifiedBy>Administrator</cp:lastModifiedBy>
  <dcterms:modified xsi:type="dcterms:W3CDTF">2025-02-13T02:07:48Z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17AD7406FBD94B9E9982C75A4F83285F</vt:lpwstr>
  </property>
</Properties>
</file>