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434唐山市开平区人民政府办公室</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1124.51</w:t>
            </w:r>
          </w:p>
        </w:tc>
        <w:tc>
          <w:tcPr>
            <w:tcW w:w="4535" w:type="dxa"/>
            <w:vAlign w:val="center"/>
          </w:tcPr>
          <w:p>
            <w:pPr>
              <w:pStyle w:val="13"/>
            </w:pPr>
            <w:r>
              <w:t>一、一般公共服务支出</w:t>
            </w:r>
          </w:p>
        </w:tc>
        <w:tc>
          <w:tcPr>
            <w:tcW w:w="2126" w:type="dxa"/>
            <w:vAlign w:val="center"/>
          </w:tcPr>
          <w:p>
            <w:pPr>
              <w:pStyle w:val="12"/>
            </w:pPr>
            <w:r>
              <w:t>949.82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250.00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35.38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81.48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57.84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1374.51</w:t>
            </w:r>
          </w:p>
        </w:tc>
        <w:tc>
          <w:tcPr>
            <w:tcW w:w="4535" w:type="dxa"/>
            <w:vAlign w:val="center"/>
          </w:tcPr>
          <w:p>
            <w:pPr>
              <w:pStyle w:val="15"/>
            </w:pPr>
            <w:r>
              <w:t>本年支出合计</w:t>
            </w:r>
          </w:p>
        </w:tc>
        <w:tc>
          <w:tcPr>
            <w:tcW w:w="2126" w:type="dxa"/>
            <w:vAlign w:val="center"/>
          </w:tcPr>
          <w:p>
            <w:pPr>
              <w:pStyle w:val="16"/>
            </w:pPr>
            <w:r>
              <w:t>1374.51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1374.51</w:t>
            </w:r>
          </w:p>
        </w:tc>
        <w:tc>
          <w:tcPr>
            <w:tcW w:w="4535" w:type="dxa"/>
            <w:vAlign w:val="center"/>
          </w:tcPr>
          <w:p>
            <w:pPr>
              <w:pStyle w:val="15"/>
            </w:pPr>
            <w:r>
              <w:t>支出总计</w:t>
            </w:r>
          </w:p>
        </w:tc>
        <w:tc>
          <w:tcPr>
            <w:tcW w:w="2126" w:type="dxa"/>
            <w:vAlign w:val="center"/>
          </w:tcPr>
          <w:p>
            <w:pPr>
              <w:pStyle w:val="16"/>
            </w:pPr>
            <w:r>
              <w:t>1374.51</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434唐山市开平区人民政府办公室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1374.51</w:t>
            </w:r>
          </w:p>
        </w:tc>
        <w:tc>
          <w:tcPr>
            <w:tcW w:w="1134" w:type="dxa"/>
            <w:vAlign w:val="center"/>
          </w:tcPr>
          <w:p>
            <w:pPr>
              <w:pStyle w:val="16"/>
            </w:pPr>
            <w:r>
              <w:t>1374.51</w:t>
            </w:r>
          </w:p>
        </w:tc>
        <w:tc>
          <w:tcPr>
            <w:tcW w:w="1134" w:type="dxa"/>
            <w:vAlign w:val="center"/>
          </w:tcPr>
          <w:p>
            <w:pPr>
              <w:pStyle w:val="16"/>
            </w:pPr>
            <w:r>
              <w:t>1374.51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949.82</w:t>
            </w:r>
          </w:p>
        </w:tc>
        <w:tc>
          <w:tcPr>
            <w:tcW w:w="1134" w:type="dxa"/>
            <w:vAlign w:val="center"/>
          </w:tcPr>
          <w:p>
            <w:pPr>
              <w:pStyle w:val="12"/>
            </w:pPr>
            <w:r>
              <w:t>949.82</w:t>
            </w:r>
          </w:p>
        </w:tc>
        <w:tc>
          <w:tcPr>
            <w:tcW w:w="1134" w:type="dxa"/>
            <w:vAlign w:val="center"/>
          </w:tcPr>
          <w:p>
            <w:pPr>
              <w:pStyle w:val="12"/>
            </w:pPr>
            <w:r>
              <w:t>949.82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949.82</w:t>
            </w:r>
          </w:p>
        </w:tc>
        <w:tc>
          <w:tcPr>
            <w:tcW w:w="1134" w:type="dxa"/>
            <w:vAlign w:val="center"/>
          </w:tcPr>
          <w:p>
            <w:pPr>
              <w:pStyle w:val="12"/>
            </w:pPr>
            <w:r>
              <w:t>949.82</w:t>
            </w:r>
          </w:p>
        </w:tc>
        <w:tc>
          <w:tcPr>
            <w:tcW w:w="1134" w:type="dxa"/>
            <w:vAlign w:val="center"/>
          </w:tcPr>
          <w:p>
            <w:pPr>
              <w:pStyle w:val="12"/>
            </w:pPr>
            <w:r>
              <w:t>949.82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770.82</w:t>
            </w:r>
          </w:p>
        </w:tc>
        <w:tc>
          <w:tcPr>
            <w:tcW w:w="1134" w:type="dxa"/>
            <w:vAlign w:val="center"/>
          </w:tcPr>
          <w:p>
            <w:pPr>
              <w:pStyle w:val="12"/>
            </w:pPr>
            <w:r>
              <w:t>770.82</w:t>
            </w:r>
          </w:p>
        </w:tc>
        <w:tc>
          <w:tcPr>
            <w:tcW w:w="1134" w:type="dxa"/>
            <w:vAlign w:val="center"/>
          </w:tcPr>
          <w:p>
            <w:pPr>
              <w:pStyle w:val="12"/>
            </w:pPr>
            <w:r>
              <w:t>770.82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179.00</w:t>
            </w:r>
          </w:p>
        </w:tc>
        <w:tc>
          <w:tcPr>
            <w:tcW w:w="1134" w:type="dxa"/>
            <w:vAlign w:val="center"/>
          </w:tcPr>
          <w:p>
            <w:pPr>
              <w:pStyle w:val="12"/>
            </w:pPr>
            <w:r>
              <w:t>179.00</w:t>
            </w:r>
          </w:p>
        </w:tc>
        <w:tc>
          <w:tcPr>
            <w:tcW w:w="1134" w:type="dxa"/>
            <w:vAlign w:val="center"/>
          </w:tcPr>
          <w:p>
            <w:pPr>
              <w:pStyle w:val="12"/>
            </w:pPr>
            <w:r>
              <w:t>179.00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35.38</w:t>
            </w:r>
          </w:p>
        </w:tc>
        <w:tc>
          <w:tcPr>
            <w:tcW w:w="1134" w:type="dxa"/>
            <w:vAlign w:val="center"/>
          </w:tcPr>
          <w:p>
            <w:pPr>
              <w:pStyle w:val="12"/>
            </w:pPr>
            <w:r>
              <w:t>35.38</w:t>
            </w:r>
          </w:p>
        </w:tc>
        <w:tc>
          <w:tcPr>
            <w:tcW w:w="1134" w:type="dxa"/>
            <w:vAlign w:val="center"/>
          </w:tcPr>
          <w:p>
            <w:pPr>
              <w:pStyle w:val="12"/>
            </w:pPr>
            <w:r>
              <w:t>35.38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35.38</w:t>
            </w:r>
          </w:p>
        </w:tc>
        <w:tc>
          <w:tcPr>
            <w:tcW w:w="1134" w:type="dxa"/>
            <w:vAlign w:val="center"/>
          </w:tcPr>
          <w:p>
            <w:pPr>
              <w:pStyle w:val="12"/>
            </w:pPr>
            <w:r>
              <w:t>35.38</w:t>
            </w:r>
          </w:p>
        </w:tc>
        <w:tc>
          <w:tcPr>
            <w:tcW w:w="1134" w:type="dxa"/>
            <w:vAlign w:val="center"/>
          </w:tcPr>
          <w:p>
            <w:pPr>
              <w:pStyle w:val="12"/>
            </w:pPr>
            <w:r>
              <w:t>35.38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35.38</w:t>
            </w:r>
          </w:p>
        </w:tc>
        <w:tc>
          <w:tcPr>
            <w:tcW w:w="1134" w:type="dxa"/>
            <w:vAlign w:val="center"/>
          </w:tcPr>
          <w:p>
            <w:pPr>
              <w:pStyle w:val="12"/>
            </w:pPr>
            <w:r>
              <w:t>35.38</w:t>
            </w:r>
          </w:p>
        </w:tc>
        <w:tc>
          <w:tcPr>
            <w:tcW w:w="1134" w:type="dxa"/>
            <w:vAlign w:val="center"/>
          </w:tcPr>
          <w:p>
            <w:pPr>
              <w:pStyle w:val="12"/>
            </w:pPr>
            <w:r>
              <w:t>35.38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81.48</w:t>
            </w:r>
          </w:p>
        </w:tc>
        <w:tc>
          <w:tcPr>
            <w:tcW w:w="1134" w:type="dxa"/>
            <w:vAlign w:val="center"/>
          </w:tcPr>
          <w:p>
            <w:pPr>
              <w:pStyle w:val="12"/>
            </w:pPr>
            <w:r>
              <w:t>81.48</w:t>
            </w:r>
          </w:p>
        </w:tc>
        <w:tc>
          <w:tcPr>
            <w:tcW w:w="1134" w:type="dxa"/>
            <w:vAlign w:val="center"/>
          </w:tcPr>
          <w:p>
            <w:pPr>
              <w:pStyle w:val="12"/>
            </w:pPr>
            <w:r>
              <w:t>81.48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81.48</w:t>
            </w:r>
          </w:p>
        </w:tc>
        <w:tc>
          <w:tcPr>
            <w:tcW w:w="1134" w:type="dxa"/>
            <w:vAlign w:val="center"/>
          </w:tcPr>
          <w:p>
            <w:pPr>
              <w:pStyle w:val="12"/>
            </w:pPr>
            <w:r>
              <w:t>81.48</w:t>
            </w:r>
          </w:p>
        </w:tc>
        <w:tc>
          <w:tcPr>
            <w:tcW w:w="1134" w:type="dxa"/>
            <w:vAlign w:val="center"/>
          </w:tcPr>
          <w:p>
            <w:pPr>
              <w:pStyle w:val="12"/>
            </w:pPr>
            <w:r>
              <w:t>81.48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81.48</w:t>
            </w:r>
          </w:p>
        </w:tc>
        <w:tc>
          <w:tcPr>
            <w:tcW w:w="1134" w:type="dxa"/>
            <w:vAlign w:val="center"/>
          </w:tcPr>
          <w:p>
            <w:pPr>
              <w:pStyle w:val="12"/>
            </w:pPr>
            <w:r>
              <w:t>81.48</w:t>
            </w:r>
          </w:p>
        </w:tc>
        <w:tc>
          <w:tcPr>
            <w:tcW w:w="1134" w:type="dxa"/>
            <w:vAlign w:val="center"/>
          </w:tcPr>
          <w:p>
            <w:pPr>
              <w:pStyle w:val="12"/>
            </w:pPr>
            <w:r>
              <w:t>81.48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250.00</w:t>
            </w:r>
          </w:p>
        </w:tc>
        <w:tc>
          <w:tcPr>
            <w:tcW w:w="1134" w:type="dxa"/>
            <w:vAlign w:val="center"/>
          </w:tcPr>
          <w:p>
            <w:pPr>
              <w:pStyle w:val="12"/>
            </w:pPr>
            <w:r>
              <w:t>250.00</w:t>
            </w:r>
          </w:p>
        </w:tc>
        <w:tc>
          <w:tcPr>
            <w:tcW w:w="1134" w:type="dxa"/>
            <w:vAlign w:val="center"/>
          </w:tcPr>
          <w:p>
            <w:pPr>
              <w:pStyle w:val="12"/>
            </w:pPr>
            <w:r>
              <w:t>250.00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250.00</w:t>
            </w:r>
          </w:p>
        </w:tc>
        <w:tc>
          <w:tcPr>
            <w:tcW w:w="1134" w:type="dxa"/>
            <w:vAlign w:val="center"/>
          </w:tcPr>
          <w:p>
            <w:pPr>
              <w:pStyle w:val="12"/>
            </w:pPr>
            <w:r>
              <w:t>250.00</w:t>
            </w:r>
          </w:p>
        </w:tc>
        <w:tc>
          <w:tcPr>
            <w:tcW w:w="1134" w:type="dxa"/>
            <w:vAlign w:val="center"/>
          </w:tcPr>
          <w:p>
            <w:pPr>
              <w:pStyle w:val="12"/>
            </w:pPr>
            <w:r>
              <w:t>250.00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250.00</w:t>
            </w:r>
          </w:p>
        </w:tc>
        <w:tc>
          <w:tcPr>
            <w:tcW w:w="1134" w:type="dxa"/>
            <w:vAlign w:val="center"/>
          </w:tcPr>
          <w:p>
            <w:pPr>
              <w:pStyle w:val="12"/>
            </w:pPr>
            <w:r>
              <w:t>250.00</w:t>
            </w:r>
          </w:p>
        </w:tc>
        <w:tc>
          <w:tcPr>
            <w:tcW w:w="1134" w:type="dxa"/>
            <w:vAlign w:val="center"/>
          </w:tcPr>
          <w:p>
            <w:pPr>
              <w:pStyle w:val="12"/>
            </w:pPr>
            <w:r>
              <w:t>250.00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57.84</w:t>
            </w:r>
          </w:p>
        </w:tc>
        <w:tc>
          <w:tcPr>
            <w:tcW w:w="1134" w:type="dxa"/>
            <w:vAlign w:val="center"/>
          </w:tcPr>
          <w:p>
            <w:pPr>
              <w:pStyle w:val="12"/>
            </w:pPr>
            <w:r>
              <w:t>57.84</w:t>
            </w:r>
          </w:p>
        </w:tc>
        <w:tc>
          <w:tcPr>
            <w:tcW w:w="1134" w:type="dxa"/>
            <w:vAlign w:val="center"/>
          </w:tcPr>
          <w:p>
            <w:pPr>
              <w:pStyle w:val="12"/>
            </w:pPr>
            <w:r>
              <w:t>57.84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57.84</w:t>
            </w:r>
          </w:p>
        </w:tc>
        <w:tc>
          <w:tcPr>
            <w:tcW w:w="1134" w:type="dxa"/>
            <w:vAlign w:val="center"/>
          </w:tcPr>
          <w:p>
            <w:pPr>
              <w:pStyle w:val="12"/>
            </w:pPr>
            <w:r>
              <w:t>57.84</w:t>
            </w:r>
          </w:p>
        </w:tc>
        <w:tc>
          <w:tcPr>
            <w:tcW w:w="1134" w:type="dxa"/>
            <w:vAlign w:val="center"/>
          </w:tcPr>
          <w:p>
            <w:pPr>
              <w:pStyle w:val="12"/>
            </w:pPr>
            <w:r>
              <w:t>57.84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57.84</w:t>
            </w:r>
          </w:p>
        </w:tc>
        <w:tc>
          <w:tcPr>
            <w:tcW w:w="1134" w:type="dxa"/>
            <w:vAlign w:val="center"/>
          </w:tcPr>
          <w:p>
            <w:pPr>
              <w:pStyle w:val="12"/>
            </w:pPr>
            <w:r>
              <w:t>57.84</w:t>
            </w:r>
          </w:p>
        </w:tc>
        <w:tc>
          <w:tcPr>
            <w:tcW w:w="1134" w:type="dxa"/>
            <w:vAlign w:val="center"/>
          </w:tcPr>
          <w:p>
            <w:pPr>
              <w:pStyle w:val="12"/>
            </w:pPr>
            <w:r>
              <w:t>57.84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434唐山市开平区人民政府办公室</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1374.51</w:t>
            </w:r>
          </w:p>
        </w:tc>
        <w:tc>
          <w:tcPr>
            <w:tcW w:w="1361" w:type="dxa"/>
            <w:vAlign w:val="center"/>
          </w:tcPr>
          <w:p>
            <w:pPr>
              <w:pStyle w:val="16"/>
            </w:pPr>
            <w:r>
              <w:t>945.51</w:t>
            </w:r>
          </w:p>
        </w:tc>
        <w:tc>
          <w:tcPr>
            <w:tcW w:w="1361" w:type="dxa"/>
            <w:vAlign w:val="center"/>
          </w:tcPr>
          <w:p>
            <w:pPr>
              <w:pStyle w:val="16"/>
            </w:pPr>
            <w:r>
              <w:t>429.00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949.82</w:t>
            </w:r>
          </w:p>
        </w:tc>
        <w:tc>
          <w:tcPr>
            <w:tcW w:w="1361" w:type="dxa"/>
            <w:vAlign w:val="center"/>
          </w:tcPr>
          <w:p>
            <w:pPr>
              <w:pStyle w:val="12"/>
            </w:pPr>
            <w:r>
              <w:t>770.82</w:t>
            </w:r>
          </w:p>
        </w:tc>
        <w:tc>
          <w:tcPr>
            <w:tcW w:w="1361" w:type="dxa"/>
            <w:vAlign w:val="center"/>
          </w:tcPr>
          <w:p>
            <w:pPr>
              <w:pStyle w:val="12"/>
            </w:pPr>
            <w:r>
              <w:t>179.00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949.82</w:t>
            </w:r>
          </w:p>
        </w:tc>
        <w:tc>
          <w:tcPr>
            <w:tcW w:w="1361" w:type="dxa"/>
            <w:vAlign w:val="center"/>
          </w:tcPr>
          <w:p>
            <w:pPr>
              <w:pStyle w:val="12"/>
            </w:pPr>
            <w:r>
              <w:t>770.82</w:t>
            </w:r>
          </w:p>
        </w:tc>
        <w:tc>
          <w:tcPr>
            <w:tcW w:w="1361" w:type="dxa"/>
            <w:vAlign w:val="center"/>
          </w:tcPr>
          <w:p>
            <w:pPr>
              <w:pStyle w:val="12"/>
            </w:pPr>
            <w:r>
              <w:t>179.00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770.82</w:t>
            </w:r>
          </w:p>
        </w:tc>
        <w:tc>
          <w:tcPr>
            <w:tcW w:w="1361" w:type="dxa"/>
            <w:vAlign w:val="center"/>
          </w:tcPr>
          <w:p>
            <w:pPr>
              <w:pStyle w:val="12"/>
            </w:pPr>
            <w:r>
              <w:t>770.82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179.00</w:t>
            </w:r>
          </w:p>
        </w:tc>
        <w:tc>
          <w:tcPr>
            <w:tcW w:w="1361" w:type="dxa"/>
            <w:vAlign w:val="center"/>
          </w:tcPr>
          <w:p>
            <w:pPr>
              <w:pStyle w:val="12"/>
            </w:pPr>
          </w:p>
        </w:tc>
        <w:tc>
          <w:tcPr>
            <w:tcW w:w="1361" w:type="dxa"/>
            <w:vAlign w:val="center"/>
          </w:tcPr>
          <w:p>
            <w:pPr>
              <w:pStyle w:val="12"/>
            </w:pPr>
            <w:r>
              <w:t>179.00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35.38</w:t>
            </w:r>
          </w:p>
        </w:tc>
        <w:tc>
          <w:tcPr>
            <w:tcW w:w="1361" w:type="dxa"/>
            <w:vAlign w:val="center"/>
          </w:tcPr>
          <w:p>
            <w:pPr>
              <w:pStyle w:val="12"/>
            </w:pPr>
            <w:r>
              <w:t>35.38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35.38</w:t>
            </w:r>
          </w:p>
        </w:tc>
        <w:tc>
          <w:tcPr>
            <w:tcW w:w="1361" w:type="dxa"/>
            <w:vAlign w:val="center"/>
          </w:tcPr>
          <w:p>
            <w:pPr>
              <w:pStyle w:val="12"/>
            </w:pPr>
            <w:r>
              <w:t>35.38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35.38</w:t>
            </w:r>
          </w:p>
        </w:tc>
        <w:tc>
          <w:tcPr>
            <w:tcW w:w="1361" w:type="dxa"/>
            <w:vAlign w:val="center"/>
          </w:tcPr>
          <w:p>
            <w:pPr>
              <w:pStyle w:val="12"/>
            </w:pPr>
            <w:r>
              <w:t>35.38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81.48</w:t>
            </w:r>
          </w:p>
        </w:tc>
        <w:tc>
          <w:tcPr>
            <w:tcW w:w="1361" w:type="dxa"/>
            <w:vAlign w:val="center"/>
          </w:tcPr>
          <w:p>
            <w:pPr>
              <w:pStyle w:val="12"/>
            </w:pPr>
            <w:r>
              <w:t>81.48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81.48</w:t>
            </w:r>
          </w:p>
        </w:tc>
        <w:tc>
          <w:tcPr>
            <w:tcW w:w="1361" w:type="dxa"/>
            <w:vAlign w:val="center"/>
          </w:tcPr>
          <w:p>
            <w:pPr>
              <w:pStyle w:val="12"/>
            </w:pPr>
            <w:r>
              <w:t>81.48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81.48</w:t>
            </w:r>
          </w:p>
        </w:tc>
        <w:tc>
          <w:tcPr>
            <w:tcW w:w="1361" w:type="dxa"/>
            <w:vAlign w:val="center"/>
          </w:tcPr>
          <w:p>
            <w:pPr>
              <w:pStyle w:val="12"/>
            </w:pPr>
            <w:r>
              <w:t>81.48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250.00</w:t>
            </w:r>
          </w:p>
        </w:tc>
        <w:tc>
          <w:tcPr>
            <w:tcW w:w="1361" w:type="dxa"/>
            <w:vAlign w:val="center"/>
          </w:tcPr>
          <w:p>
            <w:pPr>
              <w:pStyle w:val="12"/>
            </w:pPr>
          </w:p>
        </w:tc>
        <w:tc>
          <w:tcPr>
            <w:tcW w:w="1361" w:type="dxa"/>
            <w:vAlign w:val="center"/>
          </w:tcPr>
          <w:p>
            <w:pPr>
              <w:pStyle w:val="12"/>
            </w:pPr>
            <w:r>
              <w:t>250.00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250.00</w:t>
            </w:r>
          </w:p>
        </w:tc>
        <w:tc>
          <w:tcPr>
            <w:tcW w:w="1361" w:type="dxa"/>
            <w:vAlign w:val="center"/>
          </w:tcPr>
          <w:p>
            <w:pPr>
              <w:pStyle w:val="12"/>
            </w:pPr>
          </w:p>
        </w:tc>
        <w:tc>
          <w:tcPr>
            <w:tcW w:w="1361" w:type="dxa"/>
            <w:vAlign w:val="center"/>
          </w:tcPr>
          <w:p>
            <w:pPr>
              <w:pStyle w:val="12"/>
            </w:pPr>
            <w:r>
              <w:t>250.00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250.00</w:t>
            </w:r>
          </w:p>
        </w:tc>
        <w:tc>
          <w:tcPr>
            <w:tcW w:w="1361" w:type="dxa"/>
            <w:vAlign w:val="center"/>
          </w:tcPr>
          <w:p>
            <w:pPr>
              <w:pStyle w:val="12"/>
            </w:pPr>
          </w:p>
        </w:tc>
        <w:tc>
          <w:tcPr>
            <w:tcW w:w="1361" w:type="dxa"/>
            <w:vAlign w:val="center"/>
          </w:tcPr>
          <w:p>
            <w:pPr>
              <w:pStyle w:val="12"/>
            </w:pPr>
            <w:r>
              <w:t>250.00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57.84</w:t>
            </w:r>
          </w:p>
        </w:tc>
        <w:tc>
          <w:tcPr>
            <w:tcW w:w="1361" w:type="dxa"/>
            <w:vAlign w:val="center"/>
          </w:tcPr>
          <w:p>
            <w:pPr>
              <w:pStyle w:val="12"/>
            </w:pPr>
            <w:r>
              <w:t>57.84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57.84</w:t>
            </w:r>
          </w:p>
        </w:tc>
        <w:tc>
          <w:tcPr>
            <w:tcW w:w="1361" w:type="dxa"/>
            <w:vAlign w:val="center"/>
          </w:tcPr>
          <w:p>
            <w:pPr>
              <w:pStyle w:val="12"/>
            </w:pPr>
            <w:r>
              <w:t>57.84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57.84</w:t>
            </w:r>
          </w:p>
        </w:tc>
        <w:tc>
          <w:tcPr>
            <w:tcW w:w="1361" w:type="dxa"/>
            <w:vAlign w:val="center"/>
          </w:tcPr>
          <w:p>
            <w:pPr>
              <w:pStyle w:val="12"/>
            </w:pPr>
            <w:r>
              <w:t>57.84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434唐山市开平区人民政府办公室</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1124.51</w:t>
            </w:r>
          </w:p>
        </w:tc>
        <w:tc>
          <w:tcPr>
            <w:tcW w:w="3402" w:type="dxa"/>
            <w:vAlign w:val="center"/>
          </w:tcPr>
          <w:p>
            <w:pPr>
              <w:pStyle w:val="13"/>
            </w:pPr>
            <w:r>
              <w:t>一、一般公共服务支出</w:t>
            </w:r>
          </w:p>
        </w:tc>
        <w:tc>
          <w:tcPr>
            <w:tcW w:w="1474" w:type="dxa"/>
            <w:vAlign w:val="center"/>
          </w:tcPr>
          <w:p>
            <w:pPr>
              <w:pStyle w:val="12"/>
            </w:pPr>
            <w:r>
              <w:t>949.82</w:t>
            </w:r>
          </w:p>
        </w:tc>
        <w:tc>
          <w:tcPr>
            <w:tcW w:w="1474" w:type="dxa"/>
            <w:vAlign w:val="center"/>
          </w:tcPr>
          <w:p>
            <w:pPr>
              <w:pStyle w:val="12"/>
            </w:pPr>
            <w:r>
              <w:t>949.82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250.00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35.38</w:t>
            </w:r>
          </w:p>
        </w:tc>
        <w:tc>
          <w:tcPr>
            <w:tcW w:w="1474" w:type="dxa"/>
            <w:vAlign w:val="center"/>
          </w:tcPr>
          <w:p>
            <w:pPr>
              <w:pStyle w:val="12"/>
            </w:pPr>
            <w:r>
              <w:t>35.38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81.48</w:t>
            </w:r>
          </w:p>
        </w:tc>
        <w:tc>
          <w:tcPr>
            <w:tcW w:w="1474" w:type="dxa"/>
            <w:vAlign w:val="center"/>
          </w:tcPr>
          <w:p>
            <w:pPr>
              <w:pStyle w:val="12"/>
            </w:pPr>
            <w:r>
              <w:t>81.48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250.00</w:t>
            </w:r>
          </w:p>
        </w:tc>
        <w:tc>
          <w:tcPr>
            <w:tcW w:w="1474" w:type="dxa"/>
            <w:vAlign w:val="center"/>
          </w:tcPr>
          <w:p>
            <w:pPr>
              <w:pStyle w:val="12"/>
            </w:pPr>
          </w:p>
        </w:tc>
        <w:tc>
          <w:tcPr>
            <w:tcW w:w="1474" w:type="dxa"/>
            <w:vAlign w:val="center"/>
          </w:tcPr>
          <w:p>
            <w:pPr>
              <w:pStyle w:val="12"/>
            </w:pPr>
            <w:r>
              <w:t>250.00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57.84</w:t>
            </w:r>
          </w:p>
        </w:tc>
        <w:tc>
          <w:tcPr>
            <w:tcW w:w="1474" w:type="dxa"/>
            <w:vAlign w:val="center"/>
          </w:tcPr>
          <w:p>
            <w:pPr>
              <w:pStyle w:val="12"/>
            </w:pPr>
            <w:r>
              <w:t>57.84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1374.51</w:t>
            </w:r>
          </w:p>
        </w:tc>
        <w:tc>
          <w:tcPr>
            <w:tcW w:w="3402" w:type="dxa"/>
            <w:vAlign w:val="center"/>
          </w:tcPr>
          <w:p>
            <w:pPr>
              <w:pStyle w:val="15"/>
            </w:pPr>
            <w:r>
              <w:t>本年支出合计</w:t>
            </w:r>
          </w:p>
        </w:tc>
        <w:tc>
          <w:tcPr>
            <w:tcW w:w="1474" w:type="dxa"/>
            <w:vAlign w:val="center"/>
          </w:tcPr>
          <w:p>
            <w:pPr>
              <w:pStyle w:val="16"/>
            </w:pPr>
            <w:r>
              <w:t>1374.51</w:t>
            </w:r>
          </w:p>
        </w:tc>
        <w:tc>
          <w:tcPr>
            <w:tcW w:w="1474" w:type="dxa"/>
            <w:vAlign w:val="center"/>
          </w:tcPr>
          <w:p>
            <w:pPr>
              <w:pStyle w:val="16"/>
            </w:pPr>
            <w:r>
              <w:t>1124.51</w:t>
            </w:r>
          </w:p>
        </w:tc>
        <w:tc>
          <w:tcPr>
            <w:tcW w:w="1474" w:type="dxa"/>
            <w:vAlign w:val="center"/>
          </w:tcPr>
          <w:p>
            <w:pPr>
              <w:pStyle w:val="16"/>
            </w:pPr>
            <w:r>
              <w:t>250.00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1374.51</w:t>
            </w:r>
          </w:p>
        </w:tc>
        <w:tc>
          <w:tcPr>
            <w:tcW w:w="3402" w:type="dxa"/>
            <w:vAlign w:val="center"/>
          </w:tcPr>
          <w:p>
            <w:pPr>
              <w:pStyle w:val="15"/>
            </w:pPr>
            <w:r>
              <w:t>支出总计</w:t>
            </w:r>
          </w:p>
        </w:tc>
        <w:tc>
          <w:tcPr>
            <w:tcW w:w="1474" w:type="dxa"/>
            <w:vAlign w:val="center"/>
          </w:tcPr>
          <w:p>
            <w:pPr>
              <w:pStyle w:val="16"/>
            </w:pPr>
            <w:r>
              <w:t>1374.51</w:t>
            </w:r>
          </w:p>
        </w:tc>
        <w:tc>
          <w:tcPr>
            <w:tcW w:w="1474" w:type="dxa"/>
            <w:vAlign w:val="center"/>
          </w:tcPr>
          <w:p>
            <w:pPr>
              <w:pStyle w:val="16"/>
            </w:pPr>
            <w:r>
              <w:t>1124.51</w:t>
            </w:r>
          </w:p>
        </w:tc>
        <w:tc>
          <w:tcPr>
            <w:tcW w:w="1474" w:type="dxa"/>
            <w:vAlign w:val="center"/>
          </w:tcPr>
          <w:p>
            <w:pPr>
              <w:pStyle w:val="16"/>
            </w:pPr>
            <w:r>
              <w:t>250.00</w:t>
            </w: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434唐山市开平区人民政府办公室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1124.51</w:t>
            </w:r>
          </w:p>
        </w:tc>
        <w:tc>
          <w:tcPr>
            <w:tcW w:w="2551" w:type="dxa"/>
            <w:vAlign w:val="center"/>
          </w:tcPr>
          <w:p>
            <w:pPr>
              <w:pStyle w:val="16"/>
            </w:pPr>
            <w:r>
              <w:t>945.51</w:t>
            </w:r>
          </w:p>
        </w:tc>
        <w:tc>
          <w:tcPr>
            <w:tcW w:w="2551" w:type="dxa"/>
            <w:vAlign w:val="center"/>
          </w:tcPr>
          <w:p>
            <w:pPr>
              <w:pStyle w:val="16"/>
            </w:pPr>
            <w:r>
              <w:t>179.00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949.82</w:t>
            </w:r>
          </w:p>
        </w:tc>
        <w:tc>
          <w:tcPr>
            <w:tcW w:w="2551" w:type="dxa"/>
            <w:vAlign w:val="center"/>
          </w:tcPr>
          <w:p>
            <w:pPr>
              <w:pStyle w:val="12"/>
            </w:pPr>
            <w:r>
              <w:t>770.82</w:t>
            </w:r>
          </w:p>
        </w:tc>
        <w:tc>
          <w:tcPr>
            <w:tcW w:w="2551" w:type="dxa"/>
            <w:vAlign w:val="center"/>
          </w:tcPr>
          <w:p>
            <w:pPr>
              <w:pStyle w:val="12"/>
            </w:pPr>
            <w:r>
              <w:t>179.00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949.82</w:t>
            </w:r>
          </w:p>
        </w:tc>
        <w:tc>
          <w:tcPr>
            <w:tcW w:w="2551" w:type="dxa"/>
            <w:vAlign w:val="center"/>
          </w:tcPr>
          <w:p>
            <w:pPr>
              <w:pStyle w:val="12"/>
            </w:pPr>
            <w:r>
              <w:t>770.82</w:t>
            </w:r>
          </w:p>
        </w:tc>
        <w:tc>
          <w:tcPr>
            <w:tcW w:w="2551" w:type="dxa"/>
            <w:vAlign w:val="center"/>
          </w:tcPr>
          <w:p>
            <w:pPr>
              <w:pStyle w:val="12"/>
            </w:pPr>
            <w:r>
              <w:t>179.00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770.82</w:t>
            </w:r>
          </w:p>
        </w:tc>
        <w:tc>
          <w:tcPr>
            <w:tcW w:w="2551" w:type="dxa"/>
            <w:vAlign w:val="center"/>
          </w:tcPr>
          <w:p>
            <w:pPr>
              <w:pStyle w:val="12"/>
            </w:pPr>
            <w:r>
              <w:t>770.82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179.00</w:t>
            </w:r>
          </w:p>
        </w:tc>
        <w:tc>
          <w:tcPr>
            <w:tcW w:w="2551" w:type="dxa"/>
            <w:vAlign w:val="center"/>
          </w:tcPr>
          <w:p>
            <w:pPr>
              <w:pStyle w:val="12"/>
            </w:pPr>
          </w:p>
        </w:tc>
        <w:tc>
          <w:tcPr>
            <w:tcW w:w="2551" w:type="dxa"/>
            <w:vAlign w:val="center"/>
          </w:tcPr>
          <w:p>
            <w:pPr>
              <w:pStyle w:val="12"/>
            </w:pPr>
            <w:r>
              <w:t>179.00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35.38</w:t>
            </w:r>
          </w:p>
        </w:tc>
        <w:tc>
          <w:tcPr>
            <w:tcW w:w="2551" w:type="dxa"/>
            <w:vAlign w:val="center"/>
          </w:tcPr>
          <w:p>
            <w:pPr>
              <w:pStyle w:val="12"/>
            </w:pPr>
            <w:r>
              <w:t>35.38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35.38</w:t>
            </w:r>
          </w:p>
        </w:tc>
        <w:tc>
          <w:tcPr>
            <w:tcW w:w="2551" w:type="dxa"/>
            <w:vAlign w:val="center"/>
          </w:tcPr>
          <w:p>
            <w:pPr>
              <w:pStyle w:val="12"/>
            </w:pPr>
            <w:r>
              <w:t>35.38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35.38</w:t>
            </w:r>
          </w:p>
        </w:tc>
        <w:tc>
          <w:tcPr>
            <w:tcW w:w="2551" w:type="dxa"/>
            <w:vAlign w:val="center"/>
          </w:tcPr>
          <w:p>
            <w:pPr>
              <w:pStyle w:val="12"/>
            </w:pPr>
            <w:r>
              <w:t>35.38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81.48</w:t>
            </w:r>
          </w:p>
        </w:tc>
        <w:tc>
          <w:tcPr>
            <w:tcW w:w="2551" w:type="dxa"/>
            <w:vAlign w:val="center"/>
          </w:tcPr>
          <w:p>
            <w:pPr>
              <w:pStyle w:val="12"/>
            </w:pPr>
            <w:r>
              <w:t>81.48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81.48</w:t>
            </w:r>
          </w:p>
        </w:tc>
        <w:tc>
          <w:tcPr>
            <w:tcW w:w="2551" w:type="dxa"/>
            <w:vAlign w:val="center"/>
          </w:tcPr>
          <w:p>
            <w:pPr>
              <w:pStyle w:val="12"/>
            </w:pPr>
            <w:r>
              <w:t>81.48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81.48</w:t>
            </w:r>
          </w:p>
        </w:tc>
        <w:tc>
          <w:tcPr>
            <w:tcW w:w="2551" w:type="dxa"/>
            <w:vAlign w:val="center"/>
          </w:tcPr>
          <w:p>
            <w:pPr>
              <w:pStyle w:val="12"/>
            </w:pPr>
            <w:r>
              <w:t>81.48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57.84</w:t>
            </w:r>
          </w:p>
        </w:tc>
        <w:tc>
          <w:tcPr>
            <w:tcW w:w="2551" w:type="dxa"/>
            <w:vAlign w:val="center"/>
          </w:tcPr>
          <w:p>
            <w:pPr>
              <w:pStyle w:val="12"/>
            </w:pPr>
            <w:r>
              <w:t>57.84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57.84</w:t>
            </w:r>
          </w:p>
        </w:tc>
        <w:tc>
          <w:tcPr>
            <w:tcW w:w="2551" w:type="dxa"/>
            <w:vAlign w:val="center"/>
          </w:tcPr>
          <w:p>
            <w:pPr>
              <w:pStyle w:val="12"/>
            </w:pPr>
            <w:r>
              <w:t>57.84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57.84</w:t>
            </w:r>
          </w:p>
        </w:tc>
        <w:tc>
          <w:tcPr>
            <w:tcW w:w="2551" w:type="dxa"/>
            <w:vAlign w:val="center"/>
          </w:tcPr>
          <w:p>
            <w:pPr>
              <w:pStyle w:val="12"/>
            </w:pPr>
            <w:r>
              <w:t>57.84</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434唐山市开平区人民政府办公室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945.51</w:t>
            </w:r>
          </w:p>
        </w:tc>
        <w:tc>
          <w:tcPr>
            <w:tcW w:w="2551" w:type="dxa"/>
            <w:vAlign w:val="center"/>
          </w:tcPr>
          <w:p>
            <w:pPr>
              <w:pStyle w:val="16"/>
            </w:pPr>
            <w:r>
              <w:t>880.20</w:t>
            </w:r>
          </w:p>
        </w:tc>
        <w:tc>
          <w:tcPr>
            <w:tcW w:w="2551" w:type="dxa"/>
            <w:vAlign w:val="center"/>
          </w:tcPr>
          <w:p>
            <w:pPr>
              <w:pStyle w:val="16"/>
            </w:pPr>
            <w:r>
              <w:t>65.31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846.92</w:t>
            </w:r>
          </w:p>
        </w:tc>
        <w:tc>
          <w:tcPr>
            <w:tcW w:w="2551" w:type="dxa"/>
            <w:vAlign w:val="center"/>
          </w:tcPr>
          <w:p>
            <w:pPr>
              <w:pStyle w:val="12"/>
            </w:pPr>
            <w:r>
              <w:t>846.92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287.46</w:t>
            </w:r>
          </w:p>
        </w:tc>
        <w:tc>
          <w:tcPr>
            <w:tcW w:w="2551" w:type="dxa"/>
            <w:vAlign w:val="center"/>
          </w:tcPr>
          <w:p>
            <w:pPr>
              <w:pStyle w:val="12"/>
            </w:pPr>
            <w:r>
              <w:t>287.46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130.17</w:t>
            </w:r>
          </w:p>
        </w:tc>
        <w:tc>
          <w:tcPr>
            <w:tcW w:w="2551" w:type="dxa"/>
            <w:vAlign w:val="center"/>
          </w:tcPr>
          <w:p>
            <w:pPr>
              <w:pStyle w:val="12"/>
            </w:pPr>
            <w:r>
              <w:t>130.17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26.04</w:t>
            </w:r>
          </w:p>
        </w:tc>
        <w:tc>
          <w:tcPr>
            <w:tcW w:w="2551" w:type="dxa"/>
            <w:vAlign w:val="center"/>
          </w:tcPr>
          <w:p>
            <w:pPr>
              <w:pStyle w:val="12"/>
            </w:pPr>
            <w:r>
              <w:t>26.04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101.22</w:t>
            </w:r>
          </w:p>
        </w:tc>
        <w:tc>
          <w:tcPr>
            <w:tcW w:w="2551" w:type="dxa"/>
            <w:vAlign w:val="center"/>
          </w:tcPr>
          <w:p>
            <w:pPr>
              <w:pStyle w:val="12"/>
            </w:pPr>
            <w:r>
              <w:t>101.22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62.30</w:t>
            </w:r>
          </w:p>
        </w:tc>
        <w:tc>
          <w:tcPr>
            <w:tcW w:w="2551" w:type="dxa"/>
            <w:vAlign w:val="center"/>
          </w:tcPr>
          <w:p>
            <w:pPr>
              <w:pStyle w:val="12"/>
            </w:pPr>
            <w:r>
              <w:t>62.30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67.91</w:t>
            </w:r>
          </w:p>
        </w:tc>
        <w:tc>
          <w:tcPr>
            <w:tcW w:w="2551" w:type="dxa"/>
            <w:vAlign w:val="center"/>
          </w:tcPr>
          <w:p>
            <w:pPr>
              <w:pStyle w:val="12"/>
            </w:pPr>
            <w:r>
              <w:t>67.91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3.01</w:t>
            </w:r>
          </w:p>
        </w:tc>
        <w:tc>
          <w:tcPr>
            <w:tcW w:w="2551" w:type="dxa"/>
            <w:vAlign w:val="center"/>
          </w:tcPr>
          <w:p>
            <w:pPr>
              <w:pStyle w:val="12"/>
            </w:pPr>
            <w:r>
              <w:t>3.01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48.06</w:t>
            </w:r>
          </w:p>
        </w:tc>
        <w:tc>
          <w:tcPr>
            <w:tcW w:w="2551" w:type="dxa"/>
            <w:vAlign w:val="center"/>
          </w:tcPr>
          <w:p>
            <w:pPr>
              <w:pStyle w:val="12"/>
            </w:pPr>
            <w:r>
              <w:t>48.06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120.74</w:t>
            </w:r>
          </w:p>
        </w:tc>
        <w:tc>
          <w:tcPr>
            <w:tcW w:w="2551" w:type="dxa"/>
            <w:vAlign w:val="center"/>
          </w:tcPr>
          <w:p>
            <w:pPr>
              <w:pStyle w:val="12"/>
            </w:pPr>
            <w:r>
              <w:t>120.74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65.31</w:t>
            </w:r>
          </w:p>
        </w:tc>
        <w:tc>
          <w:tcPr>
            <w:tcW w:w="2551" w:type="dxa"/>
            <w:vAlign w:val="center"/>
          </w:tcPr>
          <w:p>
            <w:pPr>
              <w:pStyle w:val="12"/>
            </w:pPr>
          </w:p>
        </w:tc>
        <w:tc>
          <w:tcPr>
            <w:tcW w:w="2551" w:type="dxa"/>
            <w:vAlign w:val="center"/>
          </w:tcPr>
          <w:p>
            <w:pPr>
              <w:pStyle w:val="12"/>
            </w:pPr>
            <w:r>
              <w:t>65.31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16.80</w:t>
            </w:r>
          </w:p>
        </w:tc>
        <w:tc>
          <w:tcPr>
            <w:tcW w:w="2551" w:type="dxa"/>
            <w:vAlign w:val="center"/>
          </w:tcPr>
          <w:p>
            <w:pPr>
              <w:pStyle w:val="12"/>
            </w:pPr>
          </w:p>
        </w:tc>
        <w:tc>
          <w:tcPr>
            <w:tcW w:w="2551" w:type="dxa"/>
            <w:vAlign w:val="center"/>
          </w:tcPr>
          <w:p>
            <w:pPr>
              <w:pStyle w:val="12"/>
            </w:pPr>
            <w:r>
              <w:t>16.80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10.57</w:t>
            </w:r>
          </w:p>
        </w:tc>
        <w:tc>
          <w:tcPr>
            <w:tcW w:w="2551" w:type="dxa"/>
            <w:vAlign w:val="center"/>
          </w:tcPr>
          <w:p>
            <w:pPr>
              <w:pStyle w:val="12"/>
            </w:pPr>
          </w:p>
        </w:tc>
        <w:tc>
          <w:tcPr>
            <w:tcW w:w="2551" w:type="dxa"/>
            <w:vAlign w:val="center"/>
          </w:tcPr>
          <w:p>
            <w:pPr>
              <w:pStyle w:val="12"/>
            </w:pPr>
            <w:r>
              <w:t>10.57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3.69</w:t>
            </w:r>
          </w:p>
        </w:tc>
        <w:tc>
          <w:tcPr>
            <w:tcW w:w="2551" w:type="dxa"/>
            <w:vAlign w:val="center"/>
          </w:tcPr>
          <w:p>
            <w:pPr>
              <w:pStyle w:val="12"/>
            </w:pPr>
          </w:p>
        </w:tc>
        <w:tc>
          <w:tcPr>
            <w:tcW w:w="2551" w:type="dxa"/>
            <w:vAlign w:val="center"/>
          </w:tcPr>
          <w:p>
            <w:pPr>
              <w:pStyle w:val="12"/>
            </w:pPr>
            <w:r>
              <w:t>3.69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4.62</w:t>
            </w:r>
          </w:p>
        </w:tc>
        <w:tc>
          <w:tcPr>
            <w:tcW w:w="2551" w:type="dxa"/>
            <w:vAlign w:val="center"/>
          </w:tcPr>
          <w:p>
            <w:pPr>
              <w:pStyle w:val="12"/>
            </w:pPr>
          </w:p>
        </w:tc>
        <w:tc>
          <w:tcPr>
            <w:tcW w:w="2551" w:type="dxa"/>
            <w:vAlign w:val="center"/>
          </w:tcPr>
          <w:p>
            <w:pPr>
              <w:pStyle w:val="12"/>
            </w:pPr>
            <w:r>
              <w:t>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10.80</w:t>
            </w:r>
          </w:p>
        </w:tc>
        <w:tc>
          <w:tcPr>
            <w:tcW w:w="2551" w:type="dxa"/>
            <w:vAlign w:val="center"/>
          </w:tcPr>
          <w:p>
            <w:pPr>
              <w:pStyle w:val="12"/>
            </w:pPr>
          </w:p>
        </w:tc>
        <w:tc>
          <w:tcPr>
            <w:tcW w:w="2551" w:type="dxa"/>
            <w:vAlign w:val="center"/>
          </w:tcPr>
          <w:p>
            <w:pPr>
              <w:pStyle w:val="12"/>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16.73</w:t>
            </w:r>
          </w:p>
        </w:tc>
        <w:tc>
          <w:tcPr>
            <w:tcW w:w="2551" w:type="dxa"/>
            <w:vAlign w:val="center"/>
          </w:tcPr>
          <w:p>
            <w:pPr>
              <w:pStyle w:val="12"/>
            </w:pPr>
          </w:p>
        </w:tc>
        <w:tc>
          <w:tcPr>
            <w:tcW w:w="2551" w:type="dxa"/>
            <w:vAlign w:val="center"/>
          </w:tcPr>
          <w:p>
            <w:pPr>
              <w:pStyle w:val="12"/>
            </w:pPr>
            <w:r>
              <w:t>16.73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2.10</w:t>
            </w:r>
          </w:p>
        </w:tc>
        <w:tc>
          <w:tcPr>
            <w:tcW w:w="2551" w:type="dxa"/>
            <w:vAlign w:val="center"/>
          </w:tcPr>
          <w:p>
            <w:pPr>
              <w:pStyle w:val="12"/>
            </w:pPr>
          </w:p>
        </w:tc>
        <w:tc>
          <w:tcPr>
            <w:tcW w:w="2551" w:type="dxa"/>
            <w:vAlign w:val="center"/>
          </w:tcPr>
          <w:p>
            <w:pPr>
              <w:pStyle w:val="12"/>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33.28</w:t>
            </w:r>
          </w:p>
        </w:tc>
        <w:tc>
          <w:tcPr>
            <w:tcW w:w="2551" w:type="dxa"/>
            <w:vAlign w:val="center"/>
          </w:tcPr>
          <w:p>
            <w:pPr>
              <w:pStyle w:val="12"/>
            </w:pPr>
            <w:r>
              <w:t>33.28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1.63</w:t>
            </w:r>
          </w:p>
        </w:tc>
        <w:tc>
          <w:tcPr>
            <w:tcW w:w="2551" w:type="dxa"/>
            <w:vAlign w:val="center"/>
          </w:tcPr>
          <w:p>
            <w:pPr>
              <w:pStyle w:val="12"/>
            </w:pPr>
            <w:r>
              <w:t>1.63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31.65</w:t>
            </w:r>
          </w:p>
        </w:tc>
        <w:tc>
          <w:tcPr>
            <w:tcW w:w="2551" w:type="dxa"/>
            <w:vAlign w:val="center"/>
          </w:tcPr>
          <w:p>
            <w:pPr>
              <w:pStyle w:val="12"/>
            </w:pPr>
            <w:r>
              <w:t>31.65</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434唐山市开平区人民政府办公室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250.00</w:t>
            </w:r>
          </w:p>
        </w:tc>
        <w:tc>
          <w:tcPr>
            <w:tcW w:w="2551" w:type="dxa"/>
            <w:vAlign w:val="center"/>
          </w:tcPr>
          <w:p>
            <w:pPr>
              <w:pStyle w:val="16"/>
            </w:pPr>
          </w:p>
        </w:tc>
        <w:tc>
          <w:tcPr>
            <w:tcW w:w="2551" w:type="dxa"/>
            <w:vAlign w:val="center"/>
          </w:tcPr>
          <w:p>
            <w:pPr>
              <w:pStyle w:val="16"/>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250.00</w:t>
            </w:r>
          </w:p>
        </w:tc>
        <w:tc>
          <w:tcPr>
            <w:tcW w:w="2551" w:type="dxa"/>
            <w:vAlign w:val="center"/>
          </w:tcPr>
          <w:p>
            <w:pPr>
              <w:pStyle w:val="12"/>
            </w:pPr>
          </w:p>
        </w:tc>
        <w:tc>
          <w:tcPr>
            <w:tcW w:w="2551" w:type="dxa"/>
            <w:vAlign w:val="center"/>
          </w:tcPr>
          <w:p>
            <w:pPr>
              <w:pStyle w:val="12"/>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250.00</w:t>
            </w:r>
          </w:p>
        </w:tc>
        <w:tc>
          <w:tcPr>
            <w:tcW w:w="2551" w:type="dxa"/>
            <w:vAlign w:val="center"/>
          </w:tcPr>
          <w:p>
            <w:pPr>
              <w:pStyle w:val="12"/>
            </w:pPr>
          </w:p>
        </w:tc>
        <w:tc>
          <w:tcPr>
            <w:tcW w:w="2551" w:type="dxa"/>
            <w:vAlign w:val="center"/>
          </w:tcPr>
          <w:p>
            <w:pPr>
              <w:pStyle w:val="12"/>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250.00</w:t>
            </w:r>
          </w:p>
        </w:tc>
        <w:tc>
          <w:tcPr>
            <w:tcW w:w="2551" w:type="dxa"/>
            <w:vAlign w:val="center"/>
          </w:tcPr>
          <w:p>
            <w:pPr>
              <w:pStyle w:val="12"/>
            </w:pPr>
          </w:p>
        </w:tc>
        <w:tc>
          <w:tcPr>
            <w:tcW w:w="2551" w:type="dxa"/>
            <w:vAlign w:val="center"/>
          </w:tcPr>
          <w:p>
            <w:pPr>
              <w:pStyle w:val="12"/>
            </w:pPr>
            <w:r>
              <w:t>250.00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434唐山市开平区人民政府办公室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434唐山市开平区人民政府办公室</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10.80</w:t>
            </w:r>
          </w:p>
        </w:tc>
        <w:tc>
          <w:tcPr>
            <w:tcW w:w="2381" w:type="dxa"/>
            <w:vAlign w:val="center"/>
          </w:tcPr>
          <w:p>
            <w:pPr>
              <w:pStyle w:val="16"/>
            </w:pPr>
            <w:r>
              <w:t>10.80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10.80</w:t>
            </w:r>
          </w:p>
        </w:tc>
        <w:tc>
          <w:tcPr>
            <w:tcW w:w="2381" w:type="dxa"/>
            <w:vAlign w:val="center"/>
          </w:tcPr>
          <w:p>
            <w:pPr>
              <w:pStyle w:val="12"/>
            </w:pPr>
            <w:r>
              <w:t>10.80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10.80</w:t>
            </w:r>
          </w:p>
        </w:tc>
        <w:tc>
          <w:tcPr>
            <w:tcW w:w="2381" w:type="dxa"/>
            <w:vAlign w:val="center"/>
          </w:tcPr>
          <w:p>
            <w:pPr>
              <w:pStyle w:val="12"/>
            </w:pPr>
            <w:r>
              <w:t>10.80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10.80</w:t>
            </w:r>
          </w:p>
        </w:tc>
        <w:tc>
          <w:tcPr>
            <w:tcW w:w="2381" w:type="dxa"/>
            <w:vAlign w:val="center"/>
          </w:tcPr>
          <w:p>
            <w:pPr>
              <w:pStyle w:val="12"/>
            </w:pPr>
            <w:r>
              <w:t>10.80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唐山市开平区人民政府办公室2025年部门预算信息公开情况说明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唐山市开平区人民政府办公室2025年部门预算信息公开情况说明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按照《中华人民共和国预算法》、《地方预决算公开操作规程》和《关于进一步推进预算公开工作的实施意见》规定，现将唐山市开平区人民政府办公室2025年部门预算公开如下：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pStyle w:val="18"/>
      </w:pPr>
    </w:p>
    <w:p>
      <w:pPr>
        <w:pStyle w:val="18"/>
      </w:pPr>
    </w:p>
    <w:p>
      <w:pPr>
        <w:pStyle w:val="18"/>
      </w:pPr>
      <w:r>
        <w:t>根据《唐山市开平区人民政府办公室职能配置、内设机构和人员编制规定》，唐山市开平区人民政府办公室的主要职责是：</w:t>
      </w:r>
    </w:p>
    <w:p>
      <w:pPr>
        <w:pStyle w:val="18"/>
      </w:pPr>
      <w:r>
        <w:t>部门职责：</w:t>
      </w:r>
    </w:p>
    <w:p>
      <w:pPr>
        <w:pStyle w:val="18"/>
      </w:pPr>
      <w:r>
        <w:t>（一）综合一科</w:t>
      </w:r>
    </w:p>
    <w:p>
      <w:pPr>
        <w:pStyle w:val="18"/>
      </w:pPr>
      <w:r>
        <w:t>1、负责组织起草区长讲话和其他重要文稿；负责区长批件、交办事项的催办、反馈及有关会议、活动的会务和组织工作。</w:t>
      </w:r>
    </w:p>
    <w:p>
      <w:pPr>
        <w:pStyle w:val="18"/>
      </w:pPr>
      <w:r>
        <w:t>2、负责政务信息的收集、选择、提供、反馈工作；负责信息刊物编发工作；负责向国务院、省政府办公厅、市政府办公室报送有关信息；指导区政府各部门和各镇人民政府、街道办事处以及开发区管委会政务信息工作；负责与外埠的信息交流工作。</w:t>
      </w:r>
    </w:p>
    <w:p>
      <w:pPr>
        <w:pStyle w:val="18"/>
      </w:pPr>
      <w:r>
        <w:t>3、按区长指示开展决策调研、重大专项调研等调研工作；协助做好区政府主要领导相关文稿起草工作。</w:t>
      </w:r>
    </w:p>
    <w:p>
      <w:pPr>
        <w:pStyle w:val="18"/>
      </w:pPr>
      <w:r>
        <w:t>4、承办领导交办的其他事项。</w:t>
      </w:r>
    </w:p>
    <w:p>
      <w:pPr>
        <w:pStyle w:val="18"/>
      </w:pPr>
      <w:r>
        <w:t>（二）综合二科</w:t>
      </w:r>
    </w:p>
    <w:p>
      <w:pPr>
        <w:pStyle w:val="18"/>
      </w:pPr>
      <w:r>
        <w:t>1、为常务副区长政务工作提供服务，承担文稿起草、调查研究、有关公务活动组织协调、批件和交办事项的督办落实反馈及有关会议、活动的会务和组织等工作；按常务副区长指示开展决策调研、重大专项调研等调研工作；协助做好区政府领导相关文稿起草工作；</w:t>
      </w:r>
    </w:p>
    <w:p>
      <w:pPr>
        <w:pStyle w:val="18"/>
      </w:pPr>
      <w:r>
        <w:t>2、负责办理财政、金融、国税、地税等方面的工作；负责国家和省财税体制改革相关政策的督导落实工作。</w:t>
      </w:r>
    </w:p>
    <w:p>
      <w:pPr>
        <w:pStyle w:val="18"/>
      </w:pPr>
      <w:r>
        <w:t>3、负责区政府领导和办公室主要领导交办事项的督办、协调工作。</w:t>
      </w:r>
    </w:p>
    <w:p>
      <w:pPr>
        <w:pStyle w:val="18"/>
      </w:pPr>
      <w:r>
        <w:t>4、负责组织办理上级和本级人大代表建议和政协委员提案工作；负责接待处理上级和本级人大代表、政协委员来信、来访；参与区政府领导与人大代表、政协委员联系活动和接洽、服务工作。</w:t>
      </w:r>
    </w:p>
    <w:p>
      <w:pPr>
        <w:pStyle w:val="18"/>
      </w:pPr>
      <w:r>
        <w:t>5、负责全区金融改革创新发展政策研究与组织实施工作，拟定地方金融改革发展的意见并组织实施；组织协调新设立的地方法人金融机构的谋划、筹建、申报等前期工作；负责培育我区企业参与多层次资本市场、改革发展的政策措施；协调推动、培育推荐企业挂牌上市，配合做好全区直接融资工作；负责全区地方金融监督管理工作；协调有关部门依法做好防范和处置非法集资工作，负责开展相关宣传教育、政策解释和业务指导工作；协调组织全区金融风险防范和处置化解工作。</w:t>
      </w:r>
    </w:p>
    <w:p>
      <w:pPr>
        <w:pStyle w:val="18"/>
      </w:pPr>
      <w:r>
        <w:t>6、负责拟订全区人民防空发展规划，编制工作年度计划并督导落实；审核城市总体规划中人民防空内容；负责人民防空工程建设技术、质量、造价管理，监督人民防空工程维护与使用管理，指导城市地下空间开发利用落实兼顾人民防空要求；组织开展防空防灾宣传教育工作。</w:t>
      </w:r>
    </w:p>
    <w:p>
      <w:pPr>
        <w:pStyle w:val="18"/>
      </w:pPr>
      <w:r>
        <w:t>7、承办领导交办的其他事项。</w:t>
      </w:r>
    </w:p>
    <w:p>
      <w:pPr>
        <w:pStyle w:val="18"/>
      </w:pPr>
      <w:r>
        <w:t>（三）综合三科</w:t>
      </w:r>
    </w:p>
    <w:p>
      <w:pPr>
        <w:pStyle w:val="18"/>
      </w:pPr>
      <w:r>
        <w:t>1、为负责对外对内开放、国内外经济合作、商务、服务业、市场监督管理、食品药品监督管理、民政、退役军人、街道和社区建设、现代商贸物流园区、教育、文旅、体育、广播电视、卫生健康、科技等方面工作的副区长政务工作提供服务，承担文稿起草、调查研究、有关公务活动组织协调、批件和交办事项的督办落实反馈及有关会议、活动的会务和组织等工作；按副区长指示开展决策调研、重大专项调研等调研工作；协助做好区政府领导相关文稿起草工作。</w:t>
      </w:r>
    </w:p>
    <w:p>
      <w:pPr>
        <w:pStyle w:val="18"/>
      </w:pPr>
      <w:r>
        <w:t>2、负责办理全区因公出国（境）审批、审核手续，负责区级领导干部出访计划的拟定、报批工作；负责办理邀请外国人来开平区的审批、审核手续；负责与上级外事部门的工作联系；承办领导交办的其他事项。</w:t>
      </w:r>
    </w:p>
    <w:p>
      <w:pPr>
        <w:pStyle w:val="18"/>
      </w:pPr>
      <w:r>
        <w:t>（四）综合四科</w:t>
      </w:r>
    </w:p>
    <w:p>
      <w:pPr>
        <w:pStyle w:val="18"/>
      </w:pPr>
      <w:r>
        <w:t>为负责工业和信息化、人事劳动和社会保障、支重、交通运输、城乡规划、国土资源、环保、农业、农村、供销、移民、现代都市农业园区等方面工作的副区长政务工作提供服务，承担文稿起草、调查研究、有关公务活动组织协调、批件和交办事项的督办落实反馈及有关会议、活动的会务和组织等工作；按副区长指示开展决策调研、重大专项调研等调研工作；协助做好区政府领导相关文稿起草工作。承办领导交办的其他事项。</w:t>
      </w:r>
    </w:p>
    <w:p>
      <w:pPr>
        <w:pStyle w:val="18"/>
      </w:pPr>
      <w:r>
        <w:t>（五）秘书科</w:t>
      </w:r>
    </w:p>
    <w:p>
      <w:pPr>
        <w:pStyle w:val="18"/>
      </w:pPr>
      <w:r>
        <w:t>负责区政府和区政府办公室承接各类文件的收文审核和运转办理工作；负责区政府和区政府办公室公文的印制发放工作；</w:t>
      </w:r>
    </w:p>
    <w:p>
      <w:pPr>
        <w:pStyle w:val="18"/>
      </w:pPr>
      <w:r>
        <w:t>负责区政府和区政府办公室的机要通信工作;</w:t>
      </w:r>
    </w:p>
    <w:p>
      <w:pPr>
        <w:pStyle w:val="18"/>
      </w:pPr>
      <w:r>
        <w:t>负责区政府和区政府办公室印鉴和文书档案管理工作;</w:t>
      </w:r>
    </w:p>
    <w:p>
      <w:pPr>
        <w:pStyle w:val="18"/>
      </w:pPr>
      <w:r>
        <w:t>负责区政府办公室保密工作;</w:t>
      </w:r>
    </w:p>
    <w:p>
      <w:pPr>
        <w:pStyle w:val="18"/>
      </w:pPr>
      <w:r>
        <w:t>负责承办区政府提请区人大常委会任免议案和区政府任免人员的行政任免手续等工作；负责承办区政府任命工作人员宪法宣誓工作;</w:t>
      </w:r>
    </w:p>
    <w:p>
      <w:pPr>
        <w:pStyle w:val="18"/>
      </w:pPr>
      <w:r>
        <w:t>负责区政府主要领导召开的重要会议和重大活动的组织服务工作;</w:t>
      </w:r>
    </w:p>
    <w:p>
      <w:pPr>
        <w:pStyle w:val="18"/>
      </w:pPr>
      <w:r>
        <w:t>负责编制、实施区政府年度会议计划;</w:t>
      </w:r>
    </w:p>
    <w:p>
      <w:pPr>
        <w:pStyle w:val="18"/>
      </w:pPr>
      <w:r>
        <w:t>负责区政府办公室与区委办公室、区人大常委会办公室、区政协办公室会议活动的协调联络；协调做好区政府主要领导出席各类会议活动的协调联络工作；负责上级领导来开平区活动安排的组织、协调工作；</w:t>
      </w:r>
    </w:p>
    <w:p>
      <w:pPr>
        <w:pStyle w:val="18"/>
      </w:pPr>
      <w:r>
        <w:t>负责区政府召开的大型会议的组织协调工作；负责来开平区的上级机关及外埠领导同志接待的指导工作；</w:t>
      </w:r>
    </w:p>
    <w:p>
      <w:pPr>
        <w:pStyle w:val="18"/>
      </w:pPr>
      <w:r>
        <w:t>负责区政府值班工作；负责全区政府系统值班值守工作的业务指导和督促检查；负责重要紧急情况的信息接报及领导批示的督办、反馈等工作。承办领导交办的其他事项。</w:t>
      </w:r>
    </w:p>
    <w:p>
      <w:pPr>
        <w:pStyle w:val="18"/>
      </w:pPr>
      <w:r>
        <w:t>（六）行政科</w:t>
      </w:r>
    </w:p>
    <w:p>
      <w:pPr>
        <w:pStyle w:val="18"/>
      </w:pPr>
      <w:r>
        <w:t>1.负责区政府办公室平安建设工作;负责区政府领导和机关办公设备、办公用品、劳保用品的采购发放及设备设施的维护、管理工作;</w:t>
      </w:r>
    </w:p>
    <w:p>
      <w:pPr>
        <w:pStyle w:val="18"/>
      </w:pPr>
      <w:r>
        <w:t>2.负责协助区政府机关党组推进全面从严治党；负责机关及直属单位的党群工作；负责机关及直属单位的党风廉政建设和组织协调反腐败工作;</w:t>
      </w:r>
    </w:p>
    <w:p>
      <w:pPr>
        <w:pStyle w:val="18"/>
      </w:pPr>
      <w:r>
        <w:t>3.负责机关人事档案、机构设置、人员编制、考核奖惩及其他日常事务等工作；负责出国政审、工资福利、社会保险、年金管理等工作。</w:t>
      </w:r>
    </w:p>
    <w:p>
      <w:pPr>
        <w:pStyle w:val="18"/>
      </w:pPr>
      <w:r>
        <w:t>（七）督察科</w:t>
      </w:r>
    </w:p>
    <w:p>
      <w:pPr>
        <w:pStyle w:val="18"/>
      </w:pPr>
      <w:r>
        <w:t>负责督促检查区政府各部门、各镇政府、街道办事处对上级和区政府重要文件、重要工作部署以及重要指示的执行、落实情况，发现问题、提出建议，并向区政府报告，指导镇街和区政府各部门的督查工作。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唐山市开平区人民政府办公室本级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按照预算管理有关规定，目前部门预算的编制实行综合预算管理，即全部收入和支出都反映在预算中。唐山市开平区人民政府办公室机关及所属事业单位的收支包含在部门预算中。</w:t>
      </w:r>
    </w:p>
    <w:p>
      <w:pPr>
        <w:pStyle w:val="19"/>
      </w:pPr>
      <w:r>
        <w:t>1、收入说明</w:t>
      </w:r>
    </w:p>
    <w:p>
      <w:pPr>
        <w:pStyle w:val="19"/>
      </w:pPr>
      <w:r>
        <w:t>反映本部门当年全部收入。2025年预算收入1374.51万元，其中：一般公共预算收入1124.51万元，基金预算收入250.00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开平区人民政府办公室年度部门预算中支出预算的总体情况。2025年支出预算1374.51万元，其中基本支出945.51万元，包括人员经费880.20万元和日常公用经费65.31万元；项目支出429.00万元，主要为政府办公室办公业务，政务外网租赁维修，外网设备购置，地方志编撰等</w:t>
      </w:r>
    </w:p>
    <w:p>
      <w:pPr>
        <w:pStyle w:val="19"/>
      </w:pPr>
      <w:r>
        <w:t>3、比上年增减情况</w:t>
      </w:r>
    </w:p>
    <w:p>
      <w:pPr>
        <w:pStyle w:val="19"/>
      </w:pPr>
      <w:r>
        <w:t>2025年预算收支安排1374.51万元，较2024年预算减少24.56万元，其中：基本支出减少33.56万元，主要为厉行节约项目支出增加9.00万元，主要为法律服务项目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2025年，我部门机关运行经费共计安排65.31万元，主要用于日常维修、办公用房水电费、办公用房取暖费、办公用房物业管理费等日常运行支出。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10.80万元，其中因公出国（境）费0.00万元；公务用车购置及运维费10.80万元（其中：公务用车购置费为0.00万元，公务用车运维费10.80万元)；公务接待费0.00万元。与2024年相比减少3.19万元，增减变化的主要原因是厉行节约</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（一）综合一股</w:t>
      </w:r>
    </w:p>
    <w:p>
      <w:pPr>
        <w:pStyle w:val="22"/>
      </w:pPr>
      <w:r>
        <w:t>1、负责组织起草区长讲话和其他重要文稿；负责区长批件、交办事项的催办、反馈及有关会议、活动的会务和组织工作。</w:t>
      </w:r>
    </w:p>
    <w:p>
      <w:pPr>
        <w:pStyle w:val="22"/>
      </w:pPr>
      <w:r>
        <w:t>2、负责政务信息的收集、选择、提供、反馈工作；负责信息刊物编发工作；负责向国务院、省政府办公厅、市政府办公室报送有关信息；指导区政府各部门和各镇人民政府、街道办事处以及开发区管委会政务信息工作；负责与外埠的信息交流工作。</w:t>
      </w:r>
    </w:p>
    <w:p>
      <w:pPr>
        <w:pStyle w:val="22"/>
      </w:pPr>
      <w:r>
        <w:t>3、按区长指示开展决策调研、重大专项调研等调研工作；协助做好区政府主要领导相关文稿起草工作。</w:t>
      </w:r>
    </w:p>
    <w:p>
      <w:pPr>
        <w:pStyle w:val="22"/>
      </w:pPr>
      <w:r>
        <w:t>4、承办领导交办的其他事项。</w:t>
      </w:r>
    </w:p>
    <w:p>
      <w:pPr>
        <w:pStyle w:val="22"/>
      </w:pPr>
      <w:r>
        <w:t>（二）综合二股</w:t>
      </w:r>
    </w:p>
    <w:p>
      <w:pPr>
        <w:pStyle w:val="22"/>
      </w:pPr>
      <w:r>
        <w:t>1、为常务副区长政务工作提供服务，承担文稿起草、调查研究、有关公务活动组织协调、批件和交办事项的督办落实反馈及有关会议、活动的会务和组织等工作；按常务副区长指示开展决策调研、重大专项调研等调研工作；协助做好区政府领导相关文稿起草工作；</w:t>
      </w:r>
    </w:p>
    <w:p>
      <w:pPr>
        <w:pStyle w:val="22"/>
      </w:pPr>
      <w:r>
        <w:t>2、负责办理财政、金融、国税、地税等方面的工作；负责国家和省财税体制改革相关政策的督导落实工作。</w:t>
      </w:r>
    </w:p>
    <w:p>
      <w:pPr>
        <w:pStyle w:val="22"/>
      </w:pPr>
      <w:r>
        <w:t>3、负责区政府领导和办公室主要领导交办事项的督办、协调工作。</w:t>
      </w:r>
    </w:p>
    <w:p>
      <w:pPr>
        <w:pStyle w:val="22"/>
      </w:pPr>
      <w:r>
        <w:t>4、负责组织办理上级和本级人大代表建议和政协委员提案工作；负责接待处理上级和本级人大代表、政协委员来信、来访；参与区政府领导与人大代表、政协委员联系活动和接洽、服务工作。</w:t>
      </w:r>
    </w:p>
    <w:p>
      <w:pPr>
        <w:pStyle w:val="22"/>
      </w:pPr>
      <w:r>
        <w:t>5、负责全区金融改革创新发展政策研究与组织实施工作，拟定地方金融改革发展的意见并组织实施；组织协调新设立的地方法人金融机构的谋划、筹建、申报等前期工作；负责培育我区企业参与多层次资本市场、改革发展的政策措施；协调推动、培育推荐企业挂牌上市，配合做好全区直接融资工作；负责全区地方金融监督管理工作；协调有关部门依法做好防范和处置非法集资工作，负责开展相关宣传教育、政策解释和业务指导工作；协调组织全区金融风险防范和处置化解工作。</w:t>
      </w:r>
    </w:p>
    <w:p>
      <w:pPr>
        <w:pStyle w:val="22"/>
      </w:pPr>
      <w:r>
        <w:t>6、负责拟订全区人民防空发展规划，编制工作年度计划并督导落实；审核城市总体规划中人民防空内容；负责人民防空工程建设技术、质量、造价管理，监督人民防空工程维护与使用管理，指导城市地下空间开发利用落实兼顾人民防空要求；组织开展防空防灾宣传教育工作。</w:t>
      </w:r>
    </w:p>
    <w:p>
      <w:pPr>
        <w:pStyle w:val="22"/>
      </w:pPr>
      <w:r>
        <w:t>7、承办领导交办的其他事项。</w:t>
      </w:r>
    </w:p>
    <w:p>
      <w:pPr>
        <w:pStyle w:val="22"/>
      </w:pPr>
      <w:r>
        <w:t>（三）综合三股</w:t>
      </w:r>
    </w:p>
    <w:p>
      <w:pPr>
        <w:pStyle w:val="22"/>
      </w:pPr>
      <w:r>
        <w:t>1、为负责对外对内开放、国内外经济合作、商务、服务业、市场监督管理、食品药品监督管理、民政、退役军人、街道和社区建设、现代商贸物流园区、教育、文旅、体育、广播电视、卫生健康、科技等方面工作的副区长政务工作提供服务，承担文稿起草、调查研究、有关公务活动组织协调、批件和交办事项的督办落实反馈及有关会议、活动的会务和组织等工作；按副区长指示开展决策调研、重大专项调研等调研工作；协助做好区政府领导相关文稿起草工作。</w:t>
      </w:r>
    </w:p>
    <w:p>
      <w:pPr>
        <w:pStyle w:val="22"/>
      </w:pPr>
      <w:r>
        <w:t>2、负责办理全区因公出国（境）审批、审核手续，负责区级领导干部出访计划的拟定、报批工作；负责办理邀请外国人来开平区的审批、审核手续；负责与上级外事部门的工作联系；承办领导交办的其他事项。</w:t>
      </w:r>
    </w:p>
    <w:p>
      <w:pPr>
        <w:pStyle w:val="22"/>
      </w:pPr>
      <w:r>
        <w:t>（四）综合四股</w:t>
      </w:r>
    </w:p>
    <w:p>
      <w:pPr>
        <w:pStyle w:val="22"/>
      </w:pPr>
      <w:r>
        <w:t>为负责工业和信息化、人事劳动和社会保障、支重、交通运输、城乡规划、国土资源、环保、农业、农村、供销、移民、现代都市农业园区等方面工作的副区长政务工作提供服务，承担文稿起草、调查研究、有关公务活动组织协调、批件和交办事项的督办落实反馈及有关会议、活动的会务和组织等工作；按副区长指示开展决策调研、重大专项调研等调研工作；协助做好区政府领导相关文稿起草工作。承办领导交办的其他事项。</w:t>
      </w:r>
    </w:p>
    <w:p>
      <w:pPr>
        <w:pStyle w:val="22"/>
      </w:pPr>
      <w:r>
        <w:t>（五）秘书股</w:t>
      </w:r>
    </w:p>
    <w:p>
      <w:pPr>
        <w:pStyle w:val="22"/>
      </w:pPr>
      <w:r>
        <w:t>负责区政府和区政府办公室承接各类文件的收文审核和运转办理工作；负责区政府和区政府办公室公文的印制发放工作；</w:t>
      </w:r>
    </w:p>
    <w:p>
      <w:pPr>
        <w:pStyle w:val="22"/>
      </w:pPr>
      <w:r>
        <w:t>负责区政府和区政府办公室的机要通信工作;</w:t>
      </w:r>
    </w:p>
    <w:p>
      <w:pPr>
        <w:pStyle w:val="22"/>
      </w:pPr>
      <w:r>
        <w:t>负责区政府和区政府办公室印鉴和文书档案管理工作;</w:t>
      </w:r>
    </w:p>
    <w:p>
      <w:pPr>
        <w:pStyle w:val="22"/>
      </w:pPr>
      <w:r>
        <w:t>负责区政府办公室保密工作;</w:t>
      </w:r>
    </w:p>
    <w:p>
      <w:pPr>
        <w:pStyle w:val="22"/>
      </w:pPr>
      <w:r>
        <w:t>负责承办区政府提请区人大常委会任免议案和区政府任免人员的行政任免手续等工作；负责承办区政府任命工作人员宪法宣誓工作;</w:t>
      </w:r>
    </w:p>
    <w:p>
      <w:pPr>
        <w:pStyle w:val="22"/>
      </w:pPr>
      <w:r>
        <w:t>负责区政府主要领导召开的重要会议和重大活动的组织服务工作;</w:t>
      </w:r>
    </w:p>
    <w:p>
      <w:pPr>
        <w:pStyle w:val="22"/>
      </w:pPr>
      <w:r>
        <w:t>负责编制、实施区政府年度会议计划;</w:t>
      </w:r>
    </w:p>
    <w:p>
      <w:pPr>
        <w:pStyle w:val="22"/>
      </w:pPr>
      <w:r>
        <w:t>负责区政府办公室与区委办公室、区人大常委会办公室、区政协办公室会议活动的协调联络；协调做好区政府主要领导出席各类会议活动的协调联络工作；负责上级领导来开平区活动安排的组织、协调工作；</w:t>
      </w:r>
    </w:p>
    <w:p>
      <w:pPr>
        <w:pStyle w:val="22"/>
      </w:pPr>
      <w:r>
        <w:t>负责区政府召开的大型会议的组织协调工作；负责来开平区的上级机关及外埠领导同志接待的指导工作；</w:t>
      </w:r>
    </w:p>
    <w:p>
      <w:pPr>
        <w:pStyle w:val="22"/>
      </w:pPr>
      <w:r>
        <w:t>负责区政府值班工作；负责全区政府系统值班值守工作的业务指导和督促检查；负责重要紧急情况的信息接报及领导批示的督办、反馈等工作。承办领导交办的其他事项。</w:t>
      </w:r>
    </w:p>
    <w:p>
      <w:pPr>
        <w:pStyle w:val="22"/>
      </w:pPr>
      <w:r>
        <w:t>（六）行政股</w:t>
      </w:r>
    </w:p>
    <w:p>
      <w:pPr>
        <w:pStyle w:val="22"/>
      </w:pPr>
      <w:r>
        <w:t>1.负责区政府办公室平安建设工作;负责区政府领导和机关办公设备、办公用品、劳保用品的采购发放及设备设施的维护、管理工作;</w:t>
      </w:r>
    </w:p>
    <w:p>
      <w:pPr>
        <w:pStyle w:val="22"/>
      </w:pPr>
      <w:r>
        <w:t>2.负责协助区政府机关党组推进全面从严治党；负责机关及直属单位的党群工作；负责机关及直属单位的党风廉政建设和组织协调反腐败工作;</w:t>
      </w:r>
    </w:p>
    <w:p>
      <w:pPr>
        <w:pStyle w:val="22"/>
      </w:pPr>
      <w:r>
        <w:t>3.负责机关人事档案、机构设置、人员编制、考核奖惩及其他日常事务等工作；负责出国政审、工资福利、社会保险、年金管理等工作。</w:t>
      </w:r>
    </w:p>
    <w:p>
      <w:pPr>
        <w:pStyle w:val="22"/>
      </w:pPr>
      <w:r>
        <w:t>（七）督察股</w:t>
      </w:r>
    </w:p>
    <w:p>
      <w:pPr>
        <w:pStyle w:val="22"/>
      </w:pPr>
      <w:r>
        <w:t>负责督促检查区政府各部门、各镇政府、街道办事处对上级和区政府重要文件、重要工作部署以及重要指示的执行、落实情况，发现问题、提出建议，并向区政府报告，指导镇街和区政府各部门的督查工作。</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(1)大型会议和活动组织安排项目</w:t>
      </w:r>
    </w:p>
    <w:p>
      <w:pPr>
        <w:pStyle w:val="23"/>
      </w:pPr>
      <w:r>
        <w:t>绩效目标：保障政府办公室大型会议、重大活动的正常、顺利举办。</w:t>
      </w:r>
    </w:p>
    <w:p>
      <w:pPr>
        <w:pStyle w:val="23"/>
      </w:pPr>
      <w:r>
        <w:t>绩效指标：大型会议和重大活动举办成功率在95%以上，接待标准控制率为95%，领导满意度达到95%以上。</w:t>
      </w:r>
    </w:p>
    <w:p>
      <w:pPr>
        <w:pStyle w:val="23"/>
      </w:pPr>
      <w:r>
        <w:t>政府公文运转项目</w:t>
      </w:r>
    </w:p>
    <w:p>
      <w:pPr>
        <w:pStyle w:val="23"/>
      </w:pPr>
      <w:r>
        <w:t>绩效目标：保障区委公文正常运转。</w:t>
      </w:r>
    </w:p>
    <w:p>
      <w:pPr>
        <w:pStyle w:val="23"/>
      </w:pPr>
      <w:r>
        <w:t>绩效指标：无差错率达到95%以上，领导满意度达到95%以上。</w:t>
      </w:r>
    </w:p>
    <w:p>
      <w:pPr>
        <w:pStyle w:val="23"/>
      </w:pPr>
      <w:r>
        <w:t>信息收集项目</w:t>
      </w:r>
    </w:p>
    <w:p>
      <w:pPr>
        <w:pStyle w:val="23"/>
      </w:pPr>
      <w:r>
        <w:t>绩效目标：信息真实完整，领导满意，批示率高。</w:t>
      </w:r>
    </w:p>
    <w:p>
      <w:pPr>
        <w:pStyle w:val="23"/>
      </w:pPr>
      <w:r>
        <w:t>绩效指标：信息采集上报率为95%以上，领导满意度达到95%以上。</w:t>
      </w:r>
    </w:p>
    <w:p>
      <w:pPr>
        <w:pStyle w:val="23"/>
      </w:pPr>
      <w:r>
        <w:t>民意调查，督查、调研项目</w:t>
      </w:r>
    </w:p>
    <w:p>
      <w:pPr>
        <w:pStyle w:val="23"/>
      </w:pPr>
      <w:r>
        <w:t>绩效目标：信息真实完整，领导满意，批示率高。</w:t>
      </w:r>
    </w:p>
    <w:p>
      <w:pPr>
        <w:pStyle w:val="23"/>
      </w:pPr>
      <w:r>
        <w:t>绩效指标：信息采集数量和信息上报率达到95%以上，反映省领导对活动的满意度和肯定性指示，领导满意度达到95%以上。</w:t>
      </w:r>
    </w:p>
    <w:p>
      <w:pPr>
        <w:pStyle w:val="23"/>
      </w:pPr>
      <w:r>
        <w:t>公务内网建设与维护项目</w:t>
      </w:r>
    </w:p>
    <w:p>
      <w:pPr>
        <w:pStyle w:val="23"/>
      </w:pPr>
      <w:r>
        <w:t>绩效目标：数据资源丰富、数据正版、权威、可靠，用户满意度高。故障及时修复，线路畅通,系统运行稳定。</w:t>
      </w:r>
    </w:p>
    <w:p>
      <w:pPr>
        <w:pStyle w:val="23"/>
      </w:pPr>
      <w:r>
        <w:t>绩效指标：用户对“公务内网”运行满意程度达到95%以上。</w:t>
      </w:r>
    </w:p>
    <w:p>
      <w:pPr>
        <w:pStyle w:val="23"/>
      </w:pPr>
      <w:r>
        <w:t>依法有序上访，落实救助资金项目</w:t>
      </w:r>
    </w:p>
    <w:p>
      <w:pPr>
        <w:pStyle w:val="23"/>
      </w:pPr>
      <w:r>
        <w:t>绩效目标：推进依法逐级信访，引导群众有序反映问题。保证专项资金专款专用。</w:t>
      </w:r>
    </w:p>
    <w:p>
      <w:pPr>
        <w:pStyle w:val="23"/>
      </w:pPr>
      <w:r>
        <w:t>绩效指标：反映依法规范信访工作行为和依法规范群众信访行为的情况。反映专项资金的落实使用情况，执行率达到100%。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p>
    <w:p>
      <w:pPr>
        <w:pStyle w:val="24"/>
      </w:pPr>
      <w:r>
        <w:t>一、立足于当高参，抓落实，参谋辅政能力实现新突破　　</w:t>
      </w:r>
    </w:p>
    <w:p>
      <w:pPr>
        <w:pStyle w:val="24"/>
      </w:pPr>
      <w:r>
        <w:t>政府办公室作为区政府的“司令部、参谋部、作战部”，坚持认真履行参谋助手职责，时刻注意站在区领导的高度来分析形势、谋划工作、提出对策；不断强化统筹协调能力，努力把握时代脉搏，服务领导决策，贯彻领导意图，各项工作得到有序推进。　　</w:t>
      </w:r>
    </w:p>
    <w:p>
      <w:pPr>
        <w:pStyle w:val="24"/>
      </w:pPr>
      <w:r>
        <w:t>（一）勤沟通，重协调，当好“政务员”。围绕全区重大工作部署，主动与上级有关部门搞好沟通，以求获取支持；主动与平行机关和部门搞好衔接，以求形成合力；主动为基层排忧解难，以求加快发展；主动与外省市、外区区的同行们搞好交流，以求取长补短。</w:t>
      </w:r>
    </w:p>
    <w:p>
      <w:pPr>
        <w:pStyle w:val="24"/>
      </w:pPr>
      <w:r>
        <w:t>（二）出精品，抓细节，当好“勤务员”。一是综合材料简言达意。始终把提高文稿质量作为政务服务的核心内容，全面树立“精品”意识，对政府主要领导的重要讲话及各专业会议的材料坚持超前思考、及早谋划，严把政策关、内容关、时效关、文字关、格式关，力求站位高，对工作有很强的针对性和指导性。二是文秘运转规范高效。秘书科同志坚守岗位，工作认真负责，按照及时、安全、保密的原则，严把公文、电文统发、统收、印制、传阅等各个环节，严格执行文电办理程序，重要文件、急件文秘人员加班加点，秘书科配合密切，快捷高效，确保了文件不积压，事情不耽误。上传文书写报送规范，得到了市府办的很高评价。三是会务组织缜密有序。坚持会务组织“精细化”原则，狠抓会前准备、会中服务、会后落实三个环节，不因事多而出现纰漏，不因事小而出现疏忽，力求把每一个会务都考虑得更周全，安排得更细致，处理得更完善。　　</w:t>
      </w:r>
    </w:p>
    <w:p>
      <w:pPr>
        <w:pStyle w:val="24"/>
      </w:pPr>
      <w:r>
        <w:t>（三）重建言，快反馈，当好“信息员”。按照“服务领导写信息，贴近决策搞调研”的工作思路，围绕政府中心工作，阶段性工作部署和工作重点，全员积极参与，深入镇街、部门、企业搞调研，主管领导亲力亲为。　</w:t>
      </w:r>
    </w:p>
    <w:p>
      <w:pPr>
        <w:pStyle w:val="24"/>
      </w:pPr>
      <w:r>
        <w:t>二、立足于促工作，强保障，综合服务水平再上新台阶　　</w:t>
      </w:r>
    </w:p>
    <w:p>
      <w:pPr>
        <w:pStyle w:val="24"/>
      </w:pPr>
      <w:r>
        <w:t>政府办公室作为一个综合服务部门，工作中做到紧贴领导思路、紧贴工作重点、紧贴实际需求，质量求高、节奏求快、环节求细、效果求实，事务管理规范、高效、有序。　　</w:t>
      </w:r>
    </w:p>
    <w:p>
      <w:pPr>
        <w:pStyle w:val="24"/>
      </w:pPr>
      <w:r>
        <w:t>（一）热情接访，当好“调解员”。牢固树立“群众利益无小事”思想，对来信来访人员、群众反映的实际问题，认真对待，耐心解释，及时处理和上报，不推、不拖、不压，确保了社会稳定和机关正常的办公秩序。（二）依法裁决，当好“公证员”。认真抓好行政复议、人大代表建议、议案和政协委员提案的办理工作。（三）精细管理，当好“服务员”。严格执行一只笔审批和机关事务管理科统一采买制度，抓好行政事务管理，提供好后勤保障。对机关用电安全进行了全面排查，消除了火灾隐患；为新领导及时配备办公设备以满足工作所需；做好值班值宿安排、检查，有效地防范了各种违法犯罪活动和治安案件的发生；进一步完善了车辆管理规定，按照“保主、保重、保急”的原则有序调度，确保领导和办公室各科室工作用车。（四）及时公开，当好“引导员”。全面落实信息公开制度。建成政府、镇街、部门较完整的信息公开体系；在政府门户网站开设政务公开、建言献策、网上咨询、区长信箱、公众监督、反腐倡廉等版块，解释相关政策，宣传发展成果，拓展沟通渠道，接受舆论监督，依法保障公民的知情权、参与权、表达权、监督权。对网民的批评、建议和意见认真甄别、冷静分析、合理吸收，及时、全面、准确地表达民意，防止不实言论误导公众，掌握舆论引导的主动权。（五）应急响应，当好“安全员”。按照“科学预防，积极应对”的工作思路，坚持预防为主加强应急管理基础性工作，有力、有序、有效地处置突发事件，把人员和财产损失降到了最低程度。（六）对外推介，当好“牵线员”。认真做好帮扶领导的政务服务，适时穿针引线，积极推进民建中央、国家和省发改委的各项帮扶工作在我区顺利开展。（七）快捷审批，当好“通关员”。以促进区域经济更好更快发展为目标，认真抓好行政审批服务工作。创新办事机制，推进行政审批网上公开运行。</w:t>
      </w:r>
    </w:p>
    <w:p>
      <w:pPr>
        <w:pStyle w:val="24"/>
      </w:pPr>
      <w:r>
        <w:t>三、立足于提素质，聚合力，干部队伍建设有了新气象　　</w:t>
      </w:r>
    </w:p>
    <w:p>
      <w:pPr>
        <w:pStyle w:val="24"/>
      </w:pPr>
      <w:r>
        <w:t>围绕提高办公室工作人员自身素质，采取“指路子、给位子、压担子”的方法，狠抓队伍建设，履职能力全面提升。　　</w:t>
      </w:r>
    </w:p>
    <w:p>
      <w:pPr>
        <w:pStyle w:val="24"/>
        <w:sectPr>
          <w:pgSz w:w="16840" w:h="11900" w:orient="landscape"/>
          <w:pgMar w:top="1361" w:right="1020" w:bottom="1361" w:left="1020" w:header="720" w:footer="720" w:gutter="0"/>
        </w:sectPr>
      </w:pPr>
      <w:r>
        <w:t>（一）加强班子自身建设。不断加强学习，全面提高班子成员的政治理论素质，增强政治意识、责任意识、大局意识，提高领导能力；坚持民主集中制原则，由班子成员共同研究决定办公室的重大事项，增强工作的透明度；注意沟通情况，交流思想，统一认识，加强班子成员之间的团结；明确分工，落实责任，调动工作的积极性；开展廉洁自律教育，树立勤俭观念，树立正确的权力观，远离腐败。（二）注重队伍整体提高。始终将学习作为提升干部素质的重要途径，注重指导年轻同志提高政策水平、理论水平、业务水平、写作水平，提升领会领导意图，掌握工作要领的能力，变努力工作为“用心工作”，营造“你追我赶”的学习氛围。（三）加强机关作风建设。规范工作程序,明确工作责任，加强办公室人员的作风建设，树立了高效、务实、便民、开放的政府窗口形象，树立朝气蓬勃、主动热情、勤奋好学、精益求精的工作形象，树立在合作中出效率，在竞争中求发展的意识，营造良好的工作环境。　　</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1、本级地方志工作经费绩效目标表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13020525P00916910003C</w:t>
            </w:r>
          </w:p>
        </w:tc>
        <w:tc>
          <w:tcPr>
            <w:tcW w:w="2835" w:type="dxa"/>
            <w:vAlign w:val="center"/>
          </w:tcPr>
          <w:p>
            <w:pPr>
              <w:pStyle w:val="11"/>
            </w:pPr>
            <w:r>
              <w:t>项目名称</w:t>
            </w:r>
          </w:p>
        </w:tc>
        <w:tc>
          <w:tcPr>
            <w:tcW w:w="6095" w:type="dxa"/>
            <w:gridSpan w:val="3"/>
            <w:vAlign w:val="center"/>
          </w:tcPr>
          <w:p>
            <w:pPr>
              <w:pStyle w:val="13"/>
            </w:pPr>
            <w:r>
              <w:t>本级地方志工作经费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编纂《开平区志》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1.为了更好的宣传开平，编纂《开平区志》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合格率</w:t>
            </w:r>
          </w:p>
        </w:tc>
        <w:tc>
          <w:tcPr>
            <w:tcW w:w="2268" w:type="dxa"/>
            <w:vAlign w:val="center"/>
          </w:tcPr>
          <w:p>
            <w:pPr>
              <w:pStyle w:val="13"/>
            </w:pPr>
            <w:r>
              <w:t>≥90%</w:t>
            </w:r>
          </w:p>
        </w:tc>
        <w:tc>
          <w:tcPr>
            <w:tcW w:w="1276" w:type="dxa"/>
            <w:vAlign w:val="center"/>
          </w:tcPr>
          <w:p>
            <w:pPr>
              <w:pStyle w:val="13"/>
            </w:pPr>
            <w:r>
              <w:t>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经费使用及时率（%）</w:t>
            </w:r>
          </w:p>
        </w:tc>
        <w:tc>
          <w:tcPr>
            <w:tcW w:w="5386" w:type="dxa"/>
            <w:vAlign w:val="center"/>
          </w:tcPr>
          <w:p>
            <w:pPr>
              <w:pStyle w:val="13"/>
            </w:pPr>
            <w:r>
              <w:t>经费使用及时率（%）</w:t>
            </w:r>
          </w:p>
        </w:tc>
        <w:tc>
          <w:tcPr>
            <w:tcW w:w="2268" w:type="dxa"/>
            <w:vAlign w:val="center"/>
          </w:tcPr>
          <w:p>
            <w:pPr>
              <w:pStyle w:val="13"/>
            </w:pPr>
            <w:r>
              <w:t>≥92%</w:t>
            </w:r>
          </w:p>
        </w:tc>
        <w:tc>
          <w:tcPr>
            <w:tcW w:w="1276" w:type="dxa"/>
            <w:vAlign w:val="center"/>
          </w:tcPr>
          <w:p>
            <w:pPr>
              <w:pStyle w:val="13"/>
            </w:pPr>
            <w:r>
              <w:t>经费使用及时率（%）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≤90%</w:t>
            </w:r>
          </w:p>
        </w:tc>
        <w:tc>
          <w:tcPr>
            <w:tcW w:w="1276" w:type="dxa"/>
            <w:vAlign w:val="center"/>
          </w:tcPr>
          <w:p>
            <w:pPr>
              <w:pStyle w:val="13"/>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w:t>
            </w:r>
          </w:p>
        </w:tc>
        <w:tc>
          <w:tcPr>
            <w:tcW w:w="1276" w:type="dxa"/>
            <w:vAlign w:val="center"/>
          </w:tcPr>
          <w:p>
            <w:pPr>
              <w:pStyle w:val="13"/>
            </w:pPr>
            <w:r>
              <w:t>成本利用率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社会效益</w:t>
            </w:r>
          </w:p>
        </w:tc>
        <w:tc>
          <w:tcPr>
            <w:tcW w:w="2268" w:type="dxa"/>
            <w:vAlign w:val="center"/>
          </w:tcPr>
          <w:p>
            <w:pPr>
              <w:pStyle w:val="13"/>
            </w:pPr>
            <w:r>
              <w:t>≥88%</w:t>
            </w:r>
          </w:p>
        </w:tc>
        <w:tc>
          <w:tcPr>
            <w:tcW w:w="1276" w:type="dxa"/>
            <w:vAlign w:val="center"/>
          </w:tcPr>
          <w:p>
            <w:pPr>
              <w:pStyle w:val="13"/>
            </w:pPr>
            <w:r>
              <w:t>社会效益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≥85%</w:t>
            </w:r>
          </w:p>
        </w:tc>
        <w:tc>
          <w:tcPr>
            <w:tcW w:w="1276" w:type="dxa"/>
            <w:vAlign w:val="center"/>
          </w:tcPr>
          <w:p>
            <w:pPr>
              <w:pStyle w:val="13"/>
            </w:pPr>
            <w:r>
              <w:t>结果准确性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≥90%</w:t>
            </w:r>
          </w:p>
        </w:tc>
        <w:tc>
          <w:tcPr>
            <w:tcW w:w="1276" w:type="dxa"/>
            <w:vAlign w:val="center"/>
          </w:tcPr>
          <w:p>
            <w:pPr>
              <w:pStyle w:val="13"/>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公众满意度</w:t>
            </w:r>
          </w:p>
        </w:tc>
        <w:tc>
          <w:tcPr>
            <w:tcW w:w="2268" w:type="dxa"/>
            <w:vAlign w:val="center"/>
          </w:tcPr>
          <w:p>
            <w:pPr>
              <w:pStyle w:val="13"/>
            </w:pPr>
            <w:r>
              <w:t>≥95%</w:t>
            </w:r>
          </w:p>
        </w:tc>
        <w:tc>
          <w:tcPr>
            <w:tcW w:w="1276" w:type="dxa"/>
            <w:vAlign w:val="center"/>
          </w:tcPr>
          <w:p>
            <w:pPr>
              <w:pStyle w:val="13"/>
            </w:pPr>
            <w:r>
              <w:t>公众满意度</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2、本级企业上市资金绩效目标表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13020525P00909810006F</w:t>
            </w:r>
          </w:p>
        </w:tc>
        <w:tc>
          <w:tcPr>
            <w:tcW w:w="2835" w:type="dxa"/>
            <w:vAlign w:val="center"/>
          </w:tcPr>
          <w:p>
            <w:pPr>
              <w:pStyle w:val="11"/>
            </w:pPr>
            <w:r>
              <w:t>项目名称</w:t>
            </w:r>
          </w:p>
        </w:tc>
        <w:tc>
          <w:tcPr>
            <w:tcW w:w="6095" w:type="dxa"/>
            <w:gridSpan w:val="3"/>
            <w:vAlign w:val="center"/>
          </w:tcPr>
          <w:p>
            <w:pPr>
              <w:pStyle w:val="13"/>
            </w:pPr>
            <w:r>
              <w:t>本级企业上市资金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用于开平区企业上市激励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1.加速开平区经济建设，鼓励企业积极上市。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≥95%</w:t>
            </w:r>
          </w:p>
        </w:tc>
        <w:tc>
          <w:tcPr>
            <w:tcW w:w="1276" w:type="dxa"/>
            <w:vAlign w:val="center"/>
          </w:tcPr>
          <w:p>
            <w:pPr>
              <w:pStyle w:val="13"/>
            </w:pPr>
            <w:r>
              <w:t>各项工作完成率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资金按时支付</w:t>
            </w:r>
          </w:p>
        </w:tc>
        <w:tc>
          <w:tcPr>
            <w:tcW w:w="5386" w:type="dxa"/>
            <w:vAlign w:val="center"/>
          </w:tcPr>
          <w:p>
            <w:pPr>
              <w:pStyle w:val="13"/>
            </w:pPr>
            <w:r>
              <w:t>资金按时支付</w:t>
            </w:r>
          </w:p>
        </w:tc>
        <w:tc>
          <w:tcPr>
            <w:tcW w:w="2268" w:type="dxa"/>
            <w:vAlign w:val="center"/>
          </w:tcPr>
          <w:p>
            <w:pPr>
              <w:pStyle w:val="13"/>
            </w:pPr>
            <w:r>
              <w:t>≥90%</w:t>
            </w:r>
          </w:p>
        </w:tc>
        <w:tc>
          <w:tcPr>
            <w:tcW w:w="1276" w:type="dxa"/>
            <w:vAlign w:val="center"/>
          </w:tcPr>
          <w:p>
            <w:pPr>
              <w:pStyle w:val="13"/>
            </w:pPr>
            <w:r>
              <w:t>资金按时支付</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≥92%</w:t>
            </w:r>
          </w:p>
        </w:tc>
        <w:tc>
          <w:tcPr>
            <w:tcW w:w="1276" w:type="dxa"/>
            <w:vAlign w:val="center"/>
          </w:tcPr>
          <w:p>
            <w:pPr>
              <w:pStyle w:val="13"/>
            </w:pPr>
            <w:r>
              <w:t>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≤95%</w:t>
            </w:r>
          </w:p>
        </w:tc>
        <w:tc>
          <w:tcPr>
            <w:tcW w:w="1276" w:type="dxa"/>
            <w:vAlign w:val="center"/>
          </w:tcPr>
          <w:p>
            <w:pPr>
              <w:pStyle w:val="13"/>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w:t>
            </w:r>
          </w:p>
        </w:tc>
        <w:tc>
          <w:tcPr>
            <w:tcW w:w="1276" w:type="dxa"/>
            <w:vAlign w:val="center"/>
          </w:tcPr>
          <w:p>
            <w:pPr>
              <w:pStyle w:val="13"/>
            </w:pPr>
            <w:r>
              <w:t>成本利用率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保障工作顺利开展</w:t>
            </w:r>
          </w:p>
        </w:tc>
        <w:tc>
          <w:tcPr>
            <w:tcW w:w="2268" w:type="dxa"/>
            <w:vAlign w:val="center"/>
          </w:tcPr>
          <w:p>
            <w:pPr>
              <w:pStyle w:val="13"/>
            </w:pPr>
            <w:r>
              <w:t>≥95%</w:t>
            </w:r>
          </w:p>
        </w:tc>
        <w:tc>
          <w:tcPr>
            <w:tcW w:w="1276" w:type="dxa"/>
            <w:vAlign w:val="center"/>
          </w:tcPr>
          <w:p>
            <w:pPr>
              <w:pStyle w:val="13"/>
            </w:pPr>
            <w:r>
              <w:t>保障工作顺利开展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生态效益增值率</w:t>
            </w:r>
          </w:p>
        </w:tc>
        <w:tc>
          <w:tcPr>
            <w:tcW w:w="5386" w:type="dxa"/>
            <w:vAlign w:val="center"/>
          </w:tcPr>
          <w:p>
            <w:pPr>
              <w:pStyle w:val="13"/>
            </w:pPr>
            <w:r>
              <w:t>项目实施后生态效益增长率</w:t>
            </w:r>
          </w:p>
        </w:tc>
        <w:tc>
          <w:tcPr>
            <w:tcW w:w="2268" w:type="dxa"/>
            <w:vAlign w:val="center"/>
          </w:tcPr>
          <w:p>
            <w:pPr>
              <w:pStyle w:val="13"/>
            </w:pPr>
            <w:r>
              <w:t>≥90%</w:t>
            </w:r>
          </w:p>
        </w:tc>
        <w:tc>
          <w:tcPr>
            <w:tcW w:w="1276" w:type="dxa"/>
            <w:vAlign w:val="center"/>
          </w:tcPr>
          <w:p>
            <w:pPr>
              <w:pStyle w:val="13"/>
            </w:pPr>
            <w:r>
              <w:t>项目实施后生态效益增长率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≥90%</w:t>
            </w:r>
          </w:p>
        </w:tc>
        <w:tc>
          <w:tcPr>
            <w:tcW w:w="1276" w:type="dxa"/>
            <w:vAlign w:val="center"/>
          </w:tcPr>
          <w:p>
            <w:pPr>
              <w:pStyle w:val="13"/>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3、本级区生态办生态专项保障经费绩效目标表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13020525P009174100037</w:t>
            </w:r>
          </w:p>
        </w:tc>
        <w:tc>
          <w:tcPr>
            <w:tcW w:w="2835" w:type="dxa"/>
            <w:vAlign w:val="center"/>
          </w:tcPr>
          <w:p>
            <w:pPr>
              <w:pStyle w:val="11"/>
            </w:pPr>
            <w:r>
              <w:t>项目名称</w:t>
            </w:r>
          </w:p>
        </w:tc>
        <w:tc>
          <w:tcPr>
            <w:tcW w:w="6095" w:type="dxa"/>
            <w:gridSpan w:val="3"/>
            <w:vAlign w:val="center"/>
          </w:tcPr>
          <w:p>
            <w:pPr>
              <w:pStyle w:val="13"/>
            </w:pPr>
            <w:r>
              <w:t>本级区生态办生态专项保障经费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省市文件要求生态相关工作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1.按照省市文件要求，更好的改善开平区生态环境。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合格率</w:t>
            </w:r>
          </w:p>
        </w:tc>
        <w:tc>
          <w:tcPr>
            <w:tcW w:w="2268" w:type="dxa"/>
            <w:vAlign w:val="center"/>
          </w:tcPr>
          <w:p>
            <w:pPr>
              <w:pStyle w:val="13"/>
            </w:pPr>
            <w:r>
              <w:t>≥90%</w:t>
            </w:r>
          </w:p>
        </w:tc>
        <w:tc>
          <w:tcPr>
            <w:tcW w:w="1276" w:type="dxa"/>
            <w:vAlign w:val="center"/>
          </w:tcPr>
          <w:p>
            <w:pPr>
              <w:pStyle w:val="13"/>
            </w:pPr>
            <w:r>
              <w:t>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经费使用及时率（%）</w:t>
            </w:r>
          </w:p>
        </w:tc>
        <w:tc>
          <w:tcPr>
            <w:tcW w:w="5386" w:type="dxa"/>
            <w:vAlign w:val="center"/>
          </w:tcPr>
          <w:p>
            <w:pPr>
              <w:pStyle w:val="13"/>
            </w:pPr>
            <w:r>
              <w:t>经费使用及时率（%）</w:t>
            </w:r>
          </w:p>
        </w:tc>
        <w:tc>
          <w:tcPr>
            <w:tcW w:w="2268" w:type="dxa"/>
            <w:vAlign w:val="center"/>
          </w:tcPr>
          <w:p>
            <w:pPr>
              <w:pStyle w:val="13"/>
            </w:pPr>
            <w:r>
              <w:t>≥92%</w:t>
            </w:r>
          </w:p>
        </w:tc>
        <w:tc>
          <w:tcPr>
            <w:tcW w:w="1276" w:type="dxa"/>
            <w:vAlign w:val="center"/>
          </w:tcPr>
          <w:p>
            <w:pPr>
              <w:pStyle w:val="13"/>
            </w:pPr>
            <w:r>
              <w:t>经费使用及时率（%）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≤90%</w:t>
            </w:r>
          </w:p>
        </w:tc>
        <w:tc>
          <w:tcPr>
            <w:tcW w:w="1276" w:type="dxa"/>
            <w:vAlign w:val="center"/>
          </w:tcPr>
          <w:p>
            <w:pPr>
              <w:pStyle w:val="13"/>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w:t>
            </w:r>
          </w:p>
        </w:tc>
        <w:tc>
          <w:tcPr>
            <w:tcW w:w="1276" w:type="dxa"/>
            <w:vAlign w:val="center"/>
          </w:tcPr>
          <w:p>
            <w:pPr>
              <w:pStyle w:val="13"/>
            </w:pPr>
            <w:r>
              <w:t>成本利用率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社会效益</w:t>
            </w:r>
          </w:p>
        </w:tc>
        <w:tc>
          <w:tcPr>
            <w:tcW w:w="2268" w:type="dxa"/>
            <w:vAlign w:val="center"/>
          </w:tcPr>
          <w:p>
            <w:pPr>
              <w:pStyle w:val="13"/>
            </w:pPr>
            <w:r>
              <w:t>≥88%</w:t>
            </w:r>
          </w:p>
        </w:tc>
        <w:tc>
          <w:tcPr>
            <w:tcW w:w="1276" w:type="dxa"/>
            <w:vAlign w:val="center"/>
          </w:tcPr>
          <w:p>
            <w:pPr>
              <w:pStyle w:val="13"/>
            </w:pPr>
            <w:r>
              <w:t>社会效益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≥85%</w:t>
            </w:r>
          </w:p>
        </w:tc>
        <w:tc>
          <w:tcPr>
            <w:tcW w:w="1276" w:type="dxa"/>
            <w:vAlign w:val="center"/>
          </w:tcPr>
          <w:p>
            <w:pPr>
              <w:pStyle w:val="13"/>
            </w:pPr>
            <w:r>
              <w:t>结果准确性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≥90%</w:t>
            </w:r>
          </w:p>
        </w:tc>
        <w:tc>
          <w:tcPr>
            <w:tcW w:w="1276" w:type="dxa"/>
            <w:vAlign w:val="center"/>
          </w:tcPr>
          <w:p>
            <w:pPr>
              <w:pStyle w:val="13"/>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公众满意度</w:t>
            </w:r>
          </w:p>
        </w:tc>
        <w:tc>
          <w:tcPr>
            <w:tcW w:w="2268" w:type="dxa"/>
            <w:vAlign w:val="center"/>
          </w:tcPr>
          <w:p>
            <w:pPr>
              <w:pStyle w:val="13"/>
            </w:pPr>
            <w:r>
              <w:t>≥95%</w:t>
            </w:r>
          </w:p>
        </w:tc>
        <w:tc>
          <w:tcPr>
            <w:tcW w:w="1276" w:type="dxa"/>
            <w:vAlign w:val="center"/>
          </w:tcPr>
          <w:p>
            <w:pPr>
              <w:pStyle w:val="13"/>
            </w:pPr>
            <w:r>
              <w:t>公众满意度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4、本级区政府法律顾问服务绩效目标表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13020525P009100100055</w:t>
            </w:r>
          </w:p>
        </w:tc>
        <w:tc>
          <w:tcPr>
            <w:tcW w:w="2835" w:type="dxa"/>
            <w:vAlign w:val="center"/>
          </w:tcPr>
          <w:p>
            <w:pPr>
              <w:pStyle w:val="11"/>
            </w:pPr>
            <w:r>
              <w:t>项目名称</w:t>
            </w:r>
          </w:p>
        </w:tc>
        <w:tc>
          <w:tcPr>
            <w:tcW w:w="6095" w:type="dxa"/>
            <w:gridSpan w:val="3"/>
            <w:vAlign w:val="center"/>
          </w:tcPr>
          <w:p>
            <w:pPr>
              <w:pStyle w:val="13"/>
            </w:pPr>
            <w:r>
              <w:t>本级区政府法律顾问服务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w:t>
            </w:r>
          </w:p>
        </w:tc>
        <w:tc>
          <w:tcPr>
            <w:tcW w:w="2835" w:type="dxa"/>
            <w:vAlign w:val="center"/>
          </w:tcPr>
          <w:p>
            <w:pPr>
              <w:pStyle w:val="11"/>
            </w:pPr>
            <w:r>
              <w:t>其中：财政    资金</w:t>
            </w:r>
          </w:p>
        </w:tc>
        <w:tc>
          <w:tcPr>
            <w:tcW w:w="2551" w:type="dxa"/>
            <w:vAlign w:val="center"/>
          </w:tcPr>
          <w:p>
            <w:pPr>
              <w:pStyle w:val="13"/>
            </w:pPr>
            <w:r>
              <w:t>19.00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开平区政府法律相关业务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1.为了开平区社会稳定。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≥85%</w:t>
            </w:r>
          </w:p>
        </w:tc>
        <w:tc>
          <w:tcPr>
            <w:tcW w:w="1276" w:type="dxa"/>
            <w:vAlign w:val="center"/>
          </w:tcPr>
          <w:p>
            <w:pPr>
              <w:pStyle w:val="13"/>
            </w:pPr>
            <w:r>
              <w:t>各项工作完成率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合格率</w:t>
            </w:r>
          </w:p>
        </w:tc>
        <w:tc>
          <w:tcPr>
            <w:tcW w:w="2268" w:type="dxa"/>
            <w:vAlign w:val="center"/>
          </w:tcPr>
          <w:p>
            <w:pPr>
              <w:pStyle w:val="13"/>
            </w:pPr>
            <w:r>
              <w:t>≥95%</w:t>
            </w:r>
          </w:p>
        </w:tc>
        <w:tc>
          <w:tcPr>
            <w:tcW w:w="1276" w:type="dxa"/>
            <w:vAlign w:val="center"/>
          </w:tcPr>
          <w:p>
            <w:pPr>
              <w:pStyle w:val="13"/>
            </w:pPr>
            <w:r>
              <w:t>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≥95%</w:t>
            </w:r>
          </w:p>
        </w:tc>
        <w:tc>
          <w:tcPr>
            <w:tcW w:w="1276" w:type="dxa"/>
            <w:vAlign w:val="center"/>
          </w:tcPr>
          <w:p>
            <w:pPr>
              <w:pStyle w:val="13"/>
            </w:pPr>
            <w:r>
              <w:t>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≤100%</w:t>
            </w:r>
          </w:p>
        </w:tc>
        <w:tc>
          <w:tcPr>
            <w:tcW w:w="1276" w:type="dxa"/>
            <w:vAlign w:val="center"/>
          </w:tcPr>
          <w:p>
            <w:pPr>
              <w:pStyle w:val="13"/>
            </w:pPr>
            <w:r>
              <w:t>项目成本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≥90%</w:t>
            </w:r>
          </w:p>
        </w:tc>
        <w:tc>
          <w:tcPr>
            <w:tcW w:w="1276" w:type="dxa"/>
            <w:vAlign w:val="center"/>
          </w:tcPr>
          <w:p>
            <w:pPr>
              <w:pStyle w:val="13"/>
            </w:pPr>
            <w:r>
              <w:t>经济效益指标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案件处理效率</w:t>
            </w:r>
          </w:p>
        </w:tc>
        <w:tc>
          <w:tcPr>
            <w:tcW w:w="5386" w:type="dxa"/>
            <w:vAlign w:val="center"/>
          </w:tcPr>
          <w:p>
            <w:pPr>
              <w:pStyle w:val="13"/>
            </w:pPr>
            <w:r>
              <w:t>提高全省交通事故处理的效率和办案质量</w:t>
            </w:r>
          </w:p>
        </w:tc>
        <w:tc>
          <w:tcPr>
            <w:tcW w:w="2268" w:type="dxa"/>
            <w:vAlign w:val="center"/>
          </w:tcPr>
          <w:p>
            <w:pPr>
              <w:pStyle w:val="13"/>
            </w:pPr>
            <w:r>
              <w:t>≥90%</w:t>
            </w:r>
          </w:p>
        </w:tc>
        <w:tc>
          <w:tcPr>
            <w:tcW w:w="1276" w:type="dxa"/>
            <w:vAlign w:val="center"/>
          </w:tcPr>
          <w:p>
            <w:pPr>
              <w:pStyle w:val="13"/>
            </w:pPr>
            <w:r>
              <w:t>案件处理效率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≥90%</w:t>
            </w:r>
          </w:p>
        </w:tc>
        <w:tc>
          <w:tcPr>
            <w:tcW w:w="1276" w:type="dxa"/>
            <w:vAlign w:val="center"/>
          </w:tcPr>
          <w:p>
            <w:pPr>
              <w:pStyle w:val="13"/>
            </w:pPr>
            <w:r>
              <w:t>结果准确性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≥95%</w:t>
            </w:r>
          </w:p>
        </w:tc>
        <w:tc>
          <w:tcPr>
            <w:tcW w:w="1276" w:type="dxa"/>
            <w:vAlign w:val="center"/>
          </w:tcPr>
          <w:p>
            <w:pPr>
              <w:pStyle w:val="13"/>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公众满意度</w:t>
            </w:r>
          </w:p>
        </w:tc>
        <w:tc>
          <w:tcPr>
            <w:tcW w:w="2268" w:type="dxa"/>
            <w:vAlign w:val="center"/>
          </w:tcPr>
          <w:p>
            <w:pPr>
              <w:pStyle w:val="13"/>
            </w:pPr>
            <w:r>
              <w:t>≥95%</w:t>
            </w:r>
          </w:p>
        </w:tc>
        <w:tc>
          <w:tcPr>
            <w:tcW w:w="1276" w:type="dxa"/>
            <w:vAlign w:val="center"/>
          </w:tcPr>
          <w:p>
            <w:pPr>
              <w:pStyle w:val="13"/>
            </w:pPr>
            <w:r>
              <w:t>公众满意度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5、本级数字中心建设绩效目标表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13020525P00917010003G</w:t>
            </w:r>
          </w:p>
        </w:tc>
        <w:tc>
          <w:tcPr>
            <w:tcW w:w="2835" w:type="dxa"/>
            <w:vAlign w:val="center"/>
          </w:tcPr>
          <w:p>
            <w:pPr>
              <w:pStyle w:val="11"/>
            </w:pPr>
            <w:r>
              <w:t>项目名称</w:t>
            </w:r>
          </w:p>
        </w:tc>
        <w:tc>
          <w:tcPr>
            <w:tcW w:w="6095" w:type="dxa"/>
            <w:gridSpan w:val="3"/>
            <w:vAlign w:val="center"/>
          </w:tcPr>
          <w:p>
            <w:pPr>
              <w:pStyle w:val="13"/>
            </w:pPr>
            <w:r>
              <w:t>本级数字中心建设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用于政府数字中心建设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1.更好、更快的完成上级交办的各项工作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≥95%</w:t>
            </w:r>
          </w:p>
        </w:tc>
        <w:tc>
          <w:tcPr>
            <w:tcW w:w="1276" w:type="dxa"/>
            <w:vAlign w:val="center"/>
          </w:tcPr>
          <w:p>
            <w:pPr>
              <w:pStyle w:val="13"/>
            </w:pPr>
            <w:r>
              <w:t>各项工作完成率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其他各项综合实务工作完成率</w:t>
            </w:r>
          </w:p>
        </w:tc>
        <w:tc>
          <w:tcPr>
            <w:tcW w:w="5386" w:type="dxa"/>
            <w:vAlign w:val="center"/>
          </w:tcPr>
          <w:p>
            <w:pPr>
              <w:pStyle w:val="13"/>
            </w:pPr>
            <w:r>
              <w:t>其他各项综合实务工作完成率</w:t>
            </w:r>
          </w:p>
        </w:tc>
        <w:tc>
          <w:tcPr>
            <w:tcW w:w="2268" w:type="dxa"/>
            <w:vAlign w:val="center"/>
          </w:tcPr>
          <w:p>
            <w:pPr>
              <w:pStyle w:val="13"/>
            </w:pPr>
            <w:r>
              <w:t>≥90%</w:t>
            </w:r>
          </w:p>
        </w:tc>
        <w:tc>
          <w:tcPr>
            <w:tcW w:w="1276" w:type="dxa"/>
            <w:vAlign w:val="center"/>
          </w:tcPr>
          <w:p>
            <w:pPr>
              <w:pStyle w:val="13"/>
            </w:pPr>
            <w:r>
              <w:t>其他各项综合实务工作完成率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≥85%</w:t>
            </w:r>
          </w:p>
        </w:tc>
        <w:tc>
          <w:tcPr>
            <w:tcW w:w="1276" w:type="dxa"/>
            <w:vAlign w:val="center"/>
          </w:tcPr>
          <w:p>
            <w:pPr>
              <w:pStyle w:val="13"/>
            </w:pPr>
            <w:r>
              <w:t>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项目预算成本数</w:t>
            </w:r>
          </w:p>
        </w:tc>
        <w:tc>
          <w:tcPr>
            <w:tcW w:w="5386" w:type="dxa"/>
            <w:vAlign w:val="center"/>
          </w:tcPr>
          <w:p>
            <w:pPr>
              <w:pStyle w:val="13"/>
            </w:pPr>
            <w:r>
              <w:t>项目预算成本数</w:t>
            </w:r>
          </w:p>
        </w:tc>
        <w:tc>
          <w:tcPr>
            <w:tcW w:w="2268" w:type="dxa"/>
            <w:vAlign w:val="center"/>
          </w:tcPr>
          <w:p>
            <w:pPr>
              <w:pStyle w:val="13"/>
            </w:pPr>
            <w:r>
              <w:t>≤95%</w:t>
            </w:r>
          </w:p>
        </w:tc>
        <w:tc>
          <w:tcPr>
            <w:tcW w:w="1276" w:type="dxa"/>
            <w:vAlign w:val="center"/>
          </w:tcPr>
          <w:p>
            <w:pPr>
              <w:pStyle w:val="13"/>
            </w:pPr>
            <w:r>
              <w:t>项目预算成本数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故障降低率（%）</w:t>
            </w:r>
          </w:p>
        </w:tc>
        <w:tc>
          <w:tcPr>
            <w:tcW w:w="5386" w:type="dxa"/>
            <w:vAlign w:val="center"/>
          </w:tcPr>
          <w:p>
            <w:pPr>
              <w:pStyle w:val="13"/>
            </w:pPr>
            <w:r>
              <w:t>故障降低率（%）</w:t>
            </w:r>
          </w:p>
        </w:tc>
        <w:tc>
          <w:tcPr>
            <w:tcW w:w="2268" w:type="dxa"/>
            <w:vAlign w:val="center"/>
          </w:tcPr>
          <w:p>
            <w:pPr>
              <w:pStyle w:val="13"/>
            </w:pPr>
            <w:r>
              <w:t>≥85%</w:t>
            </w:r>
          </w:p>
        </w:tc>
        <w:tc>
          <w:tcPr>
            <w:tcW w:w="1276" w:type="dxa"/>
            <w:vAlign w:val="center"/>
          </w:tcPr>
          <w:p>
            <w:pPr>
              <w:pStyle w:val="13"/>
            </w:pPr>
            <w:r>
              <w:t>故障降低率（%）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项目完成率</w:t>
            </w:r>
          </w:p>
        </w:tc>
        <w:tc>
          <w:tcPr>
            <w:tcW w:w="5386" w:type="dxa"/>
            <w:vAlign w:val="center"/>
          </w:tcPr>
          <w:p>
            <w:pPr>
              <w:pStyle w:val="13"/>
            </w:pPr>
            <w:r>
              <w:t>项目完成率</w:t>
            </w:r>
          </w:p>
        </w:tc>
        <w:tc>
          <w:tcPr>
            <w:tcW w:w="2268" w:type="dxa"/>
            <w:vAlign w:val="center"/>
          </w:tcPr>
          <w:p>
            <w:pPr>
              <w:pStyle w:val="13"/>
            </w:pPr>
            <w:r>
              <w:t>≥95%</w:t>
            </w:r>
          </w:p>
        </w:tc>
        <w:tc>
          <w:tcPr>
            <w:tcW w:w="1276" w:type="dxa"/>
            <w:vAlign w:val="center"/>
          </w:tcPr>
          <w:p>
            <w:pPr>
              <w:pStyle w:val="13"/>
            </w:pPr>
            <w:r>
              <w:t>项目完成率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结果准确率</w:t>
            </w:r>
          </w:p>
        </w:tc>
        <w:tc>
          <w:tcPr>
            <w:tcW w:w="2268" w:type="dxa"/>
            <w:vAlign w:val="center"/>
          </w:tcPr>
          <w:p>
            <w:pPr>
              <w:pStyle w:val="13"/>
            </w:pPr>
            <w:r>
              <w:t>≥95%</w:t>
            </w:r>
          </w:p>
        </w:tc>
        <w:tc>
          <w:tcPr>
            <w:tcW w:w="1276" w:type="dxa"/>
            <w:vAlign w:val="center"/>
          </w:tcPr>
          <w:p>
            <w:pPr>
              <w:pStyle w:val="13"/>
            </w:pPr>
            <w:r>
              <w:t>结果准确性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功能恢复率</w:t>
            </w:r>
          </w:p>
        </w:tc>
        <w:tc>
          <w:tcPr>
            <w:tcW w:w="5386" w:type="dxa"/>
            <w:vAlign w:val="center"/>
          </w:tcPr>
          <w:p>
            <w:pPr>
              <w:pStyle w:val="13"/>
            </w:pPr>
            <w:r>
              <w:t>功能恢复率</w:t>
            </w:r>
          </w:p>
        </w:tc>
        <w:tc>
          <w:tcPr>
            <w:tcW w:w="2268" w:type="dxa"/>
            <w:vAlign w:val="center"/>
          </w:tcPr>
          <w:p>
            <w:pPr>
              <w:pStyle w:val="13"/>
            </w:pPr>
            <w:r>
              <w:t>≥95%</w:t>
            </w:r>
          </w:p>
        </w:tc>
        <w:tc>
          <w:tcPr>
            <w:tcW w:w="1276" w:type="dxa"/>
            <w:vAlign w:val="center"/>
          </w:tcPr>
          <w:p>
            <w:pPr>
              <w:pStyle w:val="13"/>
            </w:pPr>
            <w:r>
              <w:t>功能恢复率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≥98%</w:t>
            </w:r>
          </w:p>
        </w:tc>
        <w:tc>
          <w:tcPr>
            <w:tcW w:w="1276" w:type="dxa"/>
            <w:vAlign w:val="center"/>
          </w:tcPr>
          <w:p>
            <w:pPr>
              <w:pStyle w:val="13"/>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6、本级协调服务保障经费绩效目标表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13020525P009173100045</w:t>
            </w:r>
          </w:p>
        </w:tc>
        <w:tc>
          <w:tcPr>
            <w:tcW w:w="2835" w:type="dxa"/>
            <w:vAlign w:val="center"/>
          </w:tcPr>
          <w:p>
            <w:pPr>
              <w:pStyle w:val="11"/>
            </w:pPr>
            <w:r>
              <w:t>项目名称</w:t>
            </w:r>
          </w:p>
        </w:tc>
        <w:tc>
          <w:tcPr>
            <w:tcW w:w="6095" w:type="dxa"/>
            <w:gridSpan w:val="3"/>
            <w:vAlign w:val="center"/>
          </w:tcPr>
          <w:p>
            <w:pPr>
              <w:pStyle w:val="13"/>
            </w:pPr>
            <w:r>
              <w:t>本级协调服务保障经费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用于本机协调服务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1.为了更好、更快的完成上级交办的各项工作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各项检务保障工作完成率</w:t>
            </w:r>
          </w:p>
        </w:tc>
        <w:tc>
          <w:tcPr>
            <w:tcW w:w="5386" w:type="dxa"/>
            <w:vAlign w:val="center"/>
          </w:tcPr>
          <w:p>
            <w:pPr>
              <w:pStyle w:val="13"/>
            </w:pPr>
            <w:r>
              <w:t>各项检务保障工作完成率</w:t>
            </w:r>
          </w:p>
        </w:tc>
        <w:tc>
          <w:tcPr>
            <w:tcW w:w="2268" w:type="dxa"/>
            <w:vAlign w:val="center"/>
          </w:tcPr>
          <w:p>
            <w:pPr>
              <w:pStyle w:val="13"/>
            </w:pPr>
            <w:r>
              <w:t>≥90%</w:t>
            </w:r>
          </w:p>
        </w:tc>
        <w:tc>
          <w:tcPr>
            <w:tcW w:w="1276" w:type="dxa"/>
            <w:vAlign w:val="center"/>
          </w:tcPr>
          <w:p>
            <w:pPr>
              <w:pStyle w:val="13"/>
            </w:pPr>
            <w:r>
              <w:t>各项检务保障工作完成率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其他各项综合实务工作完成率</w:t>
            </w:r>
          </w:p>
        </w:tc>
        <w:tc>
          <w:tcPr>
            <w:tcW w:w="5386" w:type="dxa"/>
            <w:vAlign w:val="center"/>
          </w:tcPr>
          <w:p>
            <w:pPr>
              <w:pStyle w:val="13"/>
            </w:pPr>
            <w:r>
              <w:t>其他各项综合实务工作完成率</w:t>
            </w:r>
          </w:p>
        </w:tc>
        <w:tc>
          <w:tcPr>
            <w:tcW w:w="2268" w:type="dxa"/>
            <w:vAlign w:val="center"/>
          </w:tcPr>
          <w:p>
            <w:pPr>
              <w:pStyle w:val="13"/>
            </w:pPr>
            <w:r>
              <w:t>≥85%</w:t>
            </w:r>
          </w:p>
        </w:tc>
        <w:tc>
          <w:tcPr>
            <w:tcW w:w="1276" w:type="dxa"/>
            <w:vAlign w:val="center"/>
          </w:tcPr>
          <w:p>
            <w:pPr>
              <w:pStyle w:val="13"/>
            </w:pPr>
            <w:r>
              <w:t>其他各项综合实务工作完成率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年度工作计划和重点工作任务完成</w:t>
            </w:r>
          </w:p>
        </w:tc>
        <w:tc>
          <w:tcPr>
            <w:tcW w:w="5386" w:type="dxa"/>
            <w:vAlign w:val="center"/>
          </w:tcPr>
          <w:p>
            <w:pPr>
              <w:pStyle w:val="13"/>
            </w:pPr>
            <w:r>
              <w:t>年度工作计划和重点工作任务完成率</w:t>
            </w:r>
          </w:p>
        </w:tc>
        <w:tc>
          <w:tcPr>
            <w:tcW w:w="2268" w:type="dxa"/>
            <w:vAlign w:val="center"/>
          </w:tcPr>
          <w:p>
            <w:pPr>
              <w:pStyle w:val="13"/>
            </w:pPr>
            <w:r>
              <w:t>≥95%</w:t>
            </w:r>
          </w:p>
        </w:tc>
        <w:tc>
          <w:tcPr>
            <w:tcW w:w="1276" w:type="dxa"/>
            <w:vAlign w:val="center"/>
          </w:tcPr>
          <w:p>
            <w:pPr>
              <w:pStyle w:val="13"/>
            </w:pPr>
            <w:r>
              <w:t>年度工作计划和重点工作任务完成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完成工作需要的资金</w:t>
            </w:r>
          </w:p>
        </w:tc>
        <w:tc>
          <w:tcPr>
            <w:tcW w:w="5386" w:type="dxa"/>
            <w:vAlign w:val="center"/>
          </w:tcPr>
          <w:p>
            <w:pPr>
              <w:pStyle w:val="13"/>
            </w:pPr>
            <w:r>
              <w:t>完成工作需要的资金</w:t>
            </w:r>
          </w:p>
        </w:tc>
        <w:tc>
          <w:tcPr>
            <w:tcW w:w="2268" w:type="dxa"/>
            <w:vAlign w:val="center"/>
          </w:tcPr>
          <w:p>
            <w:pPr>
              <w:pStyle w:val="13"/>
            </w:pPr>
            <w:r>
              <w:t>≤100%</w:t>
            </w:r>
          </w:p>
        </w:tc>
        <w:tc>
          <w:tcPr>
            <w:tcW w:w="1276" w:type="dxa"/>
            <w:vAlign w:val="center"/>
          </w:tcPr>
          <w:p>
            <w:pPr>
              <w:pStyle w:val="13"/>
            </w:pPr>
            <w:r>
              <w:t>完成工作需要的资金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对单位规范管理工作推动效果</w:t>
            </w:r>
          </w:p>
        </w:tc>
        <w:tc>
          <w:tcPr>
            <w:tcW w:w="5386" w:type="dxa"/>
            <w:vAlign w:val="center"/>
          </w:tcPr>
          <w:p>
            <w:pPr>
              <w:pStyle w:val="13"/>
            </w:pPr>
            <w:r>
              <w:t>对单位规范管理工作推动效果</w:t>
            </w:r>
          </w:p>
        </w:tc>
        <w:tc>
          <w:tcPr>
            <w:tcW w:w="2268" w:type="dxa"/>
            <w:vAlign w:val="center"/>
          </w:tcPr>
          <w:p>
            <w:pPr>
              <w:pStyle w:val="13"/>
            </w:pPr>
            <w:r>
              <w:t>≥90%</w:t>
            </w:r>
          </w:p>
        </w:tc>
        <w:tc>
          <w:tcPr>
            <w:tcW w:w="1276" w:type="dxa"/>
            <w:vAlign w:val="center"/>
          </w:tcPr>
          <w:p>
            <w:pPr>
              <w:pStyle w:val="13"/>
            </w:pPr>
            <w:r>
              <w:t>对单位规范管理工作推动效果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各项工作任务按时完成率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各项工作任务按时完成率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≥90%</w:t>
            </w:r>
          </w:p>
        </w:tc>
        <w:tc>
          <w:tcPr>
            <w:tcW w:w="1276" w:type="dxa"/>
            <w:vAlign w:val="center"/>
          </w:tcPr>
          <w:p>
            <w:pPr>
              <w:pStyle w:val="13"/>
            </w:pPr>
            <w:r>
              <w:t>生态效益增长率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≥95%</w:t>
            </w:r>
          </w:p>
        </w:tc>
        <w:tc>
          <w:tcPr>
            <w:tcW w:w="1276" w:type="dxa"/>
            <w:vAlign w:val="center"/>
          </w:tcPr>
          <w:p>
            <w:pPr>
              <w:pStyle w:val="13"/>
            </w:pPr>
            <w:r>
              <w:t>持续服务率(%)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服务对象满意度指标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7、本级政务外网安全与处置设备采购维护及网络租赁绩效目标表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13020525P00917210003U</w:t>
            </w:r>
          </w:p>
        </w:tc>
        <w:tc>
          <w:tcPr>
            <w:tcW w:w="2835" w:type="dxa"/>
            <w:vAlign w:val="center"/>
          </w:tcPr>
          <w:p>
            <w:pPr>
              <w:pStyle w:val="11"/>
            </w:pPr>
            <w:r>
              <w:t>项目名称</w:t>
            </w:r>
          </w:p>
        </w:tc>
        <w:tc>
          <w:tcPr>
            <w:tcW w:w="6095" w:type="dxa"/>
            <w:gridSpan w:val="3"/>
            <w:vAlign w:val="center"/>
          </w:tcPr>
          <w:p>
            <w:pPr>
              <w:pStyle w:val="13"/>
            </w:pPr>
            <w:r>
              <w:t>本级政务外网安全与处置设备采购维护及网络租赁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开平政府网站投入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1.为了开平政府网稳定运行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合格率</w:t>
            </w:r>
          </w:p>
        </w:tc>
        <w:tc>
          <w:tcPr>
            <w:tcW w:w="2268" w:type="dxa"/>
            <w:vAlign w:val="center"/>
          </w:tcPr>
          <w:p>
            <w:pPr>
              <w:pStyle w:val="13"/>
            </w:pPr>
            <w:r>
              <w:t>≥92%</w:t>
            </w:r>
          </w:p>
        </w:tc>
        <w:tc>
          <w:tcPr>
            <w:tcW w:w="1276" w:type="dxa"/>
            <w:vAlign w:val="center"/>
          </w:tcPr>
          <w:p>
            <w:pPr>
              <w:pStyle w:val="13"/>
            </w:pPr>
            <w:r>
              <w:t>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≥95%</w:t>
            </w:r>
          </w:p>
        </w:tc>
        <w:tc>
          <w:tcPr>
            <w:tcW w:w="1276" w:type="dxa"/>
            <w:vAlign w:val="center"/>
          </w:tcPr>
          <w:p>
            <w:pPr>
              <w:pStyle w:val="13"/>
            </w:pPr>
            <w:r>
              <w:t>按期完成率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完成工作需要资金</w:t>
            </w:r>
          </w:p>
        </w:tc>
        <w:tc>
          <w:tcPr>
            <w:tcW w:w="5386" w:type="dxa"/>
            <w:vAlign w:val="center"/>
          </w:tcPr>
          <w:p>
            <w:pPr>
              <w:pStyle w:val="13"/>
            </w:pPr>
            <w:r>
              <w:t>完成工作需要资金</w:t>
            </w:r>
          </w:p>
        </w:tc>
        <w:tc>
          <w:tcPr>
            <w:tcW w:w="2268" w:type="dxa"/>
            <w:vAlign w:val="center"/>
          </w:tcPr>
          <w:p>
            <w:pPr>
              <w:pStyle w:val="13"/>
            </w:pPr>
            <w:r>
              <w:t>≤100%</w:t>
            </w:r>
          </w:p>
        </w:tc>
        <w:tc>
          <w:tcPr>
            <w:tcW w:w="1276" w:type="dxa"/>
            <w:vAlign w:val="center"/>
          </w:tcPr>
          <w:p>
            <w:pPr>
              <w:pStyle w:val="13"/>
            </w:pPr>
            <w:r>
              <w:t>完成工作需要资金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≥90%</w:t>
            </w:r>
          </w:p>
        </w:tc>
        <w:tc>
          <w:tcPr>
            <w:tcW w:w="1276" w:type="dxa"/>
            <w:vAlign w:val="center"/>
          </w:tcPr>
          <w:p>
            <w:pPr>
              <w:pStyle w:val="13"/>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应急保障率</w:t>
            </w:r>
          </w:p>
          <w:p>
            <w:pPr>
              <w:pStyle w:val="13"/>
            </w:pPr>
          </w:p>
        </w:tc>
        <w:tc>
          <w:tcPr>
            <w:tcW w:w="5386" w:type="dxa"/>
            <w:vAlign w:val="center"/>
          </w:tcPr>
          <w:p>
            <w:pPr>
              <w:pStyle w:val="13"/>
            </w:pPr>
            <w:r>
              <w:t>应急保障率</w:t>
            </w:r>
          </w:p>
          <w:p>
            <w:pPr>
              <w:pStyle w:val="13"/>
            </w:pPr>
          </w:p>
        </w:tc>
        <w:tc>
          <w:tcPr>
            <w:tcW w:w="2268" w:type="dxa"/>
            <w:vAlign w:val="center"/>
          </w:tcPr>
          <w:p>
            <w:pPr>
              <w:pStyle w:val="13"/>
            </w:pPr>
            <w:r>
              <w:t>≥90%</w:t>
            </w:r>
          </w:p>
        </w:tc>
        <w:tc>
          <w:tcPr>
            <w:tcW w:w="1276" w:type="dxa"/>
            <w:vAlign w:val="center"/>
          </w:tcPr>
          <w:p>
            <w:pPr>
              <w:pStyle w:val="13"/>
            </w:pPr>
            <w:r>
              <w:t>应急保障率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≥90%</w:t>
            </w:r>
          </w:p>
        </w:tc>
        <w:tc>
          <w:tcPr>
            <w:tcW w:w="1276" w:type="dxa"/>
            <w:vAlign w:val="center"/>
          </w:tcPr>
          <w:p>
            <w:pPr>
              <w:pStyle w:val="13"/>
            </w:pPr>
            <w:r>
              <w:t>生态效益增长率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≥90%</w:t>
            </w:r>
          </w:p>
        </w:tc>
        <w:tc>
          <w:tcPr>
            <w:tcW w:w="1276" w:type="dxa"/>
            <w:vAlign w:val="center"/>
          </w:tcPr>
          <w:p>
            <w:pPr>
              <w:pStyle w:val="13"/>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434唐山市开平区人民政府办公室</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1.75</w:t>
            </w:r>
          </w:p>
        </w:tc>
        <w:tc>
          <w:tcPr>
            <w:tcW w:w="964" w:type="dxa"/>
            <w:vAlign w:val="center"/>
          </w:tcPr>
          <w:p>
            <w:pPr>
              <w:pStyle w:val="16"/>
            </w:pPr>
            <w:r>
              <w:t>1.75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唐山市开平区人民政府办公室本级小计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1.75</w:t>
            </w:r>
          </w:p>
        </w:tc>
        <w:tc>
          <w:tcPr>
            <w:tcW w:w="964" w:type="dxa"/>
            <w:vAlign w:val="center"/>
          </w:tcPr>
          <w:p>
            <w:pPr>
              <w:pStyle w:val="16"/>
            </w:pPr>
            <w:r>
              <w:t>1.75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本级区生态办生态专项保障经费</w:t>
            </w:r>
          </w:p>
        </w:tc>
        <w:tc>
          <w:tcPr>
            <w:tcW w:w="964" w:type="dxa"/>
            <w:vAlign w:val="center"/>
          </w:tcPr>
          <w:p>
            <w:pPr>
              <w:pStyle w:val="12"/>
            </w:pPr>
            <w:r>
              <w:t>50.00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0.57</w:t>
            </w:r>
          </w:p>
        </w:tc>
        <w:tc>
          <w:tcPr>
            <w:tcW w:w="964" w:type="dxa"/>
            <w:vAlign w:val="center"/>
          </w:tcPr>
          <w:p>
            <w:pPr>
              <w:pStyle w:val="12"/>
            </w:pPr>
            <w:r>
              <w:t>0.57</w:t>
            </w:r>
          </w:p>
        </w:tc>
        <w:tc>
          <w:tcPr>
            <w:tcW w:w="964" w:type="dxa"/>
            <w:vAlign w:val="center"/>
          </w:tcPr>
          <w:p>
            <w:pPr>
              <w:pStyle w:val="12"/>
            </w:pPr>
            <w:r>
              <w:t>0.57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本级区生态办生态专项保障经费</w:t>
            </w:r>
          </w:p>
        </w:tc>
        <w:tc>
          <w:tcPr>
            <w:tcW w:w="964" w:type="dxa"/>
            <w:vAlign w:val="center"/>
          </w:tcPr>
          <w:p>
            <w:pPr>
              <w:pStyle w:val="12"/>
            </w:pPr>
            <w:r>
              <w:t>50.00</w:t>
            </w:r>
          </w:p>
        </w:tc>
        <w:tc>
          <w:tcPr>
            <w:tcW w:w="1134" w:type="dxa"/>
            <w:vAlign w:val="center"/>
          </w:tcPr>
          <w:p>
            <w:pPr>
              <w:pStyle w:val="13"/>
            </w:pPr>
            <w:r>
              <w:t>保密柜</w:t>
            </w:r>
          </w:p>
        </w:tc>
        <w:tc>
          <w:tcPr>
            <w:tcW w:w="1134" w:type="dxa"/>
            <w:vAlign w:val="center"/>
          </w:tcPr>
          <w:p>
            <w:pPr>
              <w:pStyle w:val="13"/>
            </w:pPr>
            <w:r>
              <w:t>A05010504</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0.14</w:t>
            </w:r>
          </w:p>
        </w:tc>
        <w:tc>
          <w:tcPr>
            <w:tcW w:w="964" w:type="dxa"/>
            <w:vAlign w:val="center"/>
          </w:tcPr>
          <w:p>
            <w:pPr>
              <w:pStyle w:val="12"/>
            </w:pPr>
            <w:r>
              <w:t>0.68</w:t>
            </w:r>
          </w:p>
        </w:tc>
        <w:tc>
          <w:tcPr>
            <w:tcW w:w="964" w:type="dxa"/>
            <w:vAlign w:val="center"/>
          </w:tcPr>
          <w:p>
            <w:pPr>
              <w:pStyle w:val="12"/>
            </w:pPr>
            <w:r>
              <w:t>0.68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本级协调服务保障经费</w:t>
            </w:r>
          </w:p>
        </w:tc>
        <w:tc>
          <w:tcPr>
            <w:tcW w:w="964" w:type="dxa"/>
            <w:vAlign w:val="center"/>
          </w:tcPr>
          <w:p>
            <w:pPr>
              <w:pStyle w:val="12"/>
            </w:pPr>
            <w:r>
              <w:t>50.00</w:t>
            </w:r>
          </w:p>
        </w:tc>
        <w:tc>
          <w:tcPr>
            <w:tcW w:w="1134" w:type="dxa"/>
            <w:vAlign w:val="center"/>
          </w:tcPr>
          <w:p>
            <w:pPr>
              <w:pStyle w:val="13"/>
            </w:pPr>
            <w:r>
              <w:t>复印机</w:t>
            </w:r>
          </w:p>
        </w:tc>
        <w:tc>
          <w:tcPr>
            <w:tcW w:w="1134" w:type="dxa"/>
            <w:vAlign w:val="center"/>
          </w:tcPr>
          <w:p>
            <w:pPr>
              <w:pStyle w:val="13"/>
            </w:pPr>
            <w:r>
              <w:t>A02020100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唐山市开平区人民政府办公室（含所属单位）上年末固定资产金额为444.84万元（详见下表）。本年度拟购置固定资产总额为</w:t>
      </w:r>
      <w:r>
        <w:rPr>
          <w:rFonts w:hint="eastAsia" w:eastAsia="方正仿宋_GBK" w:cs="Times New Roman"/>
          <w:b w:val="0"/>
          <w:color w:val="000000"/>
          <w:sz w:val="28"/>
          <w:lang w:val="en-US" w:eastAsia="zh-CN"/>
        </w:rPr>
        <w:t>1.75</w:t>
      </w:r>
      <w:bookmarkStart w:id="20" w:name="_GoBack"/>
      <w:bookmarkEnd w:id="20"/>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434唐山市开平区人民政府办公室</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444.84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6</w:t>
            </w:r>
          </w:p>
        </w:tc>
        <w:tc>
          <w:tcPr>
            <w:tcW w:w="2835" w:type="dxa"/>
            <w:vAlign w:val="center"/>
          </w:tcPr>
          <w:p>
            <w:pPr>
              <w:pStyle w:val="12"/>
            </w:pPr>
            <w:r>
              <w:t>119.97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319</w:t>
            </w:r>
          </w:p>
        </w:tc>
        <w:tc>
          <w:tcPr>
            <w:tcW w:w="2835" w:type="dxa"/>
            <w:vAlign w:val="center"/>
          </w:tcPr>
          <w:p>
            <w:pPr>
              <w:pStyle w:val="12"/>
            </w:pPr>
            <w:r>
              <w:t>324.87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A1E79E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TotalTime>2</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2025-02-11T14:17:00Z</dcterms:created>
  <dc:creator>Administrator</dc:creator>
  <cp:lastModifiedBy>Administrator</cp:lastModifiedBy>
  <dcterms:modified xsi:type="dcterms:W3CDTF">2025-02-11T06:13:22Z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