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一、唐山市开平区人民政府办公室本级收支预算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1124.51</w:t>
            </w:r>
          </w:p>
        </w:tc>
        <w:tc>
          <w:tcPr>
            <w:tcW w:w="4535" w:type="dxa"/>
            <w:vAlign w:val="center"/>
          </w:tcPr>
          <w:p>
            <w:pPr>
              <w:pStyle w:val="12"/>
            </w:pPr>
            <w:r>
              <w:t>一、一般公共服务支出</w:t>
            </w:r>
          </w:p>
        </w:tc>
        <w:tc>
          <w:tcPr>
            <w:tcW w:w="2126" w:type="dxa"/>
            <w:vAlign w:val="center"/>
          </w:tcPr>
          <w:p>
            <w:pPr>
              <w:pStyle w:val="11"/>
            </w:pPr>
            <w:r>
              <w:t>949.82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250.00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1374.51</w:t>
            </w:r>
          </w:p>
        </w:tc>
        <w:tc>
          <w:tcPr>
            <w:tcW w:w="4535" w:type="dxa"/>
            <w:vAlign w:val="center"/>
          </w:tcPr>
          <w:p>
            <w:pPr>
              <w:pStyle w:val="14"/>
            </w:pPr>
            <w:r>
              <w:t>本年支出合计</w:t>
            </w:r>
          </w:p>
        </w:tc>
        <w:tc>
          <w:tcPr>
            <w:tcW w:w="2126" w:type="dxa"/>
            <w:vAlign w:val="center"/>
          </w:tcPr>
          <w:p>
            <w:pPr>
              <w:pStyle w:val="15"/>
            </w:pPr>
            <w:r>
              <w:t>1374.51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1374.51</w:t>
            </w:r>
          </w:p>
        </w:tc>
        <w:tc>
          <w:tcPr>
            <w:tcW w:w="4535" w:type="dxa"/>
            <w:vAlign w:val="center"/>
          </w:tcPr>
          <w:p>
            <w:pPr>
              <w:pStyle w:val="14"/>
            </w:pPr>
            <w:r>
              <w:t>支出总计</w:t>
            </w:r>
          </w:p>
        </w:tc>
        <w:tc>
          <w:tcPr>
            <w:tcW w:w="2126" w:type="dxa"/>
            <w:vAlign w:val="center"/>
          </w:tcPr>
          <w:p>
            <w:pPr>
              <w:pStyle w:val="15"/>
            </w:pPr>
            <w:r>
              <w:t>1374.51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1374.51</w:t>
            </w:r>
          </w:p>
        </w:tc>
        <w:tc>
          <w:tcPr>
            <w:tcW w:w="1134" w:type="dxa"/>
            <w:vAlign w:val="center"/>
          </w:tcPr>
          <w:p>
            <w:pPr>
              <w:pStyle w:val="15"/>
            </w:pPr>
            <w:r>
              <w:t>1374.51</w:t>
            </w:r>
          </w:p>
        </w:tc>
        <w:tc>
          <w:tcPr>
            <w:tcW w:w="1134" w:type="dxa"/>
            <w:vAlign w:val="center"/>
          </w:tcPr>
          <w:p>
            <w:pPr>
              <w:pStyle w:val="15"/>
            </w:pPr>
            <w:r>
              <w:t>1374.51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949.82</w:t>
            </w:r>
          </w:p>
        </w:tc>
        <w:tc>
          <w:tcPr>
            <w:tcW w:w="1134" w:type="dxa"/>
            <w:vAlign w:val="center"/>
          </w:tcPr>
          <w:p>
            <w:pPr>
              <w:pStyle w:val="11"/>
            </w:pPr>
            <w:r>
              <w:t>949.82</w:t>
            </w:r>
          </w:p>
        </w:tc>
        <w:tc>
          <w:tcPr>
            <w:tcW w:w="1134" w:type="dxa"/>
            <w:vAlign w:val="center"/>
          </w:tcPr>
          <w:p>
            <w:pPr>
              <w:pStyle w:val="11"/>
            </w:pPr>
            <w:r>
              <w:t>949.82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949.82</w:t>
            </w:r>
          </w:p>
        </w:tc>
        <w:tc>
          <w:tcPr>
            <w:tcW w:w="1134" w:type="dxa"/>
            <w:vAlign w:val="center"/>
          </w:tcPr>
          <w:p>
            <w:pPr>
              <w:pStyle w:val="11"/>
            </w:pPr>
            <w:r>
              <w:t>949.82</w:t>
            </w:r>
          </w:p>
        </w:tc>
        <w:tc>
          <w:tcPr>
            <w:tcW w:w="1134" w:type="dxa"/>
            <w:vAlign w:val="center"/>
          </w:tcPr>
          <w:p>
            <w:pPr>
              <w:pStyle w:val="11"/>
            </w:pPr>
            <w:r>
              <w:t>949.82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770.82</w:t>
            </w:r>
          </w:p>
        </w:tc>
        <w:tc>
          <w:tcPr>
            <w:tcW w:w="1134" w:type="dxa"/>
            <w:vAlign w:val="center"/>
          </w:tcPr>
          <w:p>
            <w:pPr>
              <w:pStyle w:val="11"/>
            </w:pPr>
            <w:r>
              <w:t>770.82</w:t>
            </w:r>
          </w:p>
        </w:tc>
        <w:tc>
          <w:tcPr>
            <w:tcW w:w="1134" w:type="dxa"/>
            <w:vAlign w:val="center"/>
          </w:tcPr>
          <w:p>
            <w:pPr>
              <w:pStyle w:val="11"/>
            </w:pPr>
            <w:r>
              <w:t>770.82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r>
              <w:t>35.38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r>
              <w:t>57.84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1374.51</w:t>
            </w:r>
          </w:p>
        </w:tc>
        <w:tc>
          <w:tcPr>
            <w:tcW w:w="1361" w:type="dxa"/>
            <w:vAlign w:val="center"/>
          </w:tcPr>
          <w:p>
            <w:pPr>
              <w:pStyle w:val="15"/>
            </w:pPr>
            <w:r>
              <w:t>945.51</w:t>
            </w:r>
          </w:p>
        </w:tc>
        <w:tc>
          <w:tcPr>
            <w:tcW w:w="1361" w:type="dxa"/>
            <w:vAlign w:val="center"/>
          </w:tcPr>
          <w:p>
            <w:pPr>
              <w:pStyle w:val="15"/>
            </w:pPr>
            <w:r>
              <w:t>429.00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949.82</w:t>
            </w:r>
          </w:p>
        </w:tc>
        <w:tc>
          <w:tcPr>
            <w:tcW w:w="1361" w:type="dxa"/>
            <w:vAlign w:val="center"/>
          </w:tcPr>
          <w:p>
            <w:pPr>
              <w:pStyle w:val="11"/>
            </w:pPr>
            <w:r>
              <w:t>770.82</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949.82</w:t>
            </w:r>
          </w:p>
        </w:tc>
        <w:tc>
          <w:tcPr>
            <w:tcW w:w="1361" w:type="dxa"/>
            <w:vAlign w:val="center"/>
          </w:tcPr>
          <w:p>
            <w:pPr>
              <w:pStyle w:val="11"/>
            </w:pPr>
            <w:r>
              <w:t>770.82</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770.82</w:t>
            </w:r>
          </w:p>
        </w:tc>
        <w:tc>
          <w:tcPr>
            <w:tcW w:w="1361" w:type="dxa"/>
            <w:vAlign w:val="center"/>
          </w:tcPr>
          <w:p>
            <w:pPr>
              <w:pStyle w:val="11"/>
            </w:pPr>
            <w:r>
              <w:t>770.82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35.38</w:t>
            </w:r>
          </w:p>
        </w:tc>
        <w:tc>
          <w:tcPr>
            <w:tcW w:w="1361" w:type="dxa"/>
            <w:vAlign w:val="center"/>
          </w:tcPr>
          <w:p>
            <w:pPr>
              <w:pStyle w:val="11"/>
            </w:pPr>
            <w:r>
              <w:t>35.38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35.38</w:t>
            </w:r>
          </w:p>
        </w:tc>
        <w:tc>
          <w:tcPr>
            <w:tcW w:w="1361" w:type="dxa"/>
            <w:vAlign w:val="center"/>
          </w:tcPr>
          <w:p>
            <w:pPr>
              <w:pStyle w:val="11"/>
            </w:pPr>
            <w:r>
              <w:t>35.38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35.38</w:t>
            </w:r>
          </w:p>
        </w:tc>
        <w:tc>
          <w:tcPr>
            <w:tcW w:w="1361" w:type="dxa"/>
            <w:vAlign w:val="center"/>
          </w:tcPr>
          <w:p>
            <w:pPr>
              <w:pStyle w:val="11"/>
            </w:pPr>
            <w:r>
              <w:t>35.38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81.48</w:t>
            </w:r>
          </w:p>
        </w:tc>
        <w:tc>
          <w:tcPr>
            <w:tcW w:w="1361" w:type="dxa"/>
            <w:vAlign w:val="center"/>
          </w:tcPr>
          <w:p>
            <w:pPr>
              <w:pStyle w:val="11"/>
            </w:pPr>
            <w:r>
              <w:t>81.48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81.48</w:t>
            </w:r>
          </w:p>
        </w:tc>
        <w:tc>
          <w:tcPr>
            <w:tcW w:w="1361" w:type="dxa"/>
            <w:vAlign w:val="center"/>
          </w:tcPr>
          <w:p>
            <w:pPr>
              <w:pStyle w:val="11"/>
            </w:pPr>
            <w:r>
              <w:t>81.48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81.48</w:t>
            </w:r>
          </w:p>
        </w:tc>
        <w:tc>
          <w:tcPr>
            <w:tcW w:w="1361" w:type="dxa"/>
            <w:vAlign w:val="center"/>
          </w:tcPr>
          <w:p>
            <w:pPr>
              <w:pStyle w:val="11"/>
            </w:pPr>
            <w:r>
              <w:t>81.48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57.84</w:t>
            </w:r>
          </w:p>
        </w:tc>
        <w:tc>
          <w:tcPr>
            <w:tcW w:w="1361" w:type="dxa"/>
            <w:vAlign w:val="center"/>
          </w:tcPr>
          <w:p>
            <w:pPr>
              <w:pStyle w:val="11"/>
            </w:pPr>
            <w:r>
              <w:t>57.84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57.84</w:t>
            </w:r>
          </w:p>
        </w:tc>
        <w:tc>
          <w:tcPr>
            <w:tcW w:w="1361" w:type="dxa"/>
            <w:vAlign w:val="center"/>
          </w:tcPr>
          <w:p>
            <w:pPr>
              <w:pStyle w:val="11"/>
            </w:pPr>
            <w:r>
              <w:t>57.84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57.84</w:t>
            </w:r>
          </w:p>
        </w:tc>
        <w:tc>
          <w:tcPr>
            <w:tcW w:w="1361" w:type="dxa"/>
            <w:vAlign w:val="center"/>
          </w:tcPr>
          <w:p>
            <w:pPr>
              <w:pStyle w:val="11"/>
            </w:pPr>
            <w:r>
              <w:t>57.84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1124.51</w:t>
            </w:r>
          </w:p>
        </w:tc>
        <w:tc>
          <w:tcPr>
            <w:tcW w:w="3402" w:type="dxa"/>
            <w:vAlign w:val="center"/>
          </w:tcPr>
          <w:p>
            <w:pPr>
              <w:pStyle w:val="12"/>
            </w:pPr>
            <w:r>
              <w:t>一、一般公共服务支出</w:t>
            </w:r>
          </w:p>
        </w:tc>
        <w:tc>
          <w:tcPr>
            <w:tcW w:w="1474" w:type="dxa"/>
            <w:vAlign w:val="center"/>
          </w:tcPr>
          <w:p>
            <w:pPr>
              <w:pStyle w:val="11"/>
            </w:pPr>
            <w:r>
              <w:t>949.82</w:t>
            </w:r>
          </w:p>
        </w:tc>
        <w:tc>
          <w:tcPr>
            <w:tcW w:w="1474" w:type="dxa"/>
            <w:vAlign w:val="center"/>
          </w:tcPr>
          <w:p>
            <w:pPr>
              <w:pStyle w:val="11"/>
            </w:pPr>
            <w:r>
              <w:t>949.82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35.38</w:t>
            </w:r>
          </w:p>
        </w:tc>
        <w:tc>
          <w:tcPr>
            <w:tcW w:w="1474" w:type="dxa"/>
            <w:vAlign w:val="center"/>
          </w:tcPr>
          <w:p>
            <w:pPr>
              <w:pStyle w:val="11"/>
            </w:pPr>
            <w:r>
              <w:t>35.38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81.48</w:t>
            </w:r>
          </w:p>
        </w:tc>
        <w:tc>
          <w:tcPr>
            <w:tcW w:w="1474" w:type="dxa"/>
            <w:vAlign w:val="center"/>
          </w:tcPr>
          <w:p>
            <w:pPr>
              <w:pStyle w:val="11"/>
            </w:pPr>
            <w:r>
              <w:t>81.48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250.00</w:t>
            </w:r>
          </w:p>
        </w:tc>
        <w:tc>
          <w:tcPr>
            <w:tcW w:w="1474" w:type="dxa"/>
            <w:vAlign w:val="center"/>
          </w:tcPr>
          <w:p>
            <w:pPr>
              <w:pStyle w:val="11"/>
            </w:pPr>
          </w:p>
        </w:tc>
        <w:tc>
          <w:tcPr>
            <w:tcW w:w="1474" w:type="dxa"/>
            <w:vAlign w:val="center"/>
          </w:tcPr>
          <w:p>
            <w:pPr>
              <w:pStyle w:val="11"/>
            </w:pPr>
            <w:r>
              <w:t>250.00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57.84</w:t>
            </w:r>
          </w:p>
        </w:tc>
        <w:tc>
          <w:tcPr>
            <w:tcW w:w="1474" w:type="dxa"/>
            <w:vAlign w:val="center"/>
          </w:tcPr>
          <w:p>
            <w:pPr>
              <w:pStyle w:val="11"/>
            </w:pPr>
            <w:r>
              <w:t>57.84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1374.51</w:t>
            </w:r>
          </w:p>
        </w:tc>
        <w:tc>
          <w:tcPr>
            <w:tcW w:w="3402" w:type="dxa"/>
            <w:vAlign w:val="center"/>
          </w:tcPr>
          <w:p>
            <w:pPr>
              <w:pStyle w:val="14"/>
            </w:pPr>
            <w:r>
              <w:t>本年支出合计</w:t>
            </w:r>
          </w:p>
        </w:tc>
        <w:tc>
          <w:tcPr>
            <w:tcW w:w="1474" w:type="dxa"/>
            <w:vAlign w:val="center"/>
          </w:tcPr>
          <w:p>
            <w:pPr>
              <w:pStyle w:val="15"/>
            </w:pPr>
            <w:r>
              <w:t>1374.51</w:t>
            </w:r>
          </w:p>
        </w:tc>
        <w:tc>
          <w:tcPr>
            <w:tcW w:w="1474" w:type="dxa"/>
            <w:vAlign w:val="center"/>
          </w:tcPr>
          <w:p>
            <w:pPr>
              <w:pStyle w:val="15"/>
            </w:pPr>
            <w:r>
              <w:t>1124.51</w:t>
            </w:r>
          </w:p>
        </w:tc>
        <w:tc>
          <w:tcPr>
            <w:tcW w:w="1474" w:type="dxa"/>
            <w:vAlign w:val="center"/>
          </w:tcPr>
          <w:p>
            <w:pPr>
              <w:pStyle w:val="15"/>
            </w:pPr>
            <w:r>
              <w:t>250.00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1374.51</w:t>
            </w:r>
          </w:p>
        </w:tc>
        <w:tc>
          <w:tcPr>
            <w:tcW w:w="3402" w:type="dxa"/>
            <w:vAlign w:val="center"/>
          </w:tcPr>
          <w:p>
            <w:pPr>
              <w:pStyle w:val="14"/>
            </w:pPr>
            <w:r>
              <w:t>支出总计</w:t>
            </w:r>
          </w:p>
        </w:tc>
        <w:tc>
          <w:tcPr>
            <w:tcW w:w="1474" w:type="dxa"/>
            <w:vAlign w:val="center"/>
          </w:tcPr>
          <w:p>
            <w:pPr>
              <w:pStyle w:val="15"/>
            </w:pPr>
            <w:r>
              <w:t>1374.51</w:t>
            </w:r>
          </w:p>
        </w:tc>
        <w:tc>
          <w:tcPr>
            <w:tcW w:w="1474" w:type="dxa"/>
            <w:vAlign w:val="center"/>
          </w:tcPr>
          <w:p>
            <w:pPr>
              <w:pStyle w:val="15"/>
            </w:pPr>
            <w:r>
              <w:t>1124.51</w:t>
            </w:r>
          </w:p>
        </w:tc>
        <w:tc>
          <w:tcPr>
            <w:tcW w:w="1474" w:type="dxa"/>
            <w:vAlign w:val="center"/>
          </w:tcPr>
          <w:p>
            <w:pPr>
              <w:pStyle w:val="15"/>
            </w:pPr>
            <w:r>
              <w:t>250.00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1124.51</w:t>
            </w:r>
          </w:p>
        </w:tc>
        <w:tc>
          <w:tcPr>
            <w:tcW w:w="2551" w:type="dxa"/>
            <w:vAlign w:val="center"/>
          </w:tcPr>
          <w:p>
            <w:pPr>
              <w:pStyle w:val="15"/>
            </w:pPr>
            <w:r>
              <w:t>945.51</w:t>
            </w:r>
          </w:p>
        </w:tc>
        <w:tc>
          <w:tcPr>
            <w:tcW w:w="2551" w:type="dxa"/>
            <w:vAlign w:val="center"/>
          </w:tcPr>
          <w:p>
            <w:pPr>
              <w:pStyle w:val="15"/>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949.82</w:t>
            </w:r>
          </w:p>
        </w:tc>
        <w:tc>
          <w:tcPr>
            <w:tcW w:w="2551" w:type="dxa"/>
            <w:vAlign w:val="center"/>
          </w:tcPr>
          <w:p>
            <w:pPr>
              <w:pStyle w:val="11"/>
            </w:pPr>
            <w:r>
              <w:t>770.82</w:t>
            </w: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949.82</w:t>
            </w:r>
          </w:p>
        </w:tc>
        <w:tc>
          <w:tcPr>
            <w:tcW w:w="2551" w:type="dxa"/>
            <w:vAlign w:val="center"/>
          </w:tcPr>
          <w:p>
            <w:pPr>
              <w:pStyle w:val="11"/>
            </w:pPr>
            <w:r>
              <w:t>770.82</w:t>
            </w: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770.82</w:t>
            </w:r>
          </w:p>
        </w:tc>
        <w:tc>
          <w:tcPr>
            <w:tcW w:w="2551" w:type="dxa"/>
            <w:vAlign w:val="center"/>
          </w:tcPr>
          <w:p>
            <w:pPr>
              <w:pStyle w:val="11"/>
            </w:pPr>
            <w:r>
              <w:t>770.82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35.38</w:t>
            </w:r>
          </w:p>
        </w:tc>
        <w:tc>
          <w:tcPr>
            <w:tcW w:w="2551" w:type="dxa"/>
            <w:vAlign w:val="center"/>
          </w:tcPr>
          <w:p>
            <w:pPr>
              <w:pStyle w:val="11"/>
            </w:pPr>
            <w:r>
              <w:t>35.38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35.38</w:t>
            </w:r>
          </w:p>
        </w:tc>
        <w:tc>
          <w:tcPr>
            <w:tcW w:w="2551" w:type="dxa"/>
            <w:vAlign w:val="center"/>
          </w:tcPr>
          <w:p>
            <w:pPr>
              <w:pStyle w:val="11"/>
            </w:pPr>
            <w:r>
              <w:t>35.38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35.38</w:t>
            </w:r>
          </w:p>
        </w:tc>
        <w:tc>
          <w:tcPr>
            <w:tcW w:w="2551" w:type="dxa"/>
            <w:vAlign w:val="center"/>
          </w:tcPr>
          <w:p>
            <w:pPr>
              <w:pStyle w:val="11"/>
            </w:pPr>
            <w:r>
              <w:t>35.38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81.48</w:t>
            </w:r>
          </w:p>
        </w:tc>
        <w:tc>
          <w:tcPr>
            <w:tcW w:w="2551" w:type="dxa"/>
            <w:vAlign w:val="center"/>
          </w:tcPr>
          <w:p>
            <w:pPr>
              <w:pStyle w:val="11"/>
            </w:pPr>
            <w:r>
              <w:t>81.48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81.48</w:t>
            </w:r>
          </w:p>
        </w:tc>
        <w:tc>
          <w:tcPr>
            <w:tcW w:w="2551" w:type="dxa"/>
            <w:vAlign w:val="center"/>
          </w:tcPr>
          <w:p>
            <w:pPr>
              <w:pStyle w:val="11"/>
            </w:pPr>
            <w:r>
              <w:t>81.48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81.48</w:t>
            </w:r>
          </w:p>
        </w:tc>
        <w:tc>
          <w:tcPr>
            <w:tcW w:w="2551" w:type="dxa"/>
            <w:vAlign w:val="center"/>
          </w:tcPr>
          <w:p>
            <w:pPr>
              <w:pStyle w:val="11"/>
            </w:pPr>
            <w:r>
              <w:t>81.48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57.84</w:t>
            </w:r>
          </w:p>
        </w:tc>
        <w:tc>
          <w:tcPr>
            <w:tcW w:w="2551" w:type="dxa"/>
            <w:vAlign w:val="center"/>
          </w:tcPr>
          <w:p>
            <w:pPr>
              <w:pStyle w:val="11"/>
            </w:pPr>
            <w:r>
              <w:t>57.84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57.84</w:t>
            </w:r>
          </w:p>
        </w:tc>
        <w:tc>
          <w:tcPr>
            <w:tcW w:w="2551" w:type="dxa"/>
            <w:vAlign w:val="center"/>
          </w:tcPr>
          <w:p>
            <w:pPr>
              <w:pStyle w:val="11"/>
            </w:pPr>
            <w:r>
              <w:t>57.84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57.84</w:t>
            </w:r>
          </w:p>
        </w:tc>
        <w:tc>
          <w:tcPr>
            <w:tcW w:w="2551" w:type="dxa"/>
            <w:vAlign w:val="center"/>
          </w:tcPr>
          <w:p>
            <w:pPr>
              <w:pStyle w:val="11"/>
            </w:pPr>
            <w:r>
              <w:t>57.84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945.51</w:t>
            </w:r>
          </w:p>
        </w:tc>
        <w:tc>
          <w:tcPr>
            <w:tcW w:w="2551" w:type="dxa"/>
            <w:vAlign w:val="center"/>
          </w:tcPr>
          <w:p>
            <w:pPr>
              <w:pStyle w:val="15"/>
            </w:pPr>
            <w:r>
              <w:t>880.20</w:t>
            </w:r>
          </w:p>
        </w:tc>
        <w:tc>
          <w:tcPr>
            <w:tcW w:w="2551" w:type="dxa"/>
            <w:vAlign w:val="center"/>
          </w:tcPr>
          <w:p>
            <w:pPr>
              <w:pStyle w:val="15"/>
            </w:pPr>
            <w:r>
              <w:t>65.31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846.92</w:t>
            </w:r>
          </w:p>
        </w:tc>
        <w:tc>
          <w:tcPr>
            <w:tcW w:w="2551" w:type="dxa"/>
            <w:vAlign w:val="center"/>
          </w:tcPr>
          <w:p>
            <w:pPr>
              <w:pStyle w:val="11"/>
            </w:pPr>
            <w:r>
              <w:t>846.92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287.46</w:t>
            </w:r>
          </w:p>
        </w:tc>
        <w:tc>
          <w:tcPr>
            <w:tcW w:w="2551" w:type="dxa"/>
            <w:vAlign w:val="center"/>
          </w:tcPr>
          <w:p>
            <w:pPr>
              <w:pStyle w:val="11"/>
            </w:pPr>
            <w:r>
              <w:t>287.46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130.17</w:t>
            </w:r>
          </w:p>
        </w:tc>
        <w:tc>
          <w:tcPr>
            <w:tcW w:w="2551" w:type="dxa"/>
            <w:vAlign w:val="center"/>
          </w:tcPr>
          <w:p>
            <w:pPr>
              <w:pStyle w:val="11"/>
            </w:pPr>
            <w:r>
              <w:t>130.17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26.04</w:t>
            </w:r>
          </w:p>
        </w:tc>
        <w:tc>
          <w:tcPr>
            <w:tcW w:w="2551" w:type="dxa"/>
            <w:vAlign w:val="center"/>
          </w:tcPr>
          <w:p>
            <w:pPr>
              <w:pStyle w:val="11"/>
            </w:pPr>
            <w:r>
              <w:t>26.04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101.22</w:t>
            </w:r>
          </w:p>
        </w:tc>
        <w:tc>
          <w:tcPr>
            <w:tcW w:w="2551" w:type="dxa"/>
            <w:vAlign w:val="center"/>
          </w:tcPr>
          <w:p>
            <w:pPr>
              <w:pStyle w:val="11"/>
            </w:pPr>
            <w:r>
              <w:t>101.22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62.30</w:t>
            </w:r>
          </w:p>
        </w:tc>
        <w:tc>
          <w:tcPr>
            <w:tcW w:w="2551" w:type="dxa"/>
            <w:vAlign w:val="center"/>
          </w:tcPr>
          <w:p>
            <w:pPr>
              <w:pStyle w:val="11"/>
            </w:pPr>
            <w:r>
              <w:t>62.30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67.91</w:t>
            </w:r>
          </w:p>
        </w:tc>
        <w:tc>
          <w:tcPr>
            <w:tcW w:w="2551" w:type="dxa"/>
            <w:vAlign w:val="center"/>
          </w:tcPr>
          <w:p>
            <w:pPr>
              <w:pStyle w:val="11"/>
            </w:pPr>
            <w:r>
              <w:t>67.91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3.01</w:t>
            </w:r>
          </w:p>
        </w:tc>
        <w:tc>
          <w:tcPr>
            <w:tcW w:w="2551" w:type="dxa"/>
            <w:vAlign w:val="center"/>
          </w:tcPr>
          <w:p>
            <w:pPr>
              <w:pStyle w:val="11"/>
            </w:pPr>
            <w:r>
              <w:t>3.01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48.06</w:t>
            </w:r>
          </w:p>
        </w:tc>
        <w:tc>
          <w:tcPr>
            <w:tcW w:w="2551" w:type="dxa"/>
            <w:vAlign w:val="center"/>
          </w:tcPr>
          <w:p>
            <w:pPr>
              <w:pStyle w:val="11"/>
            </w:pPr>
            <w:r>
              <w:t>48.06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120.74</w:t>
            </w:r>
          </w:p>
        </w:tc>
        <w:tc>
          <w:tcPr>
            <w:tcW w:w="2551" w:type="dxa"/>
            <w:vAlign w:val="center"/>
          </w:tcPr>
          <w:p>
            <w:pPr>
              <w:pStyle w:val="11"/>
            </w:pPr>
            <w:r>
              <w:t>120.74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65.31</w:t>
            </w:r>
          </w:p>
        </w:tc>
        <w:tc>
          <w:tcPr>
            <w:tcW w:w="2551" w:type="dxa"/>
            <w:vAlign w:val="center"/>
          </w:tcPr>
          <w:p>
            <w:pPr>
              <w:pStyle w:val="11"/>
            </w:pPr>
          </w:p>
        </w:tc>
        <w:tc>
          <w:tcPr>
            <w:tcW w:w="2551" w:type="dxa"/>
            <w:vAlign w:val="center"/>
          </w:tcPr>
          <w:p>
            <w:pPr>
              <w:pStyle w:val="11"/>
            </w:pPr>
            <w:r>
              <w:t>65.31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16.80</w:t>
            </w:r>
          </w:p>
        </w:tc>
        <w:tc>
          <w:tcPr>
            <w:tcW w:w="2551" w:type="dxa"/>
            <w:vAlign w:val="center"/>
          </w:tcPr>
          <w:p>
            <w:pPr>
              <w:pStyle w:val="11"/>
            </w:pPr>
          </w:p>
        </w:tc>
        <w:tc>
          <w:tcPr>
            <w:tcW w:w="2551" w:type="dxa"/>
            <w:vAlign w:val="center"/>
          </w:tcPr>
          <w:p>
            <w:pPr>
              <w:pStyle w:val="11"/>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10.57</w:t>
            </w:r>
          </w:p>
        </w:tc>
        <w:tc>
          <w:tcPr>
            <w:tcW w:w="2551" w:type="dxa"/>
            <w:vAlign w:val="center"/>
          </w:tcPr>
          <w:p>
            <w:pPr>
              <w:pStyle w:val="11"/>
            </w:pPr>
          </w:p>
        </w:tc>
        <w:tc>
          <w:tcPr>
            <w:tcW w:w="2551" w:type="dxa"/>
            <w:vAlign w:val="center"/>
          </w:tcPr>
          <w:p>
            <w:pPr>
              <w:pStyle w:val="11"/>
            </w:pPr>
            <w:r>
              <w:t>10.57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16.73</w:t>
            </w:r>
          </w:p>
        </w:tc>
        <w:tc>
          <w:tcPr>
            <w:tcW w:w="2551" w:type="dxa"/>
            <w:vAlign w:val="center"/>
          </w:tcPr>
          <w:p>
            <w:pPr>
              <w:pStyle w:val="11"/>
            </w:pPr>
          </w:p>
        </w:tc>
        <w:tc>
          <w:tcPr>
            <w:tcW w:w="2551" w:type="dxa"/>
            <w:vAlign w:val="center"/>
          </w:tcPr>
          <w:p>
            <w:pPr>
              <w:pStyle w:val="11"/>
            </w:pPr>
            <w:r>
              <w:t>16.73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33.28</w:t>
            </w:r>
          </w:p>
        </w:tc>
        <w:tc>
          <w:tcPr>
            <w:tcW w:w="2551" w:type="dxa"/>
            <w:vAlign w:val="center"/>
          </w:tcPr>
          <w:p>
            <w:pPr>
              <w:pStyle w:val="11"/>
            </w:pPr>
            <w:r>
              <w:t>33.28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1.63</w:t>
            </w:r>
          </w:p>
        </w:tc>
        <w:tc>
          <w:tcPr>
            <w:tcW w:w="2551" w:type="dxa"/>
            <w:vAlign w:val="center"/>
          </w:tcPr>
          <w:p>
            <w:pPr>
              <w:pStyle w:val="11"/>
            </w:pPr>
            <w:r>
              <w:t>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31.65</w:t>
            </w:r>
          </w:p>
        </w:tc>
        <w:tc>
          <w:tcPr>
            <w:tcW w:w="2551" w:type="dxa"/>
            <w:vAlign w:val="center"/>
          </w:tcPr>
          <w:p>
            <w:pPr>
              <w:pStyle w:val="11"/>
            </w:pPr>
            <w:r>
              <w:t>31.65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250.00</w:t>
            </w:r>
          </w:p>
        </w:tc>
        <w:tc>
          <w:tcPr>
            <w:tcW w:w="2551" w:type="dxa"/>
            <w:vAlign w:val="center"/>
          </w:tcPr>
          <w:p>
            <w:pPr>
              <w:pStyle w:val="15"/>
            </w:pPr>
          </w:p>
        </w:tc>
        <w:tc>
          <w:tcPr>
            <w:tcW w:w="2551" w:type="dxa"/>
            <w:vAlign w:val="center"/>
          </w:tcPr>
          <w:p>
            <w:pPr>
              <w:pStyle w:val="15"/>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10.80</w:t>
            </w:r>
          </w:p>
        </w:tc>
        <w:tc>
          <w:tcPr>
            <w:tcW w:w="2381" w:type="dxa"/>
            <w:vAlign w:val="center"/>
          </w:tcPr>
          <w:p>
            <w:pPr>
              <w:pStyle w:val="15"/>
            </w:pPr>
            <w:r>
              <w:t>10.80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唐山市开平区人民政府办公室本级2025年单位预算信息公开情况说明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按照《中华人民共和国预算法》、《地方预决算公开操作规程》和《关于进一步推进预算公开工作的实施意见》规定，现将唐山市开平区人民政府办公室本级2025年单位预算公开如下：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根据《唐山市开平区人民政府办公室职能配置、内设机构和人员编制规定》，唐山市开平区人民政府办公室的主要职责是：</w:t>
      </w:r>
    </w:p>
    <w:p>
      <w:pPr>
        <w:pStyle w:val="17"/>
      </w:pPr>
      <w:r>
        <w:t>部门职责：</w:t>
      </w:r>
    </w:p>
    <w:p>
      <w:pPr>
        <w:pStyle w:val="17"/>
      </w:pPr>
      <w:r>
        <w:t>（一）综合一科</w:t>
      </w:r>
    </w:p>
    <w:p>
      <w:pPr>
        <w:pStyle w:val="17"/>
      </w:pPr>
      <w:r>
        <w:t>1、负责组织起草区长讲话和其他重要文稿；负责区长批件、交办事项的催办、反馈及有关会议、活动的会务和组织工作。</w:t>
      </w:r>
    </w:p>
    <w:p>
      <w:pPr>
        <w:pStyle w:val="17"/>
      </w:pPr>
      <w:r>
        <w:t>2、负责政务信息的收集、选择、提供、反馈工作；负责信息刊物编发工作；负责向国务院、省政府办公厅、市政府办公室报送有关信息；指导区政府各部门和各镇人民政府、街道办事处以及开发区管委会政务信息工作；负责与外埠的信息交流工作。</w:t>
      </w:r>
    </w:p>
    <w:p>
      <w:pPr>
        <w:pStyle w:val="17"/>
      </w:pPr>
      <w:r>
        <w:t>3、按区长指示开展决策调研、重大专项调研等调研工作；协助做好区政府主要领导相关文稿起草工作。</w:t>
      </w:r>
    </w:p>
    <w:p>
      <w:pPr>
        <w:pStyle w:val="17"/>
      </w:pPr>
      <w:r>
        <w:t>4、承办领导交办的其他事项。</w:t>
      </w:r>
    </w:p>
    <w:p>
      <w:pPr>
        <w:pStyle w:val="17"/>
      </w:pPr>
      <w:r>
        <w:t>（二）综合二科</w:t>
      </w:r>
    </w:p>
    <w:p>
      <w:pPr>
        <w:pStyle w:val="17"/>
      </w:pPr>
      <w:r>
        <w:t>1、为常务副区长政务工作提供服务，承担文稿起草、调查研究、有关公务活动组织协调、批件和交办事项的督办落实反馈及有关会议、活动的会务和组织等工作；按常务副区长指示开展决策调研、重大专项调研等调研工作；协助做好区政府领导相关文稿起草工作；</w:t>
      </w:r>
    </w:p>
    <w:p>
      <w:pPr>
        <w:pStyle w:val="17"/>
      </w:pPr>
      <w:r>
        <w:t>2、负责办理财政、金融、国税、地税等方面的工作；负责国家和省财税体制改革相关政策的督导落实工作。</w:t>
      </w:r>
    </w:p>
    <w:p>
      <w:pPr>
        <w:pStyle w:val="17"/>
      </w:pPr>
      <w:r>
        <w:t>3、负责区政府领导和办公室主要领导交办事项的督办、协调工作。</w:t>
      </w:r>
    </w:p>
    <w:p>
      <w:pPr>
        <w:pStyle w:val="17"/>
      </w:pPr>
      <w:r>
        <w:t>4、负责组织办理上级和本级人大代表建议和政协委员提案工作；负责接待处理上级和本级人大代表、政协委员来信、来访；参与区政府领导与人大代表、政协委员联系活动和接洽、服务工作。</w:t>
      </w:r>
    </w:p>
    <w:p>
      <w:pPr>
        <w:pStyle w:val="17"/>
      </w:pPr>
      <w:r>
        <w:t>5、负责全区金融改革创新发展政策研究与组织实施工作，拟定地方金融改革发展的意见并组织实施；组织协调新设立的地方法人金融机构的谋划、筹建、申报等前期工作；负责培育我区企业参与多层次资本市场、改革发展的政策措施；协调推动、培育推荐企业挂牌上市，配合做好全区直接融资工作；负责全区地方金融监督管理工作；协调有关部门依法做好防范和处置非法集资工作，负责开展相关宣传教育、政策解释和业务指导工作；协调组织全区金融风险防范和处置化解工作。</w:t>
      </w:r>
    </w:p>
    <w:p>
      <w:pPr>
        <w:pStyle w:val="17"/>
      </w:pPr>
      <w:r>
        <w:t>6、负责拟订全区人民防空发展规划，编制工作年度计划并督导落实；审核城市总体规划中人民防空内容；负责人民防空工程建设技术、质量、造价管理，监督人民防空工程维护与使用管理，指导城市地下空间开发利用落实兼顾人民防空要求；组织开展防空防灾宣传教育工作。</w:t>
      </w:r>
    </w:p>
    <w:p>
      <w:pPr>
        <w:pStyle w:val="17"/>
      </w:pPr>
      <w:r>
        <w:t>7、承办领导交办的其他事项。</w:t>
      </w:r>
    </w:p>
    <w:p>
      <w:pPr>
        <w:pStyle w:val="17"/>
      </w:pPr>
      <w:r>
        <w:t>（三）综合三科</w:t>
      </w:r>
    </w:p>
    <w:p>
      <w:pPr>
        <w:pStyle w:val="17"/>
      </w:pPr>
      <w:r>
        <w:t>1、为负责对外对内开放、国内外经济合作、商务、服务业、市场监督管理、食品药品监督管理、民政、退役军人、街道和社区建设、现代商贸物流园区、教育、文旅、体育、广播电视、卫生健康、科技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w:t>
      </w:r>
    </w:p>
    <w:p>
      <w:pPr>
        <w:pStyle w:val="17"/>
      </w:pPr>
      <w:r>
        <w:t>2、负责办理全区因公出国（境）审批、审核手续，负责区级领导干部出访计划的拟定、报批工作；负责办理邀请外国人来开平区的审批、审核手续；负责与上级外事部门的工作联系；承办领导交办的其他事项。</w:t>
      </w:r>
    </w:p>
    <w:p>
      <w:pPr>
        <w:pStyle w:val="17"/>
      </w:pPr>
      <w:r>
        <w:t>（四）综合四科</w:t>
      </w:r>
    </w:p>
    <w:p>
      <w:pPr>
        <w:pStyle w:val="17"/>
      </w:pPr>
      <w:r>
        <w:t>为负责工业和信息化、人事劳动和社会保障、支重、交通运输、城乡规划、国土资源、环保、农业、农村、供销、移民、现代都市农业园区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承办领导交办的其他事项。</w:t>
      </w:r>
    </w:p>
    <w:p>
      <w:pPr>
        <w:pStyle w:val="17"/>
      </w:pPr>
      <w:r>
        <w:t>（五）秘书科</w:t>
      </w:r>
    </w:p>
    <w:p>
      <w:pPr>
        <w:pStyle w:val="17"/>
      </w:pPr>
      <w:r>
        <w:t>负责区政府和区政府办公室承接各类文件的收文审核和运转办理工作；负责区政府和区政府办公室公文的印制发放工作；</w:t>
      </w:r>
    </w:p>
    <w:p>
      <w:pPr>
        <w:pStyle w:val="17"/>
      </w:pPr>
      <w:r>
        <w:t>负责区政府和区政府办公室的机要通信工作;</w:t>
      </w:r>
    </w:p>
    <w:p>
      <w:pPr>
        <w:pStyle w:val="17"/>
      </w:pPr>
      <w:r>
        <w:t>负责区政府和区政府办公室印鉴和文书档案管理工作;</w:t>
      </w:r>
    </w:p>
    <w:p>
      <w:pPr>
        <w:pStyle w:val="17"/>
      </w:pPr>
      <w:r>
        <w:t>负责区政府办公室保密工作;</w:t>
      </w:r>
    </w:p>
    <w:p>
      <w:pPr>
        <w:pStyle w:val="17"/>
      </w:pPr>
      <w:r>
        <w:t>负责承办区政府提请区人大常委会任免议案和区政府任免人员的行政任免手续等工作；负责承办区政府任命工作人员宪法宣誓工作;</w:t>
      </w:r>
    </w:p>
    <w:p>
      <w:pPr>
        <w:pStyle w:val="17"/>
      </w:pPr>
      <w:r>
        <w:t>负责区政府主要领导召开的重要会议和重大活动的组织服务工作;</w:t>
      </w:r>
    </w:p>
    <w:p>
      <w:pPr>
        <w:pStyle w:val="17"/>
      </w:pPr>
      <w:r>
        <w:t>负责编制、实施区政府年度会议计划;</w:t>
      </w:r>
    </w:p>
    <w:p>
      <w:pPr>
        <w:pStyle w:val="17"/>
      </w:pPr>
      <w:r>
        <w:t>负责区政府办公室与区委办公室、区人大常委会办公室、区政协办公室会议活动的协调联络；协调做好区政府主要领导出席各类会议活动的协调联络工作；负责上级领导来开平区活动安排的组织、协调工作；</w:t>
      </w:r>
    </w:p>
    <w:p>
      <w:pPr>
        <w:pStyle w:val="17"/>
      </w:pPr>
      <w:r>
        <w:t>负责区政府召开的大型会议的组织协调工作；负责来开平区的上级机关及外埠领导同志接待的指导工作；</w:t>
      </w:r>
    </w:p>
    <w:p>
      <w:pPr>
        <w:pStyle w:val="17"/>
      </w:pPr>
      <w:r>
        <w:t>负责区政府值班工作；负责全区政府系统值班值守工作的业务指导和督促检查；负责重要紧急情况的信息接报及领导批示的督办、反馈等工作。承办领导交办的其他事项。</w:t>
      </w:r>
    </w:p>
    <w:p>
      <w:pPr>
        <w:pStyle w:val="17"/>
      </w:pPr>
      <w:r>
        <w:t>（六）行政科</w:t>
      </w:r>
    </w:p>
    <w:p>
      <w:pPr>
        <w:pStyle w:val="17"/>
      </w:pPr>
      <w:r>
        <w:t>1.负责区政府办公室平安建设工作;负责区政府领导和机关办公设备、办公用品、劳保用品的采购发放及设备设施的维护、管理工作;</w:t>
      </w:r>
    </w:p>
    <w:p>
      <w:pPr>
        <w:pStyle w:val="17"/>
      </w:pPr>
      <w:r>
        <w:t>2.负责协助区政府机关党组推进全面从严治党；负责机关及直属单位的党群工作；负责机关及直属单位的党风廉政建设和组织协调反腐败工作;</w:t>
      </w:r>
    </w:p>
    <w:p>
      <w:pPr>
        <w:pStyle w:val="17"/>
      </w:pPr>
      <w:r>
        <w:t>3.负责机关人事档案、机构设置、人员编制、考核奖惩及其他日常事务等工作；负责出国政审、工资福利、社会保险、年金管理等工作。</w:t>
      </w:r>
    </w:p>
    <w:p>
      <w:pPr>
        <w:pStyle w:val="17"/>
      </w:pPr>
      <w:r>
        <w:t>（七）督察科</w:t>
      </w:r>
    </w:p>
    <w:p>
      <w:pPr>
        <w:pStyle w:val="17"/>
      </w:pPr>
      <w:r>
        <w:t>负责督促检查区政府各部门、各镇政府、街道办事处对上级和区政府重要文件、重要工作部署以及重要指示的执行、落实情况，发现问题、提出建议，并向区政府报告，指导镇街和区政府各部门的督查工作。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1374.51万元，其中：一般公共预算收入1124.51万元，基金预算收入250.00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人民政府办公室本级年度单位预算中支出预算的总体情况。2025年支出预算1374.51万元，其中基本支出945.51万元，包括人员经费880.20万元和日常公用经费65.31万元；项目支出429.00万元，主要为政府办公室办公业务，政务外网租赁维修，外网设备购置，地方志编撰等</w:t>
      </w:r>
    </w:p>
    <w:p>
      <w:pPr>
        <w:pStyle w:val="18"/>
      </w:pPr>
      <w:r>
        <w:t>3、比上年增减情况</w:t>
      </w:r>
    </w:p>
    <w:p>
      <w:pPr>
        <w:pStyle w:val="18"/>
      </w:pPr>
      <w:r>
        <w:t>2025年预算收支安排1374.51万元，较2024年预算减少24.56万元，其中：基本支出减少33.56万元，主要为厉行节约项目支出增加9.00万元，主要为法律服务项目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2025年，我单位机关运行经费共计安排65.31万元，主要用于日常维修、办公用房水电费、办公用房取暖费、办公用房物业管理费等日常运行支出。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10.80万元，其中因公出国（境）费0.00万元；公务用车购置及运维费10.80万元（其中：公务用车购置费为0.00万元，公务用车运维费10.80万元)；公务接待费0.00万元。与2024年相比减少3.19万元，增减变化的主要原因是厉行节约</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1、本级地方志工作经费绩效目标表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13020525P00916910003C</w:t>
            </w:r>
          </w:p>
        </w:tc>
        <w:tc>
          <w:tcPr>
            <w:tcW w:w="2835" w:type="dxa"/>
            <w:vAlign w:val="center"/>
          </w:tcPr>
          <w:p>
            <w:pPr>
              <w:pStyle w:val="10"/>
            </w:pPr>
            <w:r>
              <w:t>项目名称</w:t>
            </w:r>
          </w:p>
        </w:tc>
        <w:tc>
          <w:tcPr>
            <w:tcW w:w="6095" w:type="dxa"/>
            <w:gridSpan w:val="3"/>
            <w:vAlign w:val="center"/>
          </w:tcPr>
          <w:p>
            <w:pPr>
              <w:pStyle w:val="12"/>
            </w:pPr>
            <w:r>
              <w:t>本级地方志工作经费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编纂《开平区志》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1.为了更好的宣传开平，编纂《开平区志》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经费使用及时率（%）</w:t>
            </w:r>
          </w:p>
        </w:tc>
        <w:tc>
          <w:tcPr>
            <w:tcW w:w="5386" w:type="dxa"/>
            <w:vAlign w:val="center"/>
          </w:tcPr>
          <w:p>
            <w:pPr>
              <w:pStyle w:val="12"/>
            </w:pPr>
            <w:r>
              <w:t>经费使用及时率（%）</w:t>
            </w:r>
          </w:p>
        </w:tc>
        <w:tc>
          <w:tcPr>
            <w:tcW w:w="2268" w:type="dxa"/>
            <w:vAlign w:val="center"/>
          </w:tcPr>
          <w:p>
            <w:pPr>
              <w:pStyle w:val="12"/>
            </w:pPr>
            <w:r>
              <w:t>≥92%</w:t>
            </w:r>
          </w:p>
        </w:tc>
        <w:tc>
          <w:tcPr>
            <w:tcW w:w="1276" w:type="dxa"/>
            <w:vAlign w:val="center"/>
          </w:tcPr>
          <w:p>
            <w:pPr>
              <w:pStyle w:val="12"/>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≥88%</w:t>
            </w:r>
          </w:p>
        </w:tc>
        <w:tc>
          <w:tcPr>
            <w:tcW w:w="1276" w:type="dxa"/>
            <w:vAlign w:val="center"/>
          </w:tcPr>
          <w:p>
            <w:pPr>
              <w:pStyle w:val="12"/>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≥85%</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公众满意度</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2、本级企业上市资金绩效目标表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13020525P00909810006F</w:t>
            </w:r>
          </w:p>
        </w:tc>
        <w:tc>
          <w:tcPr>
            <w:tcW w:w="2835" w:type="dxa"/>
            <w:vAlign w:val="center"/>
          </w:tcPr>
          <w:p>
            <w:pPr>
              <w:pStyle w:val="10"/>
            </w:pPr>
            <w:r>
              <w:t>项目名称</w:t>
            </w:r>
          </w:p>
        </w:tc>
        <w:tc>
          <w:tcPr>
            <w:tcW w:w="6095" w:type="dxa"/>
            <w:gridSpan w:val="3"/>
            <w:vAlign w:val="center"/>
          </w:tcPr>
          <w:p>
            <w:pPr>
              <w:pStyle w:val="12"/>
            </w:pPr>
            <w:r>
              <w:t>本级企业上市资金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用于开平区企业上市激励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1.加速开平区经济建设，鼓励企业积极上市。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资金按时支付</w:t>
            </w:r>
          </w:p>
        </w:tc>
        <w:tc>
          <w:tcPr>
            <w:tcW w:w="5386" w:type="dxa"/>
            <w:vAlign w:val="center"/>
          </w:tcPr>
          <w:p>
            <w:pPr>
              <w:pStyle w:val="12"/>
            </w:pPr>
            <w:r>
              <w:t>资金按时支付</w:t>
            </w:r>
          </w:p>
        </w:tc>
        <w:tc>
          <w:tcPr>
            <w:tcW w:w="2268" w:type="dxa"/>
            <w:vAlign w:val="center"/>
          </w:tcPr>
          <w:p>
            <w:pPr>
              <w:pStyle w:val="12"/>
            </w:pPr>
            <w:r>
              <w:t>≥90%</w:t>
            </w:r>
          </w:p>
        </w:tc>
        <w:tc>
          <w:tcPr>
            <w:tcW w:w="1276" w:type="dxa"/>
            <w:vAlign w:val="center"/>
          </w:tcPr>
          <w:p>
            <w:pPr>
              <w:pStyle w:val="12"/>
            </w:pPr>
            <w:r>
              <w:t>资金按时支付</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≥92%</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≤95%</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≥95%</w:t>
            </w:r>
          </w:p>
        </w:tc>
        <w:tc>
          <w:tcPr>
            <w:tcW w:w="1276" w:type="dxa"/>
            <w:vAlign w:val="center"/>
          </w:tcPr>
          <w:p>
            <w:pPr>
              <w:pStyle w:val="12"/>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≥90%</w:t>
            </w:r>
          </w:p>
        </w:tc>
        <w:tc>
          <w:tcPr>
            <w:tcW w:w="1276" w:type="dxa"/>
            <w:vAlign w:val="center"/>
          </w:tcPr>
          <w:p>
            <w:pPr>
              <w:pStyle w:val="12"/>
            </w:pPr>
            <w:r>
              <w:t>项目实施后生态效益增长率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3、本级区生态办生态专项保障经费绩效目标表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13020525P009174100037</w:t>
            </w:r>
          </w:p>
        </w:tc>
        <w:tc>
          <w:tcPr>
            <w:tcW w:w="2835" w:type="dxa"/>
            <w:vAlign w:val="center"/>
          </w:tcPr>
          <w:p>
            <w:pPr>
              <w:pStyle w:val="10"/>
            </w:pPr>
            <w:r>
              <w:t>项目名称</w:t>
            </w:r>
          </w:p>
        </w:tc>
        <w:tc>
          <w:tcPr>
            <w:tcW w:w="6095" w:type="dxa"/>
            <w:gridSpan w:val="3"/>
            <w:vAlign w:val="center"/>
          </w:tcPr>
          <w:p>
            <w:pPr>
              <w:pStyle w:val="12"/>
            </w:pPr>
            <w:r>
              <w:t>本级区生态办生态专项保障经费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省市文件要求生态相关工作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1.按照省市文件要求，更好的改善开平区生态环境。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经费使用及时率（%）</w:t>
            </w:r>
          </w:p>
        </w:tc>
        <w:tc>
          <w:tcPr>
            <w:tcW w:w="5386" w:type="dxa"/>
            <w:vAlign w:val="center"/>
          </w:tcPr>
          <w:p>
            <w:pPr>
              <w:pStyle w:val="12"/>
            </w:pPr>
            <w:r>
              <w:t>经费使用及时率（%）</w:t>
            </w:r>
          </w:p>
        </w:tc>
        <w:tc>
          <w:tcPr>
            <w:tcW w:w="2268" w:type="dxa"/>
            <w:vAlign w:val="center"/>
          </w:tcPr>
          <w:p>
            <w:pPr>
              <w:pStyle w:val="12"/>
            </w:pPr>
            <w:r>
              <w:t>≥92%</w:t>
            </w:r>
          </w:p>
        </w:tc>
        <w:tc>
          <w:tcPr>
            <w:tcW w:w="1276" w:type="dxa"/>
            <w:vAlign w:val="center"/>
          </w:tcPr>
          <w:p>
            <w:pPr>
              <w:pStyle w:val="12"/>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≥88%</w:t>
            </w:r>
          </w:p>
        </w:tc>
        <w:tc>
          <w:tcPr>
            <w:tcW w:w="1276" w:type="dxa"/>
            <w:vAlign w:val="center"/>
          </w:tcPr>
          <w:p>
            <w:pPr>
              <w:pStyle w:val="12"/>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≥85%</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公众满意度</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4、本级区政府法律顾问服务绩效目标表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13020525P009100100055</w:t>
            </w:r>
          </w:p>
        </w:tc>
        <w:tc>
          <w:tcPr>
            <w:tcW w:w="2835" w:type="dxa"/>
            <w:vAlign w:val="center"/>
          </w:tcPr>
          <w:p>
            <w:pPr>
              <w:pStyle w:val="10"/>
            </w:pPr>
            <w:r>
              <w:t>项目名称</w:t>
            </w:r>
          </w:p>
        </w:tc>
        <w:tc>
          <w:tcPr>
            <w:tcW w:w="6095" w:type="dxa"/>
            <w:gridSpan w:val="3"/>
            <w:vAlign w:val="center"/>
          </w:tcPr>
          <w:p>
            <w:pPr>
              <w:pStyle w:val="12"/>
            </w:pPr>
            <w:r>
              <w:t>本级区政府法律顾问服务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开平区政府法律相关业务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1.为了开平区社会稳定。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≥85%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w:t>
            </w:r>
          </w:p>
        </w:tc>
        <w:tc>
          <w:tcPr>
            <w:tcW w:w="1276" w:type="dxa"/>
            <w:vAlign w:val="center"/>
          </w:tcPr>
          <w:p>
            <w:pPr>
              <w:pStyle w:val="12"/>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≤100%</w:t>
            </w:r>
          </w:p>
        </w:tc>
        <w:tc>
          <w:tcPr>
            <w:tcW w:w="1276" w:type="dxa"/>
            <w:vAlign w:val="center"/>
          </w:tcPr>
          <w:p>
            <w:pPr>
              <w:pStyle w:val="12"/>
            </w:pPr>
            <w:r>
              <w:t>项目成本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w:t>
            </w:r>
          </w:p>
        </w:tc>
        <w:tc>
          <w:tcPr>
            <w:tcW w:w="1276" w:type="dxa"/>
            <w:vAlign w:val="center"/>
          </w:tcPr>
          <w:p>
            <w:pPr>
              <w:pStyle w:val="12"/>
            </w:pPr>
            <w:r>
              <w:t>经济效益指标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案件处理效率</w:t>
            </w:r>
          </w:p>
        </w:tc>
        <w:tc>
          <w:tcPr>
            <w:tcW w:w="5386" w:type="dxa"/>
            <w:vAlign w:val="center"/>
          </w:tcPr>
          <w:p>
            <w:pPr>
              <w:pStyle w:val="12"/>
            </w:pPr>
            <w:r>
              <w:t>提高全省交通事故处理的效率和办案质量</w:t>
            </w:r>
          </w:p>
        </w:tc>
        <w:tc>
          <w:tcPr>
            <w:tcW w:w="2268" w:type="dxa"/>
            <w:vAlign w:val="center"/>
          </w:tcPr>
          <w:p>
            <w:pPr>
              <w:pStyle w:val="12"/>
            </w:pPr>
            <w:r>
              <w:t>≥90%</w:t>
            </w:r>
          </w:p>
        </w:tc>
        <w:tc>
          <w:tcPr>
            <w:tcW w:w="1276" w:type="dxa"/>
            <w:vAlign w:val="center"/>
          </w:tcPr>
          <w:p>
            <w:pPr>
              <w:pStyle w:val="12"/>
            </w:pPr>
            <w:r>
              <w:t>案件处理效率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≥95%</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公众满意度</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5、本级数字中心建设绩效目标表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13020525P00917010003G</w:t>
            </w:r>
          </w:p>
        </w:tc>
        <w:tc>
          <w:tcPr>
            <w:tcW w:w="2835" w:type="dxa"/>
            <w:vAlign w:val="center"/>
          </w:tcPr>
          <w:p>
            <w:pPr>
              <w:pStyle w:val="10"/>
            </w:pPr>
            <w:r>
              <w:t>项目名称</w:t>
            </w:r>
          </w:p>
        </w:tc>
        <w:tc>
          <w:tcPr>
            <w:tcW w:w="6095" w:type="dxa"/>
            <w:gridSpan w:val="3"/>
            <w:vAlign w:val="center"/>
          </w:tcPr>
          <w:p>
            <w:pPr>
              <w:pStyle w:val="12"/>
            </w:pPr>
            <w:r>
              <w:t>本级数字中心建设</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用于政府数字中心建设</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1.更好、更快的完成上级交办的各项工作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5386" w:type="dxa"/>
            <w:vAlign w:val="center"/>
          </w:tcPr>
          <w:p>
            <w:pPr>
              <w:pStyle w:val="12"/>
            </w:pPr>
            <w:r>
              <w:t>其他各项综合实务工作完成率</w:t>
            </w:r>
          </w:p>
        </w:tc>
        <w:tc>
          <w:tcPr>
            <w:tcW w:w="2268" w:type="dxa"/>
            <w:vAlign w:val="center"/>
          </w:tcPr>
          <w:p>
            <w:pPr>
              <w:pStyle w:val="12"/>
            </w:pPr>
            <w:r>
              <w:t>≥90%</w:t>
            </w:r>
          </w:p>
        </w:tc>
        <w:tc>
          <w:tcPr>
            <w:tcW w:w="1276" w:type="dxa"/>
            <w:vAlign w:val="center"/>
          </w:tcPr>
          <w:p>
            <w:pPr>
              <w:pStyle w:val="12"/>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≥85%</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项目预算成本数</w:t>
            </w:r>
          </w:p>
        </w:tc>
        <w:tc>
          <w:tcPr>
            <w:tcW w:w="5386" w:type="dxa"/>
            <w:vAlign w:val="center"/>
          </w:tcPr>
          <w:p>
            <w:pPr>
              <w:pStyle w:val="12"/>
            </w:pPr>
            <w:r>
              <w:t>项目预算成本数</w:t>
            </w:r>
          </w:p>
        </w:tc>
        <w:tc>
          <w:tcPr>
            <w:tcW w:w="2268" w:type="dxa"/>
            <w:vAlign w:val="center"/>
          </w:tcPr>
          <w:p>
            <w:pPr>
              <w:pStyle w:val="12"/>
            </w:pPr>
            <w:r>
              <w:t>≤95%</w:t>
            </w:r>
          </w:p>
        </w:tc>
        <w:tc>
          <w:tcPr>
            <w:tcW w:w="1276" w:type="dxa"/>
            <w:vAlign w:val="center"/>
          </w:tcPr>
          <w:p>
            <w:pPr>
              <w:pStyle w:val="12"/>
            </w:pPr>
            <w:r>
              <w:t>项目预算成本数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故障降低率（%）</w:t>
            </w:r>
          </w:p>
        </w:tc>
        <w:tc>
          <w:tcPr>
            <w:tcW w:w="5386" w:type="dxa"/>
            <w:vAlign w:val="center"/>
          </w:tcPr>
          <w:p>
            <w:pPr>
              <w:pStyle w:val="12"/>
            </w:pPr>
            <w:r>
              <w:t>故障降低率（%）</w:t>
            </w:r>
          </w:p>
        </w:tc>
        <w:tc>
          <w:tcPr>
            <w:tcW w:w="2268" w:type="dxa"/>
            <w:vAlign w:val="center"/>
          </w:tcPr>
          <w:p>
            <w:pPr>
              <w:pStyle w:val="12"/>
            </w:pPr>
            <w:r>
              <w:t>≥85%</w:t>
            </w:r>
          </w:p>
        </w:tc>
        <w:tc>
          <w:tcPr>
            <w:tcW w:w="1276" w:type="dxa"/>
            <w:vAlign w:val="center"/>
          </w:tcPr>
          <w:p>
            <w:pPr>
              <w:pStyle w:val="12"/>
            </w:pPr>
            <w:r>
              <w:t>故障降低率（%）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≥95%</w:t>
            </w:r>
          </w:p>
        </w:tc>
        <w:tc>
          <w:tcPr>
            <w:tcW w:w="1276" w:type="dxa"/>
            <w:vAlign w:val="center"/>
          </w:tcPr>
          <w:p>
            <w:pPr>
              <w:pStyle w:val="12"/>
            </w:pPr>
            <w:r>
              <w:t>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结果准确率</w:t>
            </w:r>
          </w:p>
        </w:tc>
        <w:tc>
          <w:tcPr>
            <w:tcW w:w="2268" w:type="dxa"/>
            <w:vAlign w:val="center"/>
          </w:tcPr>
          <w:p>
            <w:pPr>
              <w:pStyle w:val="12"/>
            </w:pPr>
            <w:r>
              <w:t>≥95%</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功能恢复率</w:t>
            </w:r>
          </w:p>
        </w:tc>
        <w:tc>
          <w:tcPr>
            <w:tcW w:w="5386" w:type="dxa"/>
            <w:vAlign w:val="center"/>
          </w:tcPr>
          <w:p>
            <w:pPr>
              <w:pStyle w:val="12"/>
            </w:pPr>
            <w:r>
              <w:t>功能恢复率</w:t>
            </w:r>
          </w:p>
        </w:tc>
        <w:tc>
          <w:tcPr>
            <w:tcW w:w="2268" w:type="dxa"/>
            <w:vAlign w:val="center"/>
          </w:tcPr>
          <w:p>
            <w:pPr>
              <w:pStyle w:val="12"/>
            </w:pPr>
            <w:r>
              <w:t>≥95%</w:t>
            </w:r>
          </w:p>
        </w:tc>
        <w:tc>
          <w:tcPr>
            <w:tcW w:w="1276" w:type="dxa"/>
            <w:vAlign w:val="center"/>
          </w:tcPr>
          <w:p>
            <w:pPr>
              <w:pStyle w:val="12"/>
            </w:pPr>
            <w:r>
              <w:t>功能恢复率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6、本级协调服务保障经费绩效目标表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13020525P009173100045</w:t>
            </w:r>
          </w:p>
        </w:tc>
        <w:tc>
          <w:tcPr>
            <w:tcW w:w="2835" w:type="dxa"/>
            <w:vAlign w:val="center"/>
          </w:tcPr>
          <w:p>
            <w:pPr>
              <w:pStyle w:val="10"/>
            </w:pPr>
            <w:r>
              <w:t>项目名称</w:t>
            </w:r>
          </w:p>
        </w:tc>
        <w:tc>
          <w:tcPr>
            <w:tcW w:w="6095" w:type="dxa"/>
            <w:gridSpan w:val="3"/>
            <w:vAlign w:val="center"/>
          </w:tcPr>
          <w:p>
            <w:pPr>
              <w:pStyle w:val="12"/>
            </w:pPr>
            <w:r>
              <w:t>本级协调服务保障经费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用于本机协调服务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1.为了更好、更快的完成上级交办的各项工作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各项检务保障工作完成率</w:t>
            </w:r>
          </w:p>
        </w:tc>
        <w:tc>
          <w:tcPr>
            <w:tcW w:w="5386" w:type="dxa"/>
            <w:vAlign w:val="center"/>
          </w:tcPr>
          <w:p>
            <w:pPr>
              <w:pStyle w:val="12"/>
            </w:pPr>
            <w:r>
              <w:t>各项检务保障工作完成率</w:t>
            </w:r>
          </w:p>
        </w:tc>
        <w:tc>
          <w:tcPr>
            <w:tcW w:w="2268" w:type="dxa"/>
            <w:vAlign w:val="center"/>
          </w:tcPr>
          <w:p>
            <w:pPr>
              <w:pStyle w:val="12"/>
            </w:pPr>
            <w:r>
              <w:t>≥90%</w:t>
            </w:r>
          </w:p>
        </w:tc>
        <w:tc>
          <w:tcPr>
            <w:tcW w:w="1276" w:type="dxa"/>
            <w:vAlign w:val="center"/>
          </w:tcPr>
          <w:p>
            <w:pPr>
              <w:pStyle w:val="12"/>
            </w:pPr>
            <w:r>
              <w:t>各项检务保障工作完成率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5386" w:type="dxa"/>
            <w:vAlign w:val="center"/>
          </w:tcPr>
          <w:p>
            <w:pPr>
              <w:pStyle w:val="12"/>
            </w:pPr>
            <w:r>
              <w:t>其他各项综合实务工作完成率</w:t>
            </w:r>
          </w:p>
        </w:tc>
        <w:tc>
          <w:tcPr>
            <w:tcW w:w="2268" w:type="dxa"/>
            <w:vAlign w:val="center"/>
          </w:tcPr>
          <w:p>
            <w:pPr>
              <w:pStyle w:val="12"/>
            </w:pPr>
            <w:r>
              <w:t>≥85%</w:t>
            </w:r>
          </w:p>
        </w:tc>
        <w:tc>
          <w:tcPr>
            <w:tcW w:w="1276" w:type="dxa"/>
            <w:vAlign w:val="center"/>
          </w:tcPr>
          <w:p>
            <w:pPr>
              <w:pStyle w:val="12"/>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年度工作计划和重点工作任务完成</w:t>
            </w:r>
          </w:p>
        </w:tc>
        <w:tc>
          <w:tcPr>
            <w:tcW w:w="5386" w:type="dxa"/>
            <w:vAlign w:val="center"/>
          </w:tcPr>
          <w:p>
            <w:pPr>
              <w:pStyle w:val="12"/>
            </w:pPr>
            <w:r>
              <w:t>年度工作计划和重点工作任务完成率</w:t>
            </w:r>
          </w:p>
        </w:tc>
        <w:tc>
          <w:tcPr>
            <w:tcW w:w="2268" w:type="dxa"/>
            <w:vAlign w:val="center"/>
          </w:tcPr>
          <w:p>
            <w:pPr>
              <w:pStyle w:val="12"/>
            </w:pPr>
            <w:r>
              <w:t>≥95%</w:t>
            </w:r>
          </w:p>
        </w:tc>
        <w:tc>
          <w:tcPr>
            <w:tcW w:w="1276" w:type="dxa"/>
            <w:vAlign w:val="center"/>
          </w:tcPr>
          <w:p>
            <w:pPr>
              <w:pStyle w:val="12"/>
            </w:pPr>
            <w:r>
              <w:t>年度工作计划和重点工作任务完成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≤100%</w:t>
            </w:r>
          </w:p>
        </w:tc>
        <w:tc>
          <w:tcPr>
            <w:tcW w:w="1276" w:type="dxa"/>
            <w:vAlign w:val="center"/>
          </w:tcPr>
          <w:p>
            <w:pPr>
              <w:pStyle w:val="12"/>
            </w:pPr>
            <w:r>
              <w:t>完成工作需要的资金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对单位规范管理工作推动效果</w:t>
            </w:r>
          </w:p>
        </w:tc>
        <w:tc>
          <w:tcPr>
            <w:tcW w:w="5386" w:type="dxa"/>
            <w:vAlign w:val="center"/>
          </w:tcPr>
          <w:p>
            <w:pPr>
              <w:pStyle w:val="12"/>
            </w:pPr>
            <w:r>
              <w:t>对单位规范管理工作推动效果</w:t>
            </w:r>
          </w:p>
        </w:tc>
        <w:tc>
          <w:tcPr>
            <w:tcW w:w="2268" w:type="dxa"/>
            <w:vAlign w:val="center"/>
          </w:tcPr>
          <w:p>
            <w:pPr>
              <w:pStyle w:val="12"/>
            </w:pPr>
            <w:r>
              <w:t>≥90%</w:t>
            </w:r>
          </w:p>
        </w:tc>
        <w:tc>
          <w:tcPr>
            <w:tcW w:w="1276" w:type="dxa"/>
            <w:vAlign w:val="center"/>
          </w:tcPr>
          <w:p>
            <w:pPr>
              <w:pStyle w:val="12"/>
            </w:pPr>
            <w:r>
              <w:t>对单位规范管理工作推动效果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各项工作任务按时完成率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各项工作任务按时完成率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≥95%</w:t>
            </w:r>
          </w:p>
        </w:tc>
        <w:tc>
          <w:tcPr>
            <w:tcW w:w="1276" w:type="dxa"/>
            <w:vAlign w:val="center"/>
          </w:tcPr>
          <w:p>
            <w:pPr>
              <w:pStyle w:val="12"/>
            </w:pPr>
            <w:r>
              <w:t>持续服务率(%)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7、本级政务外网安全与处置设备采购维护及网络租赁绩效目标表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13020525P00917210003U</w:t>
            </w:r>
          </w:p>
        </w:tc>
        <w:tc>
          <w:tcPr>
            <w:tcW w:w="2835" w:type="dxa"/>
            <w:vAlign w:val="center"/>
          </w:tcPr>
          <w:p>
            <w:pPr>
              <w:pStyle w:val="10"/>
            </w:pPr>
            <w:r>
              <w:t>项目名称</w:t>
            </w:r>
          </w:p>
        </w:tc>
        <w:tc>
          <w:tcPr>
            <w:tcW w:w="6095" w:type="dxa"/>
            <w:gridSpan w:val="3"/>
            <w:vAlign w:val="center"/>
          </w:tcPr>
          <w:p>
            <w:pPr>
              <w:pStyle w:val="12"/>
            </w:pPr>
            <w:r>
              <w:t>本级政务外网安全与处置设备采购维护及网络租赁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开平政府网站投入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1.为了开平政府网稳定运行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≥92%</w:t>
            </w:r>
          </w:p>
        </w:tc>
        <w:tc>
          <w:tcPr>
            <w:tcW w:w="1276" w:type="dxa"/>
            <w:vAlign w:val="center"/>
          </w:tcPr>
          <w:p>
            <w:pPr>
              <w:pStyle w:val="12"/>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≥95%</w:t>
            </w:r>
          </w:p>
        </w:tc>
        <w:tc>
          <w:tcPr>
            <w:tcW w:w="1276" w:type="dxa"/>
            <w:vAlign w:val="center"/>
          </w:tcPr>
          <w:p>
            <w:pPr>
              <w:pStyle w:val="12"/>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完成工作需要资金</w:t>
            </w:r>
          </w:p>
        </w:tc>
        <w:tc>
          <w:tcPr>
            <w:tcW w:w="5386" w:type="dxa"/>
            <w:vAlign w:val="center"/>
          </w:tcPr>
          <w:p>
            <w:pPr>
              <w:pStyle w:val="12"/>
            </w:pPr>
            <w:r>
              <w:t>完成工作需要资金</w:t>
            </w:r>
          </w:p>
        </w:tc>
        <w:tc>
          <w:tcPr>
            <w:tcW w:w="2268" w:type="dxa"/>
            <w:vAlign w:val="center"/>
          </w:tcPr>
          <w:p>
            <w:pPr>
              <w:pStyle w:val="12"/>
            </w:pPr>
            <w:r>
              <w:t>≤100%</w:t>
            </w:r>
          </w:p>
        </w:tc>
        <w:tc>
          <w:tcPr>
            <w:tcW w:w="1276" w:type="dxa"/>
            <w:vAlign w:val="center"/>
          </w:tcPr>
          <w:p>
            <w:pPr>
              <w:pStyle w:val="12"/>
            </w:pPr>
            <w:r>
              <w:t>完成工作需要资金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应急保障率</w:t>
            </w:r>
          </w:p>
          <w:p>
            <w:pPr>
              <w:pStyle w:val="12"/>
            </w:pPr>
          </w:p>
        </w:tc>
        <w:tc>
          <w:tcPr>
            <w:tcW w:w="5386" w:type="dxa"/>
            <w:vAlign w:val="center"/>
          </w:tcPr>
          <w:p>
            <w:pPr>
              <w:pStyle w:val="12"/>
            </w:pPr>
            <w:r>
              <w:t>应急保障率</w:t>
            </w:r>
          </w:p>
          <w:p>
            <w:pPr>
              <w:pStyle w:val="12"/>
            </w:pPr>
          </w:p>
        </w:tc>
        <w:tc>
          <w:tcPr>
            <w:tcW w:w="2268" w:type="dxa"/>
            <w:vAlign w:val="center"/>
          </w:tcPr>
          <w:p>
            <w:pPr>
              <w:pStyle w:val="12"/>
            </w:pPr>
            <w:r>
              <w:t>≥90%</w:t>
            </w:r>
          </w:p>
        </w:tc>
        <w:tc>
          <w:tcPr>
            <w:tcW w:w="1276" w:type="dxa"/>
            <w:vAlign w:val="center"/>
          </w:tcPr>
          <w:p>
            <w:pPr>
              <w:pStyle w:val="12"/>
            </w:pPr>
            <w:r>
              <w:t>应急保障率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唐山市开平区人民政府办公室本级小计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本级区生态办生态专项保障经费</w:t>
            </w:r>
          </w:p>
        </w:tc>
        <w:tc>
          <w:tcPr>
            <w:tcW w:w="964" w:type="dxa"/>
            <w:vAlign w:val="center"/>
          </w:tcPr>
          <w:p>
            <w:pPr>
              <w:pStyle w:val="11"/>
            </w:pPr>
            <w:r>
              <w:t>50.00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0.57</w:t>
            </w:r>
          </w:p>
        </w:tc>
        <w:tc>
          <w:tcPr>
            <w:tcW w:w="964" w:type="dxa"/>
            <w:vAlign w:val="center"/>
          </w:tcPr>
          <w:p>
            <w:pPr>
              <w:pStyle w:val="11"/>
            </w:pPr>
            <w:r>
              <w:t>0.57</w:t>
            </w:r>
          </w:p>
        </w:tc>
        <w:tc>
          <w:tcPr>
            <w:tcW w:w="964" w:type="dxa"/>
            <w:vAlign w:val="center"/>
          </w:tcPr>
          <w:p>
            <w:pPr>
              <w:pStyle w:val="11"/>
            </w:pPr>
            <w:r>
              <w:t>0.57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本级区生态办生态专项保障经费</w:t>
            </w:r>
          </w:p>
        </w:tc>
        <w:tc>
          <w:tcPr>
            <w:tcW w:w="964" w:type="dxa"/>
            <w:vAlign w:val="center"/>
          </w:tcPr>
          <w:p>
            <w:pPr>
              <w:pStyle w:val="11"/>
            </w:pPr>
            <w:r>
              <w:t>50.00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0.14</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本级协调服务保障经费</w:t>
            </w:r>
          </w:p>
        </w:tc>
        <w:tc>
          <w:tcPr>
            <w:tcW w:w="964" w:type="dxa"/>
            <w:vAlign w:val="center"/>
          </w:tcPr>
          <w:p>
            <w:pPr>
              <w:pStyle w:val="11"/>
            </w:pPr>
            <w:r>
              <w:t>50.00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唐山市开平区人民政府办公室本级上年末固定资产金额为444.84万元（详见下表）。本年度拟购置固定资产总额为</w:t>
      </w:r>
      <w:r>
        <w:rPr>
          <w:rFonts w:hint="eastAsia" w:eastAsia="方正仿宋_GBK" w:cs="Times New Roman"/>
          <w:b w:val="0"/>
          <w:color w:val="000000"/>
          <w:sz w:val="28"/>
          <w:lang w:val="en-US" w:eastAsia="zh-CN"/>
        </w:rPr>
        <w:t>1.75</w:t>
      </w:r>
      <w:bookmarkStart w:id="1" w:name="_GoBack"/>
      <w:bookmarkEnd w:id="1"/>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434001唐山市开平区人民政府办公室本级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444.84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119.97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319</w:t>
            </w:r>
          </w:p>
        </w:tc>
        <w:tc>
          <w:tcPr>
            <w:tcW w:w="2835" w:type="dxa"/>
            <w:vAlign w:val="center"/>
          </w:tcPr>
          <w:p>
            <w:pPr>
              <w:pStyle w:val="11"/>
            </w:pPr>
            <w:r>
              <w:t>324.87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B0200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2025-02-11T14:18:00Z</dcterms:created>
  <dc:creator>Administrator</dc:creator>
  <cp:lastModifiedBy>Administrator</cp:lastModifiedBy>
  <dcterms:modified xsi:type="dcterms:W3CDTF">2025-02-11T06:14:12Z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