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880" w:firstLineChars="200"/>
        <w:jc w:val="left"/>
        <w:rPr>
          <w:rFonts w:ascii="黑体" w:hAnsi="黑体" w:eastAsia="黑体" w:cs="Arial"/>
          <w:color w:val="333333"/>
          <w:kern w:val="0"/>
          <w:sz w:val="44"/>
          <w:szCs w:val="44"/>
        </w:rPr>
      </w:pPr>
      <w:r>
        <w:rPr>
          <w:rFonts w:hint="eastAsia" w:ascii="黑体" w:hAnsi="黑体" w:eastAsia="黑体" w:cs="Arial"/>
          <w:color w:val="333333"/>
          <w:kern w:val="0"/>
          <w:sz w:val="44"/>
          <w:szCs w:val="44"/>
        </w:rPr>
        <w:t>202</w:t>
      </w:r>
      <w:r>
        <w:rPr>
          <w:rFonts w:hint="eastAsia" w:ascii="黑体" w:hAnsi="黑体" w:eastAsia="黑体" w:cs="Arial"/>
          <w:color w:val="333333"/>
          <w:kern w:val="0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Arial"/>
          <w:color w:val="333333"/>
          <w:kern w:val="0"/>
          <w:sz w:val="44"/>
          <w:szCs w:val="44"/>
        </w:rPr>
        <w:t xml:space="preserve">年开平区政府总预算情况说明 </w:t>
      </w:r>
    </w:p>
    <w:p>
      <w:pPr>
        <w:widowControl/>
        <w:spacing w:line="270" w:lineRule="atLeast"/>
        <w:jc w:val="left"/>
        <w:rPr>
          <w:rFonts w:ascii="黑体" w:hAnsi="黑体" w:eastAsia="黑体" w:cs="宋体"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333333"/>
          <w:kern w:val="0"/>
          <w:sz w:val="44"/>
          <w:szCs w:val="44"/>
        </w:rPr>
        <w:t> </w:t>
      </w:r>
    </w:p>
    <w:p>
      <w:pPr>
        <w:widowControl/>
        <w:ind w:firstLine="321" w:firstLineChars="100"/>
        <w:jc w:val="left"/>
        <w:rPr>
          <w:rFonts w:ascii="仿宋_GB2312" w:hAnsi="宋体" w:eastAsia="仿宋_GB2312" w:cs="宋体"/>
          <w:b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 w:val="0"/>
          <w:color w:val="333333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Arial"/>
          <w:b/>
          <w:bCs w:val="0"/>
          <w:color w:val="333333"/>
          <w:kern w:val="0"/>
          <w:sz w:val="32"/>
          <w:szCs w:val="32"/>
        </w:rPr>
        <w:t>、转移支付情况说明</w:t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2025年，开平区列入初预算包括中央级、省级、市级三级转移支付资金共计106059万元，其中：一般公共预算转移支付资金103663万元，政府性基金转移支付资金2396万元，一般公共预算专项转移支付无对下分地区专项转移支付。</w:t>
      </w:r>
    </w:p>
    <w:p>
      <w:pPr>
        <w:widowControl/>
        <w:ind w:firstLine="321" w:firstLineChars="100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2、三公经费预算安排情况说明</w:t>
      </w:r>
    </w:p>
    <w:p>
      <w:pPr>
        <w:widowControl/>
        <w:numPr>
          <w:ilvl w:val="0"/>
          <w:numId w:val="0"/>
        </w:numPr>
        <w:ind w:leftChars="-200"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2025年，开平区“三公”经费预算合计安排649.09万元（包含一般公共预算、政府性基金预算、国有资本预算），与2024年“三公”经费预算数655.09万元减少6万元，其中：因公出国境费安排23.7万元，与上年持平。公务接待费安排0.3万元，与上年持平。公务用车购置费安排180万元，与上年持平。公务用车运行维护费安排445.09万元，较上年减少6万元，部分单位根据需要进行了压减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widowControl/>
        <w:numPr>
          <w:ilvl w:val="0"/>
          <w:numId w:val="0"/>
        </w:numPr>
        <w:ind w:leftChars="-200" w:firstLine="640" w:firstLineChars="200"/>
        <w:jc w:val="left"/>
        <w:rPr>
          <w:rFonts w:hint="eastAsia" w:ascii="仿宋_GB2312" w:hAnsi="宋体" w:eastAsia="仿宋_GB2312" w:cs="Arial"/>
          <w:b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宋体" w:eastAsia="仿宋_GB2312" w:cs="Arial"/>
          <w:b/>
          <w:color w:val="333333"/>
          <w:kern w:val="0"/>
          <w:sz w:val="32"/>
          <w:szCs w:val="32"/>
        </w:rPr>
        <w:t>国有资本经营预算说明</w:t>
      </w:r>
    </w:p>
    <w:p>
      <w:pPr>
        <w:widowControl/>
        <w:numPr>
          <w:ilvl w:val="0"/>
          <w:numId w:val="0"/>
        </w:numPr>
        <w:ind w:leftChars="-200" w:firstLine="640" w:firstLineChars="200"/>
        <w:jc w:val="left"/>
        <w:rPr>
          <w:rFonts w:ascii="仿宋_GB2312" w:hAnsi="宋体" w:eastAsia="仿宋_GB2312" w:cs="宋体"/>
          <w:b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  <w:t>我区国有资本经营预算</w:t>
      </w:r>
      <w:r>
        <w:rPr>
          <w:rFonts w:ascii="仿宋_GB2312" w:hAnsi="宋体" w:eastAsia="仿宋_GB2312" w:cs="Arial"/>
          <w:color w:val="333333"/>
          <w:kern w:val="0"/>
          <w:sz w:val="32"/>
          <w:szCs w:val="32"/>
        </w:rPr>
        <w:t>12</w:t>
      </w: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  <w:lang w:val="en-US" w:eastAsia="zh-CN"/>
        </w:rPr>
        <w:t>39</w:t>
      </w: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  <w:t>万元，全部为上</w:t>
      </w: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  <w:lang w:eastAsia="zh-CN"/>
        </w:rPr>
        <w:t>年结转资金</w:t>
      </w: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  <w:t>，为解决历史遗留问题及改革成本支出。</w:t>
      </w:r>
    </w:p>
    <w:p>
      <w:pPr>
        <w:widowControl/>
        <w:numPr>
          <w:ilvl w:val="0"/>
          <w:numId w:val="1"/>
        </w:numPr>
        <w:ind w:leftChars="-200"/>
        <w:jc w:val="left"/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b/>
          <w:color w:val="333333"/>
          <w:kern w:val="0"/>
          <w:sz w:val="32"/>
          <w:szCs w:val="32"/>
        </w:rPr>
        <w:t>地方政府债券还本付息情况</w:t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  <w:t>截至2024年底，开平区政府法定债务101.42亿元（专项债券90.54亿元，一般债券10.88亿元）。2024年我区政府债务到期本息共46891万元，其中：到期本金12500万元，应付利息34391万元。政府债券到期本金12500万元中,申请再融资债券资金偿还11100万元，本级财政预算资金偿还1400万元；政府债券利息34391万元。其中一般债券3136万元，专项债券31255万元。</w:t>
      </w:r>
    </w:p>
    <w:p>
      <w:pPr>
        <w:widowControl/>
        <w:jc w:val="left"/>
        <w:rPr>
          <w:rFonts w:ascii="仿宋_GB2312" w:hAnsi="宋体" w:eastAsia="仿宋_GB2312" w:cs="宋体"/>
          <w:b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b/>
          <w:color w:val="333333"/>
          <w:kern w:val="0"/>
          <w:sz w:val="32"/>
          <w:szCs w:val="32"/>
        </w:rPr>
        <w:t>5、绩效预算工作开展情况</w:t>
      </w:r>
    </w:p>
    <w:p>
      <w:pPr>
        <w:widowControl/>
        <w:jc w:val="left"/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  <w:t>（一）建立制度体系。印发《开平区全面实施预算绩效管理推进工作方案》,出台相关预算绩效管理制度办法《开平区区级部门预算绩效管理办法》、《开平区区级部门事前绩效评估规范》、《开平区区级部门预算绩效运行监控工作规程》、《唐山市开平区区级部门预算绩效目标设定规范》等文件。对事前绩效评估、事中监控、事后评价和绩效考核等全过程绩效管理作了明确规定，初步构建了制度体系。（二）是引入预警调整机制。以6月底为监控时点，开展重点监控。对6月份监控结果差的，进行预警提示，督促示范部门整改落实。提高资金使用效益。（三）是积极开展重点评价。聚焦重点环节，创新工作举措，不断拓展评价范围和深度，提高绩效评价质量。（四）是提水平。一是提升评价水平。科学选取评价项目、合理改进评价方法、积极拓展评价深度、努力提升使用效果等方式，切实发挥预算绩效管理对财政资金引领和撬动作用。二是提升绩效目标指标质量。明确绩效填报要点，要求语言简洁、客观公正、数量适当、便于衡量。绩效目标设置的完整性、相关性、适当性和可行性，突出财政资金使用效果。三是提升绩效文本质量。科学设置部门绩效文本内容、格式等，使样式统一、简要规范。严把绩效审核关，建立“部门初审、财政复审”的审核机制，全面提升绩效文本设置质量。</w:t>
      </w:r>
    </w:p>
    <w:p>
      <w:pPr>
        <w:widowControl/>
        <w:jc w:val="left"/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</w:pPr>
    </w:p>
    <w:p>
      <w:pPr>
        <w:spacing w:before="0" w:after="0"/>
        <w:ind w:firstLine="560"/>
        <w:jc w:val="left"/>
        <w:outlineLvl w:val="3"/>
      </w:pPr>
      <w:r>
        <w:rPr>
          <w:rFonts w:ascii="方正仿宋_GBK" w:hAnsi="方正仿宋_GBK" w:eastAsia="方正仿宋_GBK" w:cs="方正仿宋_GBK"/>
          <w:color w:val="000000"/>
          <w:sz w:val="28"/>
        </w:rPr>
        <w:t>1.本级农村保洁费用绩效目标表</w:t>
      </w:r>
    </w:p>
    <w:tbl>
      <w:tblPr>
        <w:tblStyle w:val="4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333001唐山市开平区住房和城乡建设局本级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13020525P009096100039</w:t>
            </w:r>
          </w:p>
        </w:tc>
        <w:tc>
          <w:tcPr>
            <w:tcW w:w="1587" w:type="dxa"/>
            <w:vAlign w:val="center"/>
          </w:tcPr>
          <w:p>
            <w:pPr>
              <w:pStyle w:val="10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1"/>
            </w:pPr>
            <w:r>
              <w:t>本级农村保洁费用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1316.77</w:t>
            </w:r>
          </w:p>
        </w:tc>
        <w:tc>
          <w:tcPr>
            <w:tcW w:w="1587" w:type="dxa"/>
            <w:vAlign w:val="center"/>
          </w:tcPr>
          <w:p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1316.77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用于我区农村保洁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0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0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0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1.保障我区农村保洁费用按时发放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宣传次数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宣传次数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≥3次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宣传次数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验收合格率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验收合格率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监督检查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监督检查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监督检查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成本控制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成本控制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≤2300万元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成本控制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社会稳定水平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社会稳定水平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社会稳定水平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达到绿色产业标准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达到绿色产业标准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达到绿色产业标准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达到绿色产业标准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项目持续发挥作用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项目持续发挥作用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项目持续发挥作用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项目持续发挥作用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提高我区居民可支配收入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提高我区居民可支配收入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提高我区居民可支配收入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提高我区居民可支配收入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满意人数占总人数比例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满意人数占总人数比例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满意人数占总人数比例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2.本级三供一业补贴绩效目标表</w:t>
      </w:r>
      <w:bookmarkEnd w:id="0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333001唐山市开平区住房和城乡建设局本级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13020525P00913210014E</w:t>
            </w:r>
          </w:p>
        </w:tc>
        <w:tc>
          <w:tcPr>
            <w:tcW w:w="1587" w:type="dxa"/>
            <w:vAlign w:val="center"/>
          </w:tcPr>
          <w:p>
            <w:pPr>
              <w:pStyle w:val="10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1"/>
            </w:pPr>
            <w:r>
              <w:t>本级三供一业补贴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1043.82</w:t>
            </w:r>
          </w:p>
        </w:tc>
        <w:tc>
          <w:tcPr>
            <w:tcW w:w="1587" w:type="dxa"/>
            <w:vAlign w:val="center"/>
          </w:tcPr>
          <w:p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1043.82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保证及时、足额发放工资及各项保险、补贴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0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0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0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1.保证及时、足额发放工资及各项保险、补贴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实发人数比率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实发人数占应发人数比率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实发人数占应发人数比率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资金发放准确率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资金发放准确率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资金发放到位率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监督检查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监督检查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监督检查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执行预算占全年预算的比例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执行预算占全年预算的比例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资金的使用效率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资金的使用效率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资金的使用效率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生活保障程度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保障职工正常生活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保障职工正常生活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保障职工正常生活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生活幸福指数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生活幸福指数提高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生活幸福指数提高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生活幸福指数提高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可持续性服务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可持续性服务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可持续性服务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单位工作人员满意度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调查中单位人员对工资发放的满意度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调查中单位人员对工资发放的满意度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</w:t>
      </w:r>
      <w:bookmarkEnd w:id="1"/>
      <w:bookmarkStart w:id="2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.本级城乡环卫一体化绩效目标表</w:t>
      </w:r>
      <w:bookmarkEnd w:id="2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333001唐山市开平区住房和城乡建设局本级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13020525P00910210004W</w:t>
            </w:r>
          </w:p>
        </w:tc>
        <w:tc>
          <w:tcPr>
            <w:tcW w:w="1587" w:type="dxa"/>
            <w:vAlign w:val="center"/>
          </w:tcPr>
          <w:p>
            <w:pPr>
              <w:pStyle w:val="10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1"/>
            </w:pPr>
            <w:r>
              <w:t>本级城乡环卫一体化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3000.00</w:t>
            </w:r>
          </w:p>
        </w:tc>
        <w:tc>
          <w:tcPr>
            <w:tcW w:w="1587" w:type="dxa"/>
            <w:vAlign w:val="center"/>
          </w:tcPr>
          <w:p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3000.00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城乡环卫一体化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0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0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0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1.城乡一体化-根据2025年预算安排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宣传次数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宣传次数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≥3次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宣传次数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验收合格率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验收合格率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按期完成率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按期完成率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按期完成率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成本控制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成本控制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≤3000万元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成本控制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社会稳定水平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社会稳定水平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社会稳定水平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达到绿色产业标准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达到绿色产业标准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达到绿色产业标准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达到绿色产业标准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项目持续发挥作用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项目持续发挥作用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项目持续发挥作用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项目持续发挥作用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提高我区居民可支配收入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提高我区居民可支配收入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提高我区居民可支配收入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提高我区居民可支配收入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满意人数占总人数比例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满意人数占总人数比例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满意人数占总人数比例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13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4</w:t>
      </w:r>
      <w:r>
        <w:rPr>
          <w:rFonts w:ascii="方正仿宋_GBK" w:hAnsi="方正仿宋_GBK" w:eastAsia="方正仿宋_GBK" w:cs="方正仿宋_GBK"/>
          <w:color w:val="000000"/>
          <w:sz w:val="28"/>
        </w:rPr>
        <w:t>.本级花海、园博会项目绩效目标表</w:t>
      </w:r>
      <w:bookmarkEnd w:id="3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333001唐山市开平区住房和城乡建设局本级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13020525P009155100017</w:t>
            </w:r>
          </w:p>
        </w:tc>
        <w:tc>
          <w:tcPr>
            <w:tcW w:w="1587" w:type="dxa"/>
            <w:vAlign w:val="center"/>
          </w:tcPr>
          <w:p>
            <w:pPr>
              <w:pStyle w:val="10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1"/>
            </w:pPr>
            <w:r>
              <w:t>本级花海、园博会项目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8000.00</w:t>
            </w:r>
          </w:p>
        </w:tc>
        <w:tc>
          <w:tcPr>
            <w:tcW w:w="1587" w:type="dxa"/>
            <w:vAlign w:val="center"/>
          </w:tcPr>
          <w:p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8000.00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花海及园博会建设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0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0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0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1.保障我区该项目顺利运行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宣传次数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宣传次数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≥3次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宣传次数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验收合格率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验收合格率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监督检查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监督检查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监督检查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成本控制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成本控制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≤8000万元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成本控制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社会稳定水平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社会稳定水平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社会稳定水平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达到绿色产业标准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达到绿色产业标准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达到绿色产业标准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达到绿色产业标准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项目持续发挥作用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项目持续发挥作用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项目持续发挥作用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项目持续发挥作用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提高我区居民可支配收入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提高我区居民可支配收入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提高我区居民可支配收入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提高我区居民可支配收入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满意人数占总人数比例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满意人数占总人数比例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满意人数占总人数比例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14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5</w:t>
      </w:r>
      <w:r>
        <w:rPr>
          <w:rFonts w:ascii="方正仿宋_GBK" w:hAnsi="方正仿宋_GBK" w:eastAsia="方正仿宋_GBK" w:cs="方正仿宋_GBK"/>
          <w:color w:val="000000"/>
          <w:sz w:val="28"/>
        </w:rPr>
        <w:t>.本级开平区老旧小区改造绩效目标表</w:t>
      </w:r>
      <w:bookmarkEnd w:id="4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333001唐山市开平区住房和城乡建设局本级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13020525P00000510005J</w:t>
            </w:r>
          </w:p>
        </w:tc>
        <w:tc>
          <w:tcPr>
            <w:tcW w:w="1587" w:type="dxa"/>
            <w:vAlign w:val="center"/>
          </w:tcPr>
          <w:p>
            <w:pPr>
              <w:pStyle w:val="10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1"/>
            </w:pPr>
            <w:r>
              <w:t>本级开平区老旧小区改造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2000.00</w:t>
            </w:r>
          </w:p>
        </w:tc>
        <w:tc>
          <w:tcPr>
            <w:tcW w:w="1587" w:type="dxa"/>
            <w:vAlign w:val="center"/>
          </w:tcPr>
          <w:p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2000.00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用于我区老旧小区改造支出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0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0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0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1.用于我区2025年度预算老旧小区改造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宣传次数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宣传次数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≥3次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宣传次数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验收合格率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验收合格率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任务完成进度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任务完成进度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合格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任务完成进度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成本控制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成本控制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≤2000万元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成本控制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社会稳定水平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社会稳定水平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社会稳定水平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达到绿色产业标准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达到绿色产业标准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达到绿色产业标准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达到绿色产业标准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项目持续发挥作用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项目持续发挥作用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项目持续发挥作用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项目持续发挥作用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提高我区居民可支配收入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提高我区居民可支配收入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提高我区居民可支配收入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提高我区居民可支配收入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满意人数占总人数比例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满意人数占总人数比例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满意人数占总人数比例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6.</w:t>
      </w:r>
      <w:r>
        <w:rPr>
          <w:rFonts w:ascii="方正仿宋_GBK" w:hAnsi="方正仿宋_GBK" w:eastAsia="方正仿宋_GBK" w:cs="方正仿宋_GBK"/>
          <w:color w:val="000000"/>
          <w:sz w:val="28"/>
        </w:rPr>
        <w:t>本级教育费附加绩效目标表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360001唐山市开平区教育局本级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13020525P008899101127</w:t>
            </w:r>
          </w:p>
        </w:tc>
        <w:tc>
          <w:tcPr>
            <w:tcW w:w="1587" w:type="dxa"/>
            <w:vAlign w:val="center"/>
          </w:tcPr>
          <w:p>
            <w:pPr>
              <w:pStyle w:val="10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1"/>
            </w:pPr>
            <w:r>
              <w:t>本级教育费附加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1500.00</w:t>
            </w:r>
          </w:p>
        </w:tc>
        <w:tc>
          <w:tcPr>
            <w:tcW w:w="1587" w:type="dxa"/>
            <w:vAlign w:val="center"/>
          </w:tcPr>
          <w:p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1500.00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本级教育费附加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0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0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0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1.保证及时、足额发放工资及各项保险、补贴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相关项目预定实施与实际开展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相关项目预定与实际开展的比率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相关项目预定实施与实际开展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项目开展后完成的实际情况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项目开展后完成的达到良好的比率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项目开展后完成的是否达到预期效果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项目开展的及时性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项目开展要求及时不拖延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确保项目开展要求及时不拖延</w:t>
            </w:r>
          </w:p>
          <w:p>
            <w:pPr>
              <w:pStyle w:val="11"/>
            </w:pP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项目开展的及时性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项目具体实施要求达到低本高效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项目具体实施达到低本高效的比率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项目具体实施要求达到低本高效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提高工作效率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提高效率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业务保障能力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保障相关业务、工作等开展的情况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工作正常运转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保障相关业务、工作等开展的情况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服务满意度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服务满意度</w:t>
            </w:r>
          </w:p>
        </w:tc>
      </w:tr>
    </w:tbl>
    <w:p>
      <w:pPr>
        <w:spacing w:before="0" w:after="0"/>
        <w:ind w:firstLine="560"/>
        <w:jc w:val="left"/>
        <w:outlineLvl w:val="3"/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</w:pPr>
    </w:p>
    <w:p>
      <w:pPr>
        <w:widowControl/>
        <w:jc w:val="left"/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</w:pPr>
      <w:bookmarkStart w:id="5" w:name="_GoBack"/>
      <w:bookmarkEnd w:id="5"/>
    </w:p>
    <w:p>
      <w:pPr>
        <w:widowControl/>
        <w:jc w:val="left"/>
        <w:rPr>
          <w:rFonts w:ascii="仿宋_GB2312" w:hAnsi="宋体" w:eastAsia="仿宋_GB2312" w:cs="宋体"/>
          <w:b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b/>
          <w:color w:val="333333"/>
          <w:kern w:val="0"/>
          <w:sz w:val="32"/>
          <w:szCs w:val="32"/>
        </w:rPr>
        <w:t>6、政府采购情况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2025年市本级政府采购预算资金安排54974.72万元，按资金来源性质分：一般公共预算拨款安排3771.62万元、基金预算拨款51108.1万元，上年结转结余资金95万元。</w:t>
      </w:r>
    </w:p>
    <w:p>
      <w:pPr>
        <w:widowControl/>
        <w:jc w:val="left"/>
        <w:rPr>
          <w:rFonts w:ascii="仿宋_GB2312" w:hAnsi="宋体" w:eastAsia="仿宋_GB2312" w:cs="宋体"/>
          <w:b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b/>
          <w:color w:val="333333"/>
          <w:kern w:val="0"/>
          <w:sz w:val="32"/>
          <w:szCs w:val="32"/>
        </w:rPr>
        <w:t>7、名词解释</w:t>
      </w: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color w:val="333333"/>
          <w:kern w:val="0"/>
          <w:sz w:val="32"/>
          <w:szCs w:val="32"/>
        </w:rPr>
        <w:t>一般公共预算：一般公共预算是对以税收为主体的财政收入，安排用于保障和改善民生、推动经济社会发展、维护国家安全、维持国家机构正常运转等方面的收支预算。</w:t>
      </w:r>
    </w:p>
    <w:p>
      <w:pPr>
        <w:widowControl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color w:val="333333"/>
          <w:kern w:val="0"/>
          <w:sz w:val="32"/>
          <w:szCs w:val="32"/>
        </w:rPr>
        <w:t xml:space="preserve">    </w:t>
      </w: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政府性基金：</w:t>
      </w:r>
      <w:r>
        <w:rPr>
          <w:rFonts w:hint="eastAsia" w:ascii="仿宋_GB2312" w:hAnsi="Calibri" w:eastAsia="仿宋_GB2312" w:cs="宋体"/>
          <w:color w:val="333333"/>
          <w:kern w:val="0"/>
          <w:sz w:val="32"/>
          <w:szCs w:val="32"/>
        </w:rPr>
        <w:t>政府性基金，是指各级人民政府及其所属部门根据</w:t>
      </w:r>
      <w:r>
        <w:fldChar w:fldCharType="begin"/>
      </w:r>
      <w:r>
        <w:instrText xml:space="preserve"> HYPERLINK "https://baike.so.com/doc/1296429.html" \t "_blank" </w:instrText>
      </w:r>
      <w:r>
        <w:fldChar w:fldCharType="separate"/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法律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fldChar w:fldCharType="end"/>
      </w:r>
      <w:r>
        <w:rPr>
          <w:rFonts w:hint="eastAsia" w:ascii="仿宋_GB2312" w:hAnsi="Calibri" w:eastAsia="仿宋_GB2312" w:cs="宋体"/>
          <w:color w:val="333333"/>
          <w:kern w:val="0"/>
          <w:sz w:val="32"/>
          <w:szCs w:val="32"/>
        </w:rPr>
        <w:t>、国家行政法规和中共中央、国务院有关文件的规定，为支持某项事业</w:t>
      </w:r>
      <w:r>
        <w:fldChar w:fldCharType="begin"/>
      </w:r>
      <w:r>
        <w:instrText xml:space="preserve"> HYPERLINK "https://baike.so.com/doc/5397508.html" \t "_blank" </w:instrText>
      </w:r>
      <w:r>
        <w:fldChar w:fldCharType="separate"/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发展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fldChar w:fldCharType="end"/>
      </w:r>
      <w:r>
        <w:rPr>
          <w:rFonts w:hint="eastAsia" w:ascii="仿宋_GB2312" w:hAnsi="Calibri" w:eastAsia="仿宋_GB2312" w:cs="宋体"/>
          <w:color w:val="333333"/>
          <w:kern w:val="0"/>
          <w:sz w:val="32"/>
          <w:szCs w:val="32"/>
        </w:rPr>
        <w:t>，按照国家规定程序批准，向公民、法人和其他组织征收的具有专项用途的资金。包括各种基金、资金、附加和专项</w:t>
      </w:r>
      <w:r>
        <w:fldChar w:fldCharType="begin"/>
      </w:r>
      <w:r>
        <w:instrText xml:space="preserve"> HYPERLINK "https://baike.so.com/doc/1550352.html" \t "_blank" </w:instrText>
      </w:r>
      <w:r>
        <w:fldChar w:fldCharType="separate"/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收费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fldChar w:fldCharType="end"/>
      </w:r>
      <w:r>
        <w:rPr>
          <w:rFonts w:hint="eastAsia" w:ascii="仿宋_GB2312" w:hAnsi="Calibri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before="150" w:after="150" w:line="435" w:lineRule="atLeast"/>
        <w:jc w:val="left"/>
        <w:rPr>
          <w:rFonts w:ascii="仿宋_GB2312" w:hAnsi="Calibri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 xml:space="preserve">　    </w:t>
      </w:r>
      <w:r>
        <w:fldChar w:fldCharType="begin"/>
      </w:r>
      <w:r>
        <w:instrText xml:space="preserve"> HYPERLINK "https://www.baidu.com/s?wd=%E4%B8%89%E5%85%AC%E7%BB%8F%E8%B4%B9&amp;tn=44039180_cpr&amp;fenlei=mv6quAkxTZn0IZRqIHckPjm4nH00T1Y3mHTvuhm1mWb1Pj0dnjfd0ZwV5Hcvrjm3rH6sPfKWUMw85HfYnjn4nH6sgvPsT6KdThsqpZwYTjCEQLGCpyw9Uz4Bmy-bIi4WUvYETgN-TLwGUv3EnHTvPjm3P1DdPWmdn1R1nj0Y" \t "_blank" </w:instrText>
      </w:r>
      <w:r>
        <w:fldChar w:fldCharType="separate"/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三公经费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fldChar w:fldCharType="end"/>
      </w:r>
      <w:r>
        <w:rPr>
          <w:rFonts w:hint="eastAsia" w:ascii="仿宋_GB2312" w:hAnsi="Calibri" w:eastAsia="仿宋_GB2312" w:cs="宋体"/>
          <w:color w:val="333333"/>
          <w:kern w:val="0"/>
          <w:sz w:val="32"/>
          <w:szCs w:val="32"/>
        </w:rPr>
        <w:t>：三公经费指政府部门人员因公出国（境）经费、公务车购置及运行费、公务招待费。</w:t>
      </w:r>
    </w:p>
    <w:p>
      <w:pPr>
        <w:tabs>
          <w:tab w:val="left" w:pos="6111"/>
        </w:tabs>
        <w:jc w:val="left"/>
      </w:pPr>
      <w:r>
        <w:rPr>
          <w:rFonts w:hint="eastAsia"/>
        </w:rPr>
        <w:tab/>
      </w:r>
    </w:p>
    <w:p>
      <w:pPr>
        <w:widowControl/>
        <w:ind w:firstLine="320" w:firstLineChars="100"/>
        <w:jc w:val="left"/>
        <w:rPr>
          <w:rFonts w:ascii="仿宋_GB2312" w:hAnsi="宋体" w:eastAsia="仿宋_GB2312" w:cs="宋体"/>
          <w:b/>
          <w:color w:val="333333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color w:val="333333"/>
          <w:kern w:val="0"/>
          <w:sz w:val="32"/>
          <w:szCs w:val="32"/>
        </w:rPr>
        <w:t>    专项资金：是指国家或有关部门或上级部门下拨</w:t>
      </w:r>
      <w:r>
        <w:fldChar w:fldCharType="begin"/>
      </w:r>
      <w:r>
        <w:instrText xml:space="preserve"> HYPERLINK "https://baike.so.com/doc/485034-513631.html" \t "_blank" </w:instrText>
      </w:r>
      <w:r>
        <w:fldChar w:fldCharType="separate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行政事业单位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具有专门指定用途或特殊用途的资金。这种资金都会要求进行单独核算，</w:t>
      </w:r>
      <w:r>
        <w:fldChar w:fldCharType="begin"/>
      </w:r>
      <w:r>
        <w:instrText xml:space="preserve"> HYPERLINK "https://baike.so.com/doc/5394180-5631267.html" \t "_blank" </w:instrText>
      </w:r>
      <w:r>
        <w:fldChar w:fldCharType="separate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专款专用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，不能挪作他用，又称专项支出、</w:t>
      </w:r>
      <w:r>
        <w:fldChar w:fldCharType="begin"/>
      </w:r>
      <w:r>
        <w:instrText xml:space="preserve"> HYPERLINK "https://baike.so.com/doc/1833296-1938767.html" \t "_blank" </w:instrText>
      </w:r>
      <w:r>
        <w:fldChar w:fldCharType="separate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、专款等。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</w:rPr>
        <w:t>8、其他情况说明</w:t>
      </w:r>
      <w:r>
        <w:rPr>
          <w:rFonts w:hint="eastAsia" w:ascii="仿宋_GB2312" w:hAnsi="Calibri" w:eastAsia="仿宋_GB2312" w:cs="宋体"/>
          <w:b/>
          <w:color w:val="333333"/>
          <w:kern w:val="0"/>
          <w:sz w:val="32"/>
          <w:szCs w:val="32"/>
        </w:rPr>
        <w:t>   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宋体"/>
          <w:color w:val="333333"/>
          <w:kern w:val="0"/>
          <w:sz w:val="32"/>
          <w:szCs w:val="32"/>
        </w:rPr>
        <w:t>    无其他情况说明。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C97954"/>
    <w:multiLevelType w:val="singleLevel"/>
    <w:tmpl w:val="FBC97954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7B"/>
    <w:rsid w:val="00031BE7"/>
    <w:rsid w:val="00050F96"/>
    <w:rsid w:val="0008517B"/>
    <w:rsid w:val="00121CA8"/>
    <w:rsid w:val="001762BC"/>
    <w:rsid w:val="00190A9F"/>
    <w:rsid w:val="001B5FB6"/>
    <w:rsid w:val="001D0377"/>
    <w:rsid w:val="00261833"/>
    <w:rsid w:val="003202EF"/>
    <w:rsid w:val="003839DB"/>
    <w:rsid w:val="003A5DDC"/>
    <w:rsid w:val="003F43EC"/>
    <w:rsid w:val="00426705"/>
    <w:rsid w:val="004409C1"/>
    <w:rsid w:val="00484EB9"/>
    <w:rsid w:val="004D4886"/>
    <w:rsid w:val="006E095E"/>
    <w:rsid w:val="007956F3"/>
    <w:rsid w:val="007E6710"/>
    <w:rsid w:val="0089480D"/>
    <w:rsid w:val="008A3791"/>
    <w:rsid w:val="00910C9A"/>
    <w:rsid w:val="00977AD7"/>
    <w:rsid w:val="00A43B52"/>
    <w:rsid w:val="00AF2733"/>
    <w:rsid w:val="00AF5F09"/>
    <w:rsid w:val="00B1596E"/>
    <w:rsid w:val="00C350D6"/>
    <w:rsid w:val="00C373B9"/>
    <w:rsid w:val="00CD1E79"/>
    <w:rsid w:val="00D245E4"/>
    <w:rsid w:val="00D75909"/>
    <w:rsid w:val="00DC21DA"/>
    <w:rsid w:val="00F732F3"/>
    <w:rsid w:val="00F837E4"/>
    <w:rsid w:val="15D06C17"/>
    <w:rsid w:val="1A24421D"/>
    <w:rsid w:val="1EC57B16"/>
    <w:rsid w:val="215D6A8F"/>
    <w:rsid w:val="22373BE7"/>
    <w:rsid w:val="28922A28"/>
    <w:rsid w:val="30105D26"/>
    <w:rsid w:val="304D5F34"/>
    <w:rsid w:val="30A57011"/>
    <w:rsid w:val="34D521C8"/>
    <w:rsid w:val="378C252C"/>
    <w:rsid w:val="40722195"/>
    <w:rsid w:val="42187A1A"/>
    <w:rsid w:val="49C755DF"/>
    <w:rsid w:val="57DD3973"/>
    <w:rsid w:val="5ED90B1A"/>
    <w:rsid w:val="7AF26EEA"/>
    <w:rsid w:val="7BE62225"/>
    <w:rsid w:val="7D520C7A"/>
    <w:rsid w:val="7EB6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kern w:val="2"/>
      <w:sz w:val="18"/>
      <w:szCs w:val="18"/>
    </w:rPr>
  </w:style>
  <w:style w:type="paragraph" w:customStyle="1" w:styleId="8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9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0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1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315</Words>
  <Characters>1796</Characters>
  <Lines>14</Lines>
  <Paragraphs>4</Paragraphs>
  <TotalTime>0</TotalTime>
  <ScaleCrop>false</ScaleCrop>
  <LinksUpToDate>false</LinksUpToDate>
  <CharactersWithSpaces>2107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2018-03-19T12:01:00Z</dcterms:created>
  <dc:creator>Microsoft</dc:creator>
  <cp:lastModifiedBy>lx</cp:lastModifiedBy>
  <cp:lastPrinted>2020-07-06T02:16:00Z</cp:lastPrinted>
  <dcterms:modified xsi:type="dcterms:W3CDTF">2025-02-08T09:24:26Z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D4007872F3724F9AB0DDE905CA0BD036</vt:lpwstr>
  </property>
</Properties>
</file>