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420" w:lineRule="atLeast"/>
        <w:jc w:val="center"/>
        <w:rPr>
          <w:rFonts w:ascii="宋体" w:hAnsi="宋体" w:eastAsia="宋体" w:cs="宋体"/>
          <w:b/>
          <w:bCs/>
          <w:color w:val="333333"/>
          <w:sz w:val="36"/>
          <w:szCs w:val="36"/>
          <w:shd w:val="clear" w:color="auto" w:fill="FFFFFF"/>
        </w:rPr>
      </w:pPr>
      <w:bookmarkStart w:id="0" w:name="_GoBack"/>
      <w:bookmarkEnd w:id="0"/>
      <w:r>
        <w:rPr>
          <w:rFonts w:hint="eastAsia" w:ascii="宋体" w:hAnsi="宋体" w:eastAsia="宋体" w:cs="宋体"/>
          <w:b/>
          <w:bCs/>
          <w:color w:val="333333"/>
          <w:sz w:val="36"/>
          <w:szCs w:val="36"/>
          <w:shd w:val="clear" w:color="auto" w:fill="FFFFFF"/>
        </w:rPr>
        <w:t>唐山市开平区工业和信息化局</w:t>
      </w:r>
    </w:p>
    <w:p>
      <w:pPr>
        <w:pStyle w:val="4"/>
        <w:widowControl/>
        <w:shd w:val="clear" w:color="auto" w:fill="FFFFFF"/>
        <w:spacing w:beforeAutospacing="0" w:afterAutospacing="0" w:line="420" w:lineRule="atLeast"/>
        <w:jc w:val="center"/>
        <w:rPr>
          <w:rFonts w:ascii="宋体" w:hAnsi="宋体" w:eastAsia="宋体" w:cs="宋体"/>
          <w:color w:val="333333"/>
        </w:rPr>
      </w:pPr>
      <w:r>
        <w:rPr>
          <w:rFonts w:hint="eastAsia" w:ascii="宋体" w:hAnsi="宋体" w:eastAsia="宋体" w:cs="宋体"/>
          <w:b/>
          <w:bCs/>
          <w:color w:val="333333"/>
          <w:sz w:val="36"/>
          <w:szCs w:val="36"/>
          <w:shd w:val="clear" w:color="auto" w:fill="FFFFFF"/>
        </w:rPr>
        <w:t>2024年政府信息公开工作年度报告</w:t>
      </w:r>
    </w:p>
    <w:p>
      <w:pPr>
        <w:pStyle w:val="4"/>
        <w:widowControl/>
        <w:shd w:val="clear" w:color="auto" w:fill="FFFFFF"/>
        <w:spacing w:beforeAutospacing="0" w:afterAutospacing="0" w:line="420" w:lineRule="atLeast"/>
        <w:ind w:firstLine="420"/>
        <w:jc w:val="both"/>
        <w:rPr>
          <w:rFonts w:ascii="宋体" w:hAnsi="宋体" w:eastAsia="宋体" w:cs="宋体"/>
          <w:color w:val="333333"/>
        </w:rPr>
      </w:pPr>
    </w:p>
    <w:p>
      <w:pPr>
        <w:pStyle w:val="4"/>
        <w:widowControl/>
        <w:shd w:val="clear" w:color="auto" w:fill="FFFFFF"/>
        <w:spacing w:beforeAutospacing="0" w:afterAutospacing="0" w:line="500" w:lineRule="exact"/>
        <w:ind w:firstLine="420"/>
        <w:jc w:val="both"/>
        <w:rPr>
          <w:rFonts w:ascii="宋体" w:hAnsi="宋体" w:eastAsia="宋体" w:cs="宋体"/>
          <w:color w:val="333333"/>
        </w:rPr>
      </w:pPr>
      <w:r>
        <w:rPr>
          <w:rFonts w:hint="eastAsia" w:ascii="宋体" w:hAnsi="宋体" w:eastAsia="宋体" w:cs="宋体"/>
          <w:b/>
          <w:bCs/>
          <w:color w:val="333333"/>
          <w:shd w:val="clear" w:color="auto" w:fill="FFFFFF"/>
        </w:rPr>
        <w:t>一、总体情况</w:t>
      </w:r>
    </w:p>
    <w:p>
      <w:pPr>
        <w:spacing w:line="500" w:lineRule="exact"/>
        <w:ind w:firstLine="480" w:firstLineChars="200"/>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2024年，我局在区政府的正确领导下，全面贯彻落实《中华人民共和国政府信息公开条例》，大力推进政府信息公开工作，不断规范政府信息公开内容，提高政府信息公开水平，有力地促进了各项工作的开展。</w:t>
      </w:r>
    </w:p>
    <w:p>
      <w:pPr>
        <w:spacing w:line="500" w:lineRule="exact"/>
        <w:ind w:firstLine="480" w:firstLineChars="200"/>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㈠健全组织，责任到人。</w:t>
      </w:r>
    </w:p>
    <w:p>
      <w:pPr>
        <w:spacing w:line="500" w:lineRule="exact"/>
        <w:ind w:firstLine="480" w:firstLineChars="200"/>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局领导对政府信息公开工作高度重视，多次在班子会议和局务会议上对信息工作的开展情况进行调度，研究和完善各项制度。为切实贯彻落实好《政府信息公开条例》，强化对政府信息公开工作的领导，成立了以局长为组长，主管副局长为副组长，其他班子成员为成员的政府信息公开工作领导组，明确政府信息公开具体工作由工信局办公室负责。建立了“主要领导亲自抓，分管领导具体抓，职能科室抓落实”的工作机制，形成了职责分明、分工合理、各负其责、齐抓共管的工作局面。</w:t>
      </w:r>
    </w:p>
    <w:p>
      <w:pPr>
        <w:spacing w:line="500" w:lineRule="exact"/>
        <w:ind w:firstLine="480" w:firstLineChars="200"/>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㈡拓宽渠道，创新工作。</w:t>
      </w:r>
    </w:p>
    <w:p>
      <w:pPr>
        <w:spacing w:line="500" w:lineRule="exact"/>
        <w:ind w:firstLine="480" w:firstLineChars="200"/>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 xml:space="preserve">一是积极拓展政府信息公开渠道，规范操作，注重实效，做到“依法公开，真实公正，注重实效，有力监督”。二是高度重视区政府网站公开工作，明确专人负责政府网站信息更新工作，坚持第一时间信息公开。三是积极探索政府信息公开的新途径，更好地满足服务对象对工业经济运行信息及相关产业政策的需求，切实保障我区工业经济健康发展。 </w:t>
      </w:r>
    </w:p>
    <w:p>
      <w:pPr>
        <w:spacing w:line="500" w:lineRule="exact"/>
        <w:ind w:firstLine="480" w:firstLineChars="200"/>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㈢加强管理，有效监督。</w:t>
      </w:r>
    </w:p>
    <w:p>
      <w:pPr>
        <w:spacing w:line="500" w:lineRule="exact"/>
        <w:ind w:firstLine="480" w:firstLineChars="200"/>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我局切实把政府信息公开工作落实到实处，在推进政府信息公开制度的过程中，严格按照《条例》要求，受理、审查、处理、答复开展政务信息公开工作，严格依法行政，强化对</w:t>
      </w:r>
      <w:r>
        <w:rPr>
          <w:rFonts w:hint="eastAsia" w:ascii="宋体" w:hAnsi="宋体" w:eastAsia="宋体" w:cs="宋体"/>
          <w:color w:val="333333"/>
          <w:sz w:val="24"/>
          <w:shd w:val="clear" w:color="auto" w:fill="FFFFFF"/>
          <w:lang w:eastAsia="zh-CN"/>
        </w:rPr>
        <w:t>行政权力</w:t>
      </w:r>
      <w:r>
        <w:rPr>
          <w:rFonts w:hint="eastAsia" w:ascii="宋体" w:hAnsi="宋体" w:eastAsia="宋体" w:cs="宋体"/>
          <w:color w:val="333333"/>
          <w:sz w:val="24"/>
          <w:shd w:val="clear" w:color="auto" w:fill="FFFFFF"/>
        </w:rPr>
        <w:t>运行的监督。并严格遵守保密制度，做到涉密信息不公开，公开信息不涉密。</w:t>
      </w:r>
    </w:p>
    <w:p>
      <w:pPr>
        <w:spacing w:line="500" w:lineRule="exact"/>
        <w:ind w:firstLine="480" w:firstLineChars="200"/>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㈣政府信息主动公开情况。</w:t>
      </w:r>
    </w:p>
    <w:p>
      <w:pPr>
        <w:spacing w:line="500" w:lineRule="exact"/>
        <w:ind w:firstLine="480" w:firstLineChars="200"/>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2024年，我局按照政府信息主动公开范围，主动公开政府信息共5条。其中，信息公开工作报告2条，财务预决算信息3条。</w:t>
      </w:r>
    </w:p>
    <w:p>
      <w:pPr>
        <w:spacing w:line="500" w:lineRule="exact"/>
        <w:ind w:firstLine="480" w:firstLineChars="200"/>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⑵依申请公开政府信息情况。2024年，我局未收到公民、法人和其他组织需要本机关主动公开以外的政府信息的申请。也未接到关于不予公开政府信息的电话咨询。</w:t>
      </w:r>
    </w:p>
    <w:p>
      <w:pPr>
        <w:spacing w:line="500" w:lineRule="exact"/>
        <w:ind w:firstLine="480" w:firstLineChars="200"/>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⑶其它途径公开情况。主动接受群众监督，利用监督台、信息公开栏等形式，对我局机构设置、主要职责、行风建设公开承诺等内容进行了公开，利用党务公开栏，对我局基层党组织主要职责、党务公开领导小组、领导班子成员职责及分工、党员干部廉洁自律规定等内容进行公开。</w:t>
      </w:r>
    </w:p>
    <w:p>
      <w:pPr>
        <w:spacing w:line="500" w:lineRule="exact"/>
        <w:ind w:firstLine="480" w:firstLineChars="200"/>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㈤开展《条例》学习贯彻和培训活动情况</w:t>
      </w:r>
    </w:p>
    <w:p>
      <w:pPr>
        <w:spacing w:line="500" w:lineRule="exact"/>
        <w:ind w:firstLine="480" w:firstLineChars="200"/>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先后多次组织机关全体干部职工进行《中华人民共和国政府信息公开条例》专题学习，通过学习宣传，使干部职工对国家颁布《政府信息公开条例》的重要意义有了更深的了解和掌握，使其充分认识到保障公民、法人和其他组织依法获取政府信息是各级行政机关的重要职责，也是当前和今后一段时期政务公开工作的一项重大任务，自觉主动公开意识不断增强。</w:t>
      </w:r>
    </w:p>
    <w:p>
      <w:pPr>
        <w:pStyle w:val="4"/>
        <w:widowControl/>
        <w:shd w:val="clear" w:color="auto" w:fill="FFFFFF"/>
        <w:spacing w:beforeAutospacing="0" w:afterAutospacing="0" w:line="420" w:lineRule="atLeast"/>
        <w:ind w:firstLine="420"/>
        <w:jc w:val="both"/>
        <w:rPr>
          <w:rFonts w:ascii="宋体" w:hAnsi="宋体" w:eastAsia="宋体" w:cs="宋体"/>
          <w:color w:val="333333"/>
        </w:rPr>
      </w:pPr>
    </w:p>
    <w:p>
      <w:pPr>
        <w:pStyle w:val="4"/>
        <w:widowControl/>
        <w:shd w:val="clear" w:color="auto" w:fill="FFFFFF"/>
        <w:spacing w:beforeAutospacing="0" w:afterAutospacing="0" w:line="420" w:lineRule="atLeast"/>
        <w:ind w:firstLine="420"/>
        <w:jc w:val="both"/>
        <w:rPr>
          <w:rFonts w:ascii="宋体" w:hAnsi="宋体" w:eastAsia="宋体" w:cs="宋体"/>
          <w:color w:val="333333"/>
        </w:rPr>
      </w:pPr>
    </w:p>
    <w:p>
      <w:pPr>
        <w:pStyle w:val="4"/>
        <w:widowControl/>
        <w:shd w:val="clear" w:color="auto" w:fill="FFFFFF"/>
        <w:spacing w:beforeAutospacing="0" w:afterAutospacing="0" w:line="420" w:lineRule="atLeast"/>
        <w:ind w:firstLine="420"/>
        <w:jc w:val="both"/>
        <w:rPr>
          <w:rFonts w:ascii="宋体" w:hAnsi="宋体" w:eastAsia="宋体" w:cs="宋体"/>
          <w:color w:val="333333"/>
        </w:rPr>
      </w:pPr>
      <w:r>
        <w:rPr>
          <w:rFonts w:hint="eastAsia" w:ascii="宋体" w:hAnsi="宋体" w:eastAsia="宋体" w:cs="宋体"/>
          <w:b/>
          <w:bCs/>
          <w:color w:val="333333"/>
          <w:shd w:val="clear" w:color="auto" w:fill="FFFFFF"/>
        </w:rPr>
        <w:t>二、主动公开政府信息情况</w:t>
      </w:r>
    </w:p>
    <w:p>
      <w:pPr>
        <w:pStyle w:val="4"/>
        <w:widowControl/>
        <w:shd w:val="clear" w:color="auto" w:fill="FFFFFF"/>
        <w:spacing w:beforeAutospacing="0" w:afterAutospacing="0" w:line="420" w:lineRule="atLeast"/>
        <w:ind w:firstLine="420"/>
        <w:jc w:val="both"/>
        <w:rPr>
          <w:rFonts w:ascii="宋体" w:hAnsi="宋体" w:eastAsia="宋体" w:cs="宋体"/>
          <w:color w:val="333333"/>
        </w:rPr>
      </w:pPr>
    </w:p>
    <w:tbl>
      <w:tblPr>
        <w:tblStyle w:val="5"/>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420" w:lineRule="atLeast"/>
              <w:jc w:val="center"/>
              <w:rPr>
                <w:color w:val="333333"/>
              </w:rPr>
            </w:pPr>
            <w:r>
              <w:rPr>
                <w:rFonts w:hint="eastAsia" w:ascii="宋体" w:hAnsi="宋体" w:eastAsia="宋体" w:cs="宋体"/>
                <w:color w:val="333333"/>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color w:val="333333"/>
              </w:rPr>
            </w:pPr>
            <w:r>
              <w:rPr>
                <w:rFonts w:hint="eastAsia" w:ascii="宋体" w:hAnsi="宋体" w:eastAsia="宋体" w:cs="宋体"/>
                <w:color w:val="333333"/>
                <w:kern w:val="0"/>
                <w:sz w:val="20"/>
                <w:szCs w:val="20"/>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color w:val="333333"/>
              </w:rPr>
            </w:pPr>
            <w:r>
              <w:rPr>
                <w:rFonts w:hint="eastAsia" w:ascii="宋体" w:hAnsi="宋体" w:eastAsia="宋体" w:cs="宋体"/>
                <w:color w:val="333333"/>
                <w:kern w:val="0"/>
                <w:sz w:val="20"/>
                <w:szCs w:val="20"/>
              </w:rPr>
              <w:t>本年制发件数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color w:val="333333"/>
              </w:rPr>
            </w:pPr>
            <w:r>
              <w:rPr>
                <w:rFonts w:hint="eastAsia" w:ascii="宋体" w:hAnsi="宋体" w:eastAsia="宋体" w:cs="宋体"/>
                <w:color w:val="333333"/>
                <w:kern w:val="0"/>
                <w:sz w:val="20"/>
                <w:szCs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color w:val="333333"/>
              </w:rPr>
            </w:pPr>
            <w:r>
              <w:rPr>
                <w:rFonts w:hint="eastAsia" w:ascii="宋体" w:hAnsi="宋体" w:eastAsia="宋体" w:cs="宋体"/>
                <w:color w:val="333333"/>
                <w:kern w:val="0"/>
                <w:sz w:val="20"/>
                <w:szCs w:val="20"/>
              </w:rPr>
              <w:t>现行有效件数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420" w:lineRule="atLeast"/>
              <w:jc w:val="left"/>
              <w:rPr>
                <w:color w:val="333333"/>
              </w:rPr>
            </w:pPr>
            <w:r>
              <w:rPr>
                <w:rFonts w:hint="eastAsia" w:ascii="宋体" w:hAnsi="宋体" w:eastAsia="宋体" w:cs="宋体"/>
                <w:color w:val="333333"/>
                <w:kern w:val="0"/>
                <w:sz w:val="20"/>
                <w:szCs w:val="20"/>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left"/>
              <w:rPr>
                <w:color w:val="333333"/>
              </w:rPr>
            </w:pPr>
            <w:r>
              <w:rPr>
                <w:rFonts w:hint="eastAsia" w:ascii="宋体" w:hAnsi="宋体" w:eastAsia="宋体" w:cs="宋体"/>
                <w:color w:val="333333"/>
                <w:kern w:val="0"/>
                <w:sz w:val="20"/>
                <w:szCs w:val="20"/>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left"/>
              <w:rPr>
                <w:color w:val="333333"/>
              </w:rPr>
            </w:pPr>
            <w:r>
              <w:rPr>
                <w:rFonts w:hint="eastAsia" w:ascii="宋体" w:hAnsi="宋体" w:eastAsia="宋体" w:cs="宋体"/>
                <w:color w:val="333333"/>
                <w:kern w:val="0"/>
                <w:sz w:val="20"/>
                <w:szCs w:val="20"/>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left"/>
              <w:rPr>
                <w:color w:val="333333"/>
              </w:rPr>
            </w:pPr>
            <w:r>
              <w:rPr>
                <w:rFonts w:ascii="Calibri" w:hAnsi="Calibri" w:cs="Calibri"/>
                <w:color w:val="333333"/>
                <w:kern w:val="0"/>
                <w:szCs w:val="21"/>
              </w:rPr>
              <w:t> </w:t>
            </w:r>
            <w:r>
              <w:rPr>
                <w:rFonts w:hint="eastAsia" w:ascii="Calibri" w:hAnsi="Calibri" w:cs="Calibri"/>
                <w:color w:val="333333"/>
                <w:kern w:val="0"/>
                <w:szCs w:val="21"/>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420" w:lineRule="atLeast"/>
              <w:jc w:val="left"/>
              <w:rPr>
                <w:color w:val="333333"/>
              </w:rPr>
            </w:pPr>
            <w:r>
              <w:rPr>
                <w:rFonts w:hint="eastAsia" w:ascii="宋体" w:hAnsi="宋体" w:eastAsia="宋体" w:cs="宋体"/>
                <w:color w:val="333333"/>
                <w:kern w:val="0"/>
                <w:sz w:val="20"/>
                <w:szCs w:val="20"/>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left"/>
              <w:rPr>
                <w:color w:val="333333"/>
              </w:rPr>
            </w:pPr>
            <w:r>
              <w:rPr>
                <w:rFonts w:hint="eastAsia" w:ascii="宋体" w:hAnsi="宋体" w:eastAsia="宋体" w:cs="宋体"/>
                <w:color w:val="333333"/>
                <w:kern w:val="0"/>
                <w:sz w:val="20"/>
                <w:szCs w:val="20"/>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left"/>
              <w:rPr>
                <w:color w:val="333333"/>
              </w:rPr>
            </w:pPr>
            <w:r>
              <w:rPr>
                <w:rFonts w:hint="eastAsia" w:ascii="宋体" w:hAnsi="宋体" w:eastAsia="宋体" w:cs="宋体"/>
                <w:color w:val="333333"/>
                <w:kern w:val="0"/>
                <w:sz w:val="20"/>
                <w:szCs w:val="20"/>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left"/>
              <w:rPr>
                <w:color w:val="333333"/>
              </w:rPr>
            </w:pPr>
            <w:r>
              <w:rPr>
                <w:rFonts w:ascii="Calibri" w:hAnsi="Calibri" w:cs="Calibri"/>
                <w:color w:val="333333"/>
                <w:kern w:val="0"/>
                <w:szCs w:val="21"/>
              </w:rPr>
              <w:t> </w:t>
            </w:r>
            <w:r>
              <w:rPr>
                <w:rFonts w:hint="eastAsia" w:ascii="Calibri" w:hAnsi="Calibri" w:cs="Calibri"/>
                <w:color w:val="333333"/>
                <w:kern w:val="0"/>
                <w:szCs w:val="21"/>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420" w:lineRule="atLeast"/>
              <w:jc w:val="center"/>
              <w:rPr>
                <w:color w:val="333333"/>
              </w:rPr>
            </w:pPr>
            <w:r>
              <w:rPr>
                <w:rFonts w:hint="eastAsia" w:ascii="宋体" w:hAnsi="宋体" w:eastAsia="宋体" w:cs="宋体"/>
                <w:color w:val="333333"/>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color w:val="333333"/>
              </w:rPr>
            </w:pPr>
            <w:r>
              <w:rPr>
                <w:rFonts w:hint="eastAsia" w:ascii="宋体" w:hAnsi="宋体" w:eastAsia="宋体" w:cs="宋体"/>
                <w:color w:val="333333"/>
                <w:kern w:val="0"/>
                <w:sz w:val="20"/>
                <w:szCs w:val="20"/>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color w:val="333333"/>
              </w:rPr>
            </w:pPr>
            <w:r>
              <w:rPr>
                <w:rFonts w:hint="eastAsia" w:ascii="宋体" w:hAnsi="宋体" w:eastAsia="宋体" w:cs="宋体"/>
                <w:color w:val="333333"/>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420" w:lineRule="atLeast"/>
              <w:jc w:val="left"/>
              <w:rPr>
                <w:color w:val="333333"/>
              </w:rPr>
            </w:pPr>
            <w:r>
              <w:rPr>
                <w:rFonts w:hint="eastAsia" w:ascii="宋体" w:hAnsi="宋体" w:eastAsia="宋体" w:cs="宋体"/>
                <w:color w:val="333333"/>
                <w:kern w:val="0"/>
                <w:sz w:val="20"/>
                <w:szCs w:val="20"/>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left"/>
              <w:rPr>
                <w:color w:val="333333"/>
              </w:rPr>
            </w:pPr>
            <w:r>
              <w:rPr>
                <w:rFonts w:ascii="Calibri" w:hAnsi="Calibri" w:cs="Calibri"/>
                <w:color w:val="333333"/>
                <w:kern w:val="0"/>
                <w:szCs w:val="21"/>
              </w:rPr>
              <w:t> </w:t>
            </w:r>
            <w:r>
              <w:rPr>
                <w:rFonts w:hint="eastAsia" w:ascii="Calibri" w:hAnsi="Calibri" w:cs="Calibri"/>
                <w:color w:val="333333"/>
                <w:kern w:val="0"/>
                <w:szCs w:val="21"/>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420" w:lineRule="atLeast"/>
              <w:jc w:val="center"/>
              <w:rPr>
                <w:color w:val="333333"/>
              </w:rPr>
            </w:pPr>
            <w:r>
              <w:rPr>
                <w:rFonts w:hint="eastAsia" w:ascii="宋体" w:hAnsi="宋体" w:eastAsia="宋体" w:cs="宋体"/>
                <w:color w:val="333333"/>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color w:val="333333"/>
              </w:rPr>
            </w:pPr>
            <w:r>
              <w:rPr>
                <w:rFonts w:hint="eastAsia" w:ascii="宋体" w:hAnsi="宋体" w:eastAsia="宋体" w:cs="宋体"/>
                <w:color w:val="333333"/>
                <w:kern w:val="0"/>
                <w:sz w:val="20"/>
                <w:szCs w:val="20"/>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color w:val="333333"/>
              </w:rPr>
            </w:pPr>
            <w:r>
              <w:rPr>
                <w:rFonts w:hint="eastAsia" w:ascii="宋体" w:hAnsi="宋体" w:eastAsia="宋体" w:cs="宋体"/>
                <w:color w:val="333333"/>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420" w:lineRule="atLeast"/>
              <w:jc w:val="left"/>
              <w:rPr>
                <w:color w:val="333333"/>
              </w:rPr>
            </w:pPr>
            <w:r>
              <w:rPr>
                <w:rFonts w:hint="eastAsia" w:ascii="宋体" w:hAnsi="宋体" w:eastAsia="宋体" w:cs="宋体"/>
                <w:color w:val="333333"/>
                <w:kern w:val="0"/>
                <w:sz w:val="20"/>
                <w:szCs w:val="20"/>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left"/>
              <w:rPr>
                <w:color w:val="333333"/>
              </w:rPr>
            </w:pPr>
            <w:r>
              <w:rPr>
                <w:rFonts w:hint="eastAsia" w:ascii="宋体" w:hAnsi="宋体" w:eastAsia="宋体" w:cs="宋体"/>
                <w:color w:val="333333"/>
                <w:kern w:val="0"/>
                <w:sz w:val="20"/>
                <w:szCs w:val="20"/>
              </w:rPr>
              <w:t>　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420" w:lineRule="atLeast"/>
              <w:jc w:val="left"/>
              <w:rPr>
                <w:color w:val="333333"/>
              </w:rPr>
            </w:pPr>
            <w:r>
              <w:rPr>
                <w:rFonts w:hint="eastAsia" w:ascii="宋体" w:hAnsi="宋体" w:eastAsia="宋体" w:cs="宋体"/>
                <w:color w:val="333333"/>
                <w:kern w:val="0"/>
                <w:sz w:val="20"/>
                <w:szCs w:val="20"/>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left"/>
              <w:rPr>
                <w:color w:val="333333"/>
              </w:rPr>
            </w:pPr>
            <w:r>
              <w:rPr>
                <w:rFonts w:hint="eastAsia" w:ascii="宋体" w:hAnsi="宋体" w:eastAsia="宋体" w:cs="宋体"/>
                <w:color w:val="333333"/>
                <w:kern w:val="0"/>
                <w:sz w:val="20"/>
                <w:szCs w:val="20"/>
              </w:rPr>
              <w:t>　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420" w:lineRule="atLeast"/>
              <w:jc w:val="center"/>
              <w:rPr>
                <w:color w:val="333333"/>
              </w:rPr>
            </w:pPr>
            <w:r>
              <w:rPr>
                <w:rFonts w:hint="eastAsia" w:ascii="宋体" w:hAnsi="宋体" w:eastAsia="宋体" w:cs="宋体"/>
                <w:color w:val="333333"/>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color w:val="333333"/>
              </w:rPr>
            </w:pPr>
            <w:r>
              <w:rPr>
                <w:rFonts w:hint="eastAsia" w:ascii="宋体" w:hAnsi="宋体" w:eastAsia="宋体" w:cs="宋体"/>
                <w:color w:val="333333"/>
                <w:kern w:val="0"/>
                <w:sz w:val="20"/>
                <w:szCs w:val="20"/>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widowControl/>
              <w:spacing w:line="420" w:lineRule="atLeast"/>
              <w:jc w:val="center"/>
              <w:rPr>
                <w:color w:val="333333"/>
              </w:rPr>
            </w:pPr>
            <w:r>
              <w:rPr>
                <w:rFonts w:hint="eastAsia" w:ascii="宋体" w:hAnsi="宋体" w:eastAsia="宋体" w:cs="宋体"/>
                <w:color w:val="333333"/>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420" w:lineRule="atLeast"/>
              <w:jc w:val="left"/>
              <w:rPr>
                <w:color w:val="333333"/>
              </w:rPr>
            </w:pPr>
            <w:r>
              <w:rPr>
                <w:rFonts w:hint="eastAsia" w:ascii="宋体" w:hAnsi="宋体" w:eastAsia="宋体" w:cs="宋体"/>
                <w:color w:val="333333"/>
                <w:kern w:val="0"/>
                <w:sz w:val="20"/>
                <w:szCs w:val="20"/>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rPr>
                <w:rFonts w:ascii="宋体"/>
                <w:sz w:val="24"/>
              </w:rPr>
            </w:pPr>
            <w:r>
              <w:rPr>
                <w:rFonts w:hint="eastAsia" w:ascii="宋体"/>
                <w:sz w:val="24"/>
              </w:rPr>
              <w:t>0</w:t>
            </w:r>
          </w:p>
        </w:tc>
      </w:tr>
    </w:tbl>
    <w:p>
      <w:pPr>
        <w:widowControl/>
        <w:jc w:val="left"/>
      </w:pPr>
    </w:p>
    <w:p>
      <w:pPr>
        <w:pStyle w:val="4"/>
        <w:widowControl/>
        <w:shd w:val="clear" w:color="auto" w:fill="FFFFFF"/>
        <w:spacing w:beforeAutospacing="0" w:afterAutospacing="0" w:line="420" w:lineRule="atLeast"/>
        <w:ind w:firstLine="420"/>
        <w:jc w:val="both"/>
        <w:rPr>
          <w:rFonts w:ascii="宋体" w:hAnsi="宋体" w:eastAsia="宋体" w:cs="宋体"/>
          <w:color w:val="333333"/>
        </w:rPr>
      </w:pPr>
      <w:r>
        <w:rPr>
          <w:rFonts w:hint="eastAsia" w:ascii="宋体" w:hAnsi="宋体" w:eastAsia="宋体" w:cs="宋体"/>
          <w:b/>
          <w:bCs/>
          <w:color w:val="333333"/>
          <w:shd w:val="clear" w:color="auto" w:fill="FFFFFF"/>
        </w:rPr>
        <w:t>三、收到和处理政府信息公开申请情况</w:t>
      </w:r>
    </w:p>
    <w:p>
      <w:pPr>
        <w:pStyle w:val="4"/>
        <w:widowControl/>
        <w:shd w:val="clear" w:color="auto" w:fill="FFFFFF"/>
        <w:spacing w:beforeAutospacing="0" w:afterAutospacing="0" w:line="420" w:lineRule="atLeast"/>
        <w:ind w:firstLine="420"/>
        <w:jc w:val="both"/>
        <w:rPr>
          <w:rFonts w:ascii="宋体" w:hAnsi="宋体" w:eastAsia="宋体" w:cs="宋体"/>
          <w:color w:val="333333"/>
        </w:rPr>
      </w:pP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5"/>
        <w:gridCol w:w="941"/>
        <w:gridCol w:w="3199"/>
        <w:gridCol w:w="685"/>
        <w:gridCol w:w="693"/>
        <w:gridCol w:w="693"/>
        <w:gridCol w:w="693"/>
        <w:gridCol w:w="693"/>
        <w:gridCol w:w="693"/>
        <w:gridCol w:w="69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（本列数据的勾稽关系为：第一项加第二项之和，等于第三项加第四项之和）</w:t>
            </w:r>
          </w:p>
        </w:tc>
        <w:tc>
          <w:tcPr>
            <w:tcW w:w="4843"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楷体_GB2312" w:hAnsi="宋体" w:eastAsia="楷体_GB2312" w:cs="宋体"/>
                <w:kern w:val="0"/>
                <w:sz w:val="20"/>
                <w:szCs w:val="20"/>
              </w:rPr>
            </w:pPr>
          </w:p>
        </w:tc>
        <w:tc>
          <w:tcPr>
            <w:tcW w:w="685"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自然人</w:t>
            </w:r>
          </w:p>
        </w:tc>
        <w:tc>
          <w:tcPr>
            <w:tcW w:w="346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法人或其他组织</w:t>
            </w:r>
          </w:p>
        </w:tc>
        <w:tc>
          <w:tcPr>
            <w:tcW w:w="693" w:type="dxa"/>
            <w:vMerge w:val="restart"/>
            <w:tcBorders>
              <w:top w:val="single" w:color="auto" w:sz="8" w:space="0"/>
              <w:left w:val="nil"/>
              <w:bottom w:val="outset" w:color="auto" w:sz="8" w:space="0"/>
              <w:right w:val="single" w:color="auto" w:sz="8" w:space="0"/>
            </w:tcBorders>
            <w:shd w:val="clear" w:color="auto" w:fill="auto"/>
            <w:tcMar>
              <w:left w:w="108" w:type="dxa"/>
              <w:right w:w="108" w:type="dxa"/>
            </w:tcMar>
            <w:vAlign w:val="center"/>
          </w:tcPr>
          <w:p>
            <w:pPr>
              <w:widowControl/>
              <w:spacing w:line="320" w:lineRule="exact"/>
              <w:jc w:val="center"/>
              <w:rPr>
                <w:color w:val="333333"/>
              </w:rPr>
            </w:pPr>
            <w:r>
              <w:rPr>
                <w:rFonts w:hint="eastAsia" w:ascii="宋体" w:hAnsi="宋体" w:eastAsia="宋体" w:cs="宋体"/>
                <w:color w:val="333333"/>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楷体_GB2312" w:hAnsi="宋体" w:eastAsia="楷体_GB2312" w:cs="宋体"/>
                <w:kern w:val="0"/>
                <w:sz w:val="20"/>
                <w:szCs w:val="20"/>
              </w:rPr>
            </w:pPr>
          </w:p>
        </w:tc>
        <w:tc>
          <w:tcPr>
            <w:tcW w:w="685"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rFonts w:ascii="楷体_GB2312" w:hAnsi="宋体" w:eastAsia="楷体_GB2312" w:cs="宋体"/>
                <w:kern w:val="0"/>
                <w:sz w:val="20"/>
                <w:szCs w:val="20"/>
              </w:rPr>
            </w:pPr>
          </w:p>
        </w:tc>
        <w:tc>
          <w:tcPr>
            <w:tcW w:w="69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商业</w:t>
            </w:r>
          </w:p>
          <w:p>
            <w:pPr>
              <w:widowControl/>
              <w:spacing w:line="320" w:lineRule="exact"/>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企业</w:t>
            </w:r>
          </w:p>
        </w:tc>
        <w:tc>
          <w:tcPr>
            <w:tcW w:w="69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科研</w:t>
            </w:r>
          </w:p>
          <w:p>
            <w:pPr>
              <w:widowControl/>
              <w:spacing w:line="320" w:lineRule="exact"/>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机构</w:t>
            </w:r>
          </w:p>
        </w:tc>
        <w:tc>
          <w:tcPr>
            <w:tcW w:w="69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社会公益组织</w:t>
            </w:r>
          </w:p>
        </w:tc>
        <w:tc>
          <w:tcPr>
            <w:tcW w:w="69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法律服务机构</w:t>
            </w:r>
          </w:p>
        </w:tc>
        <w:tc>
          <w:tcPr>
            <w:tcW w:w="69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其他</w:t>
            </w:r>
          </w:p>
        </w:tc>
        <w:tc>
          <w:tcPr>
            <w:tcW w:w="693" w:type="dxa"/>
            <w:vMerge w:val="continue"/>
            <w:tcBorders>
              <w:top w:val="single" w:color="auto" w:sz="8" w:space="0"/>
              <w:left w:val="nil"/>
              <w:bottom w:val="outset" w:color="auto" w:sz="8" w:space="0"/>
              <w:right w:val="single" w:color="auto" w:sz="8" w:space="0"/>
            </w:tcBorders>
            <w:shd w:val="clear" w:color="auto" w:fill="auto"/>
            <w:tcMar>
              <w:left w:w="108" w:type="dxa"/>
              <w:right w:w="108" w:type="dxa"/>
            </w:tcMar>
            <w:vAlign w:val="center"/>
          </w:tcPr>
          <w:p>
            <w:pPr>
              <w:spacing w:line="320" w:lineRule="exact"/>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20" w:lineRule="exact"/>
              <w:jc w:val="left"/>
              <w:rPr>
                <w:color w:val="333333"/>
              </w:rPr>
            </w:pPr>
            <w:r>
              <w:rPr>
                <w:rFonts w:hint="eastAsia" w:ascii="宋体" w:hAnsi="宋体" w:eastAsia="宋体" w:cs="宋体"/>
                <w:color w:val="333333"/>
                <w:kern w:val="0"/>
                <w:sz w:val="20"/>
                <w:szCs w:val="20"/>
              </w:rPr>
              <w:t>一、本年新收政府信息公开申请数量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20" w:lineRule="exact"/>
              <w:jc w:val="left"/>
              <w:rPr>
                <w:color w:val="333333"/>
              </w:rPr>
            </w:pPr>
            <w:r>
              <w:rPr>
                <w:rFonts w:hint="eastAsia" w:ascii="宋体" w:hAnsi="宋体" w:eastAsia="宋体" w:cs="宋体"/>
                <w:color w:val="333333"/>
                <w:kern w:val="0"/>
                <w:sz w:val="20"/>
                <w:szCs w:val="20"/>
              </w:rPr>
              <w:t>二、上年结转政府信息公开申请数量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widowControl/>
              <w:spacing w:line="320" w:lineRule="exact"/>
              <w:jc w:val="left"/>
              <w:rPr>
                <w:color w:val="333333"/>
              </w:rPr>
            </w:pPr>
            <w:r>
              <w:rPr>
                <w:rFonts w:hint="eastAsia" w:ascii="宋体" w:hAnsi="宋体" w:eastAsia="宋体" w:cs="宋体"/>
                <w:color w:val="333333"/>
                <w:kern w:val="0"/>
                <w:sz w:val="20"/>
                <w:szCs w:val="20"/>
              </w:rPr>
              <w:t>三、本年度办理结果</w:t>
            </w:r>
          </w:p>
        </w:tc>
        <w:tc>
          <w:tcPr>
            <w:tcW w:w="414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left"/>
              <w:rPr>
                <w:color w:val="333333"/>
              </w:rPr>
            </w:pPr>
            <w:r>
              <w:rPr>
                <w:rFonts w:hint="eastAsia" w:ascii="宋体" w:hAnsi="宋体" w:eastAsia="宋体" w:cs="宋体"/>
                <w:color w:val="333333"/>
                <w:kern w:val="0"/>
                <w:sz w:val="20"/>
                <w:szCs w:val="20"/>
              </w:rPr>
              <w:t>（一）予以公开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rPr>
              <w:t>0</w:t>
            </w:r>
          </w:p>
        </w:tc>
        <w:tc>
          <w:tcPr>
            <w:tcW w:w="693" w:type="dxa"/>
            <w:tcBorders>
              <w:top w:val="single" w:color="auto" w:sz="8" w:space="0"/>
              <w:left w:val="nil"/>
              <w:bottom w:val="single" w:color="auto" w:sz="8" w:space="0"/>
              <w:right w:val="single" w:color="auto" w:sz="8" w:space="0"/>
            </w:tcBorders>
            <w:shd w:val="clear" w:color="auto" w:fill="auto"/>
            <w:tcMar>
              <w:left w:w="57" w:type="dxa"/>
              <w:right w:w="57" w:type="dxa"/>
            </w:tcMa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320" w:lineRule="exact"/>
              <w:rPr>
                <w:rFonts w:ascii="宋体"/>
                <w:sz w:val="24"/>
              </w:rPr>
            </w:pPr>
          </w:p>
        </w:tc>
        <w:tc>
          <w:tcPr>
            <w:tcW w:w="414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left"/>
              <w:rPr>
                <w:color w:val="333333"/>
              </w:rPr>
            </w:pPr>
            <w:r>
              <w:rPr>
                <w:rFonts w:hint="eastAsia" w:ascii="宋体" w:hAnsi="宋体" w:eastAsia="宋体" w:cs="宋体"/>
                <w:color w:val="333333"/>
                <w:kern w:val="0"/>
                <w:sz w:val="20"/>
                <w:szCs w:val="20"/>
              </w:rPr>
              <w:t>（二）部分公开</w:t>
            </w:r>
            <w:r>
              <w:rPr>
                <w:rFonts w:hint="eastAsia" w:ascii="楷体" w:hAnsi="楷体" w:eastAsia="楷体" w:cs="楷体"/>
                <w:color w:val="333333"/>
                <w:kern w:val="0"/>
                <w:sz w:val="20"/>
                <w:szCs w:val="20"/>
              </w:rPr>
              <w:t>（区分处理的，只计这一情形，不计其他情形）</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320" w:lineRule="exact"/>
              <w:rPr>
                <w:rFonts w:ascii="宋体"/>
                <w:sz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320" w:lineRule="exact"/>
              <w:jc w:val="left"/>
              <w:rPr>
                <w:color w:val="333333"/>
              </w:rPr>
            </w:pPr>
            <w:r>
              <w:rPr>
                <w:rFonts w:hint="eastAsia" w:ascii="宋体" w:hAnsi="宋体" w:eastAsia="宋体" w:cs="宋体"/>
                <w:color w:val="333333"/>
                <w:kern w:val="0"/>
                <w:sz w:val="20"/>
                <w:szCs w:val="20"/>
              </w:rPr>
              <w:t>（三）不予公开</w:t>
            </w: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spacing w:line="320" w:lineRule="exact"/>
              <w:jc w:val="left"/>
              <w:rPr>
                <w:color w:val="333333"/>
              </w:rPr>
            </w:pPr>
            <w:r>
              <w:rPr>
                <w:rFonts w:hint="eastAsia" w:ascii="宋体" w:hAnsi="宋体" w:eastAsia="宋体" w:cs="宋体"/>
                <w:color w:val="333333"/>
                <w:kern w:val="0"/>
                <w:sz w:val="20"/>
                <w:szCs w:val="20"/>
              </w:rPr>
              <w:t>1.属于国家秘密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rPr>
              <w:t>0</w:t>
            </w:r>
          </w:p>
        </w:tc>
        <w:tc>
          <w:tcPr>
            <w:tcW w:w="693" w:type="dxa"/>
            <w:tcBorders>
              <w:top w:val="single" w:color="auto" w:sz="8" w:space="0"/>
              <w:left w:val="nil"/>
              <w:bottom w:val="single" w:color="auto" w:sz="8" w:space="0"/>
              <w:right w:val="single" w:color="auto" w:sz="8" w:space="0"/>
            </w:tcBorders>
            <w:shd w:val="clear" w:color="auto" w:fill="auto"/>
            <w:tcMar>
              <w:left w:w="57" w:type="dxa"/>
              <w:right w:w="57" w:type="dxa"/>
            </w:tcMa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320" w:lineRule="exact"/>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320" w:lineRule="exact"/>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spacing w:line="320" w:lineRule="exact"/>
              <w:jc w:val="left"/>
              <w:rPr>
                <w:color w:val="333333"/>
              </w:rPr>
            </w:pPr>
            <w:r>
              <w:rPr>
                <w:rFonts w:hint="eastAsia" w:ascii="宋体" w:hAnsi="宋体" w:eastAsia="宋体" w:cs="宋体"/>
                <w:color w:val="333333"/>
                <w:kern w:val="0"/>
                <w:sz w:val="20"/>
                <w:szCs w:val="20"/>
              </w:rPr>
              <w:t>2.其他法律行政法规禁止公开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320" w:lineRule="exact"/>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320" w:lineRule="exact"/>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spacing w:line="320" w:lineRule="exact"/>
              <w:jc w:val="left"/>
              <w:rPr>
                <w:color w:val="333333"/>
              </w:rPr>
            </w:pPr>
            <w:r>
              <w:rPr>
                <w:rFonts w:hint="eastAsia" w:ascii="宋体" w:hAnsi="宋体" w:eastAsia="宋体" w:cs="宋体"/>
                <w:color w:val="333333"/>
                <w:kern w:val="0"/>
                <w:sz w:val="20"/>
                <w:szCs w:val="20"/>
              </w:rPr>
              <w:t>3.危及“三安全一稳定”</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320" w:lineRule="exact"/>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320" w:lineRule="exact"/>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spacing w:line="320" w:lineRule="exact"/>
              <w:jc w:val="left"/>
              <w:rPr>
                <w:color w:val="333333"/>
              </w:rPr>
            </w:pPr>
            <w:r>
              <w:rPr>
                <w:rFonts w:hint="eastAsia" w:ascii="宋体" w:hAnsi="宋体" w:eastAsia="宋体" w:cs="宋体"/>
                <w:color w:val="333333"/>
                <w:kern w:val="0"/>
                <w:sz w:val="20"/>
                <w:szCs w:val="20"/>
              </w:rPr>
              <w:t>4.保护第三方合法权益</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320" w:lineRule="exact"/>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320" w:lineRule="exact"/>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spacing w:line="320" w:lineRule="exact"/>
              <w:jc w:val="left"/>
              <w:rPr>
                <w:color w:val="333333"/>
              </w:rPr>
            </w:pPr>
            <w:r>
              <w:rPr>
                <w:rFonts w:hint="eastAsia" w:ascii="宋体" w:hAnsi="宋体" w:eastAsia="宋体" w:cs="宋体"/>
                <w:color w:val="333333"/>
                <w:kern w:val="0"/>
                <w:sz w:val="20"/>
                <w:szCs w:val="20"/>
              </w:rPr>
              <w:t>5.属于三类内部事务信息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320" w:lineRule="exact"/>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320" w:lineRule="exact"/>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spacing w:line="320" w:lineRule="exact"/>
              <w:jc w:val="left"/>
              <w:rPr>
                <w:color w:val="333333"/>
              </w:rPr>
            </w:pPr>
            <w:r>
              <w:rPr>
                <w:rFonts w:hint="eastAsia" w:ascii="宋体" w:hAnsi="宋体" w:eastAsia="宋体" w:cs="宋体"/>
                <w:color w:val="333333"/>
                <w:kern w:val="0"/>
                <w:sz w:val="20"/>
                <w:szCs w:val="20"/>
              </w:rPr>
              <w:t>6.属于四类过程性信息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320" w:lineRule="exact"/>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320" w:lineRule="exact"/>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spacing w:line="320" w:lineRule="exact"/>
              <w:jc w:val="left"/>
              <w:rPr>
                <w:color w:val="333333"/>
              </w:rPr>
            </w:pPr>
            <w:r>
              <w:rPr>
                <w:rFonts w:hint="eastAsia" w:ascii="宋体" w:hAnsi="宋体" w:eastAsia="宋体" w:cs="宋体"/>
                <w:color w:val="333333"/>
                <w:kern w:val="0"/>
                <w:sz w:val="20"/>
                <w:szCs w:val="20"/>
              </w:rPr>
              <w:t>7.属于行政执法案卷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320" w:lineRule="exact"/>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320" w:lineRule="exact"/>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spacing w:line="320" w:lineRule="exact"/>
              <w:jc w:val="left"/>
              <w:rPr>
                <w:color w:val="333333"/>
              </w:rPr>
            </w:pPr>
            <w:r>
              <w:rPr>
                <w:rFonts w:hint="eastAsia" w:ascii="宋体" w:hAnsi="宋体" w:eastAsia="宋体" w:cs="宋体"/>
                <w:color w:val="333333"/>
                <w:kern w:val="0"/>
                <w:sz w:val="20"/>
                <w:szCs w:val="20"/>
              </w:rPr>
              <w:t>8.属于行政查询事项</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320" w:lineRule="exact"/>
              <w:rPr>
                <w:rFonts w:ascii="宋体"/>
                <w:sz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320" w:lineRule="exact"/>
              <w:jc w:val="left"/>
              <w:rPr>
                <w:color w:val="333333"/>
              </w:rPr>
            </w:pPr>
            <w:r>
              <w:rPr>
                <w:rFonts w:hint="eastAsia" w:ascii="宋体" w:hAnsi="宋体" w:eastAsia="宋体" w:cs="宋体"/>
                <w:color w:val="333333"/>
                <w:kern w:val="0"/>
                <w:sz w:val="20"/>
                <w:szCs w:val="20"/>
              </w:rPr>
              <w:t>（四）无法提供</w:t>
            </w: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spacing w:line="320" w:lineRule="exact"/>
              <w:jc w:val="left"/>
              <w:rPr>
                <w:color w:val="333333"/>
              </w:rPr>
            </w:pPr>
            <w:r>
              <w:rPr>
                <w:rFonts w:hint="eastAsia" w:ascii="宋体" w:hAnsi="宋体" w:eastAsia="宋体" w:cs="宋体"/>
                <w:color w:val="333333"/>
                <w:kern w:val="0"/>
                <w:sz w:val="20"/>
                <w:szCs w:val="20"/>
              </w:rPr>
              <w:t>1.本机关不掌握相关政府信息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320" w:lineRule="exact"/>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320" w:lineRule="exact"/>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spacing w:line="320" w:lineRule="exact"/>
              <w:jc w:val="left"/>
              <w:rPr>
                <w:color w:val="333333"/>
              </w:rPr>
            </w:pPr>
            <w:r>
              <w:rPr>
                <w:rFonts w:hint="eastAsia" w:ascii="宋体" w:hAnsi="宋体" w:eastAsia="宋体" w:cs="宋体"/>
                <w:color w:val="333333"/>
                <w:kern w:val="0"/>
                <w:sz w:val="20"/>
                <w:szCs w:val="20"/>
              </w:rPr>
              <w:t>2.没有现成信息需要另行制作</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320" w:lineRule="exact"/>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320" w:lineRule="exact"/>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spacing w:line="320" w:lineRule="exact"/>
              <w:jc w:val="left"/>
              <w:rPr>
                <w:color w:val="333333"/>
              </w:rPr>
            </w:pPr>
            <w:r>
              <w:rPr>
                <w:rFonts w:hint="eastAsia" w:ascii="宋体" w:hAnsi="宋体" w:eastAsia="宋体" w:cs="宋体"/>
                <w:color w:val="333333"/>
                <w:kern w:val="0"/>
                <w:sz w:val="20"/>
                <w:szCs w:val="20"/>
              </w:rPr>
              <w:t>3.补正后申请内容仍不明确</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320" w:lineRule="exact"/>
              <w:rPr>
                <w:rFonts w:ascii="宋体"/>
                <w:sz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320" w:lineRule="exact"/>
              <w:jc w:val="left"/>
              <w:rPr>
                <w:color w:val="333333"/>
              </w:rPr>
            </w:pPr>
            <w:r>
              <w:rPr>
                <w:rFonts w:hint="eastAsia" w:ascii="宋体" w:hAnsi="宋体" w:eastAsia="宋体" w:cs="宋体"/>
                <w:color w:val="333333"/>
                <w:kern w:val="0"/>
                <w:sz w:val="20"/>
                <w:szCs w:val="20"/>
              </w:rPr>
              <w:t>（五）不予处理</w:t>
            </w: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spacing w:line="320" w:lineRule="exact"/>
              <w:jc w:val="left"/>
              <w:rPr>
                <w:color w:val="333333"/>
              </w:rPr>
            </w:pPr>
            <w:r>
              <w:rPr>
                <w:rFonts w:hint="eastAsia" w:ascii="宋体" w:hAnsi="宋体" w:eastAsia="宋体" w:cs="宋体"/>
                <w:color w:val="333333"/>
                <w:kern w:val="0"/>
                <w:sz w:val="20"/>
                <w:szCs w:val="20"/>
              </w:rPr>
              <w:t>1.信访举报投诉类申请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320" w:lineRule="exact"/>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320" w:lineRule="exact"/>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spacing w:line="320" w:lineRule="exact"/>
              <w:jc w:val="left"/>
              <w:rPr>
                <w:color w:val="333333"/>
              </w:rPr>
            </w:pPr>
            <w:r>
              <w:rPr>
                <w:rFonts w:hint="eastAsia" w:ascii="宋体" w:hAnsi="宋体" w:eastAsia="宋体" w:cs="宋体"/>
                <w:color w:val="333333"/>
                <w:kern w:val="0"/>
                <w:sz w:val="20"/>
                <w:szCs w:val="20"/>
              </w:rPr>
              <w:t>2.重复申请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320" w:lineRule="exact"/>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320" w:lineRule="exact"/>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spacing w:line="320" w:lineRule="exact"/>
              <w:jc w:val="left"/>
              <w:rPr>
                <w:color w:val="333333"/>
              </w:rPr>
            </w:pPr>
            <w:r>
              <w:rPr>
                <w:rFonts w:hint="eastAsia" w:ascii="宋体" w:hAnsi="宋体" w:eastAsia="宋体" w:cs="宋体"/>
                <w:color w:val="333333"/>
                <w:kern w:val="0"/>
                <w:sz w:val="20"/>
                <w:szCs w:val="20"/>
              </w:rPr>
              <w:t>3.要求提供公开出版物</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320" w:lineRule="exact"/>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320" w:lineRule="exact"/>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spacing w:line="320" w:lineRule="exact"/>
              <w:jc w:val="left"/>
              <w:rPr>
                <w:color w:val="333333"/>
              </w:rPr>
            </w:pPr>
            <w:r>
              <w:rPr>
                <w:rFonts w:hint="eastAsia" w:ascii="宋体" w:hAnsi="宋体" w:eastAsia="宋体" w:cs="宋体"/>
                <w:color w:val="333333"/>
                <w:kern w:val="0"/>
                <w:sz w:val="20"/>
                <w:szCs w:val="20"/>
              </w:rPr>
              <w:t>4.无正当理由大量反复申请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320" w:lineRule="exact"/>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320" w:lineRule="exact"/>
              <w:rPr>
                <w:rFonts w:ascii="宋体"/>
                <w:sz w:val="24"/>
              </w:rPr>
            </w:pPr>
          </w:p>
        </w:tc>
        <w:tc>
          <w:tcPr>
            <w:tcW w:w="3199"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320" w:lineRule="exact"/>
              <w:rPr>
                <w:color w:val="333333"/>
              </w:rPr>
            </w:pPr>
            <w:r>
              <w:rPr>
                <w:rFonts w:hint="eastAsia" w:ascii="宋体" w:hAnsi="宋体" w:eastAsia="宋体" w:cs="宋体"/>
                <w:color w:val="333333"/>
                <w:kern w:val="0"/>
                <w:sz w:val="20"/>
                <w:szCs w:val="20"/>
              </w:rPr>
              <w:t>5.要求行政机关确认或重新出具已获取信息</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rPr>
              <w:t>0</w:t>
            </w:r>
          </w:p>
        </w:tc>
        <w:tc>
          <w:tcPr>
            <w:tcW w:w="693"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rPr>
              <w:t>0</w:t>
            </w:r>
          </w:p>
        </w:tc>
        <w:tc>
          <w:tcPr>
            <w:tcW w:w="693" w:type="dxa"/>
            <w:tcBorders>
              <w:top w:val="nil"/>
              <w:left w:val="nil"/>
              <w:bottom w:val="outset" w:color="auto" w:sz="8" w:space="0"/>
              <w:right w:val="single" w:color="auto" w:sz="8" w:space="0"/>
            </w:tcBorders>
            <w:shd w:val="clear" w:color="auto" w:fill="auto"/>
            <w:tcMar>
              <w:left w:w="57" w:type="dxa"/>
              <w:right w:w="57" w:type="dxa"/>
            </w:tcMa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320" w:lineRule="exact"/>
              <w:rPr>
                <w:rFonts w:ascii="宋体"/>
                <w:sz w:val="24"/>
              </w:rPr>
            </w:pPr>
          </w:p>
        </w:tc>
        <w:tc>
          <w:tcPr>
            <w:tcW w:w="941"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widowControl/>
              <w:spacing w:line="320" w:lineRule="exact"/>
              <w:jc w:val="left"/>
              <w:rPr>
                <w:color w:val="333333"/>
              </w:rPr>
            </w:pPr>
            <w:r>
              <w:rPr>
                <w:rFonts w:hint="eastAsia" w:ascii="宋体" w:hAnsi="宋体" w:eastAsia="宋体" w:cs="宋体"/>
                <w:color w:val="333333"/>
                <w:kern w:val="0"/>
                <w:sz w:val="20"/>
                <w:szCs w:val="20"/>
              </w:rPr>
              <w:t>（六）其他处理</w:t>
            </w:r>
          </w:p>
        </w:tc>
        <w:tc>
          <w:tcPr>
            <w:tcW w:w="319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rPr>
                <w:color w:val="333333"/>
              </w:rPr>
            </w:pPr>
            <w:r>
              <w:rPr>
                <w:rFonts w:hint="eastAsia" w:ascii="宋体" w:hAnsi="宋体" w:eastAsia="宋体" w:cs="宋体"/>
                <w:color w:val="333333"/>
                <w:kern w:val="0"/>
                <w:sz w:val="20"/>
                <w:szCs w:val="20"/>
              </w:rPr>
              <w:t>1.申请人无正当理由逾期不补正、行政机关不再处理其政府信息公开申请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320" w:lineRule="exact"/>
              <w:rPr>
                <w:rFonts w:ascii="宋体"/>
                <w:sz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spacing w:line="320" w:lineRule="exact"/>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rPr>
                <w:color w:val="333333"/>
              </w:rPr>
            </w:pPr>
            <w:r>
              <w:rPr>
                <w:rFonts w:hint="eastAsia" w:ascii="宋体" w:hAnsi="宋体" w:eastAsia="宋体" w:cs="宋体"/>
                <w:color w:val="333333"/>
                <w:kern w:val="0"/>
                <w:sz w:val="20"/>
                <w:szCs w:val="20"/>
              </w:rPr>
              <w:t>2.申请人逾期未按收费通知要求缴纳费用、行政机关不再处理其政府信息公开申请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320" w:lineRule="exact"/>
              <w:rPr>
                <w:rFonts w:ascii="宋体"/>
                <w:sz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spacing w:line="320" w:lineRule="exact"/>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left"/>
              <w:rPr>
                <w:color w:val="333333"/>
              </w:rPr>
            </w:pPr>
            <w:r>
              <w:rPr>
                <w:rFonts w:hint="eastAsia" w:ascii="宋体" w:hAnsi="宋体" w:eastAsia="宋体" w:cs="宋体"/>
                <w:color w:val="333333"/>
                <w:kern w:val="0"/>
                <w:sz w:val="20"/>
                <w:szCs w:val="20"/>
              </w:rPr>
              <w:t>3.其他</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320" w:lineRule="exact"/>
              <w:rPr>
                <w:rFonts w:ascii="宋体"/>
                <w:sz w:val="24"/>
              </w:rPr>
            </w:pPr>
          </w:p>
        </w:tc>
        <w:tc>
          <w:tcPr>
            <w:tcW w:w="414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left"/>
              <w:rPr>
                <w:color w:val="333333"/>
              </w:rPr>
            </w:pPr>
            <w:r>
              <w:rPr>
                <w:rFonts w:hint="eastAsia" w:ascii="宋体" w:hAnsi="宋体" w:eastAsia="宋体" w:cs="宋体"/>
                <w:color w:val="333333"/>
                <w:kern w:val="0"/>
                <w:sz w:val="20"/>
                <w:szCs w:val="20"/>
              </w:rPr>
              <w:t>（七）总计</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20" w:lineRule="exact"/>
              <w:jc w:val="left"/>
              <w:rPr>
                <w:color w:val="333333"/>
              </w:rPr>
            </w:pPr>
            <w:r>
              <w:rPr>
                <w:rFonts w:hint="eastAsia" w:ascii="宋体" w:hAnsi="宋体" w:eastAsia="宋体" w:cs="宋体"/>
                <w:color w:val="333333"/>
                <w:kern w:val="0"/>
                <w:sz w:val="20"/>
                <w:szCs w:val="20"/>
              </w:rPr>
              <w:t>四、结转下年度继续办理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20" w:lineRule="exac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spacing w:line="320" w:lineRule="exact"/>
              <w:jc w:val="center"/>
              <w:rPr>
                <w:color w:val="333333"/>
              </w:rPr>
            </w:pPr>
            <w:r>
              <w:rPr>
                <w:rFonts w:hint="eastAsia" w:ascii="Calibri" w:hAnsi="Calibri" w:cs="Calibri"/>
                <w:color w:val="333333"/>
                <w:kern w:val="0"/>
                <w:sz w:val="20"/>
                <w:szCs w:val="20"/>
              </w:rPr>
              <w:t>0</w:t>
            </w:r>
            <w:r>
              <w:rPr>
                <w:rFonts w:ascii="Calibri" w:hAnsi="Calibri" w:cs="Calibri"/>
                <w:color w:val="333333"/>
                <w:kern w:val="0"/>
                <w:sz w:val="20"/>
                <w:szCs w:val="20"/>
              </w:rPr>
              <w:t> </w:t>
            </w:r>
          </w:p>
        </w:tc>
      </w:tr>
    </w:tbl>
    <w:p>
      <w:pPr>
        <w:widowControl/>
        <w:shd w:val="clear" w:color="auto" w:fill="FFFFFF"/>
        <w:jc w:val="center"/>
        <w:rPr>
          <w:rFonts w:ascii="宋体" w:hAnsi="宋体" w:eastAsia="宋体" w:cs="宋体"/>
          <w:color w:val="333333"/>
          <w:sz w:val="24"/>
        </w:rPr>
      </w:pPr>
    </w:p>
    <w:p>
      <w:pPr>
        <w:pStyle w:val="4"/>
        <w:widowControl/>
        <w:shd w:val="clear" w:color="auto" w:fill="FFFFFF"/>
        <w:spacing w:beforeAutospacing="0" w:afterAutospacing="0" w:line="420" w:lineRule="atLeast"/>
        <w:ind w:firstLine="420"/>
        <w:jc w:val="both"/>
        <w:rPr>
          <w:rFonts w:ascii="宋体" w:hAnsi="宋体" w:eastAsia="宋体" w:cs="宋体"/>
          <w:color w:val="333333"/>
        </w:rPr>
      </w:pPr>
      <w:r>
        <w:rPr>
          <w:rFonts w:hint="eastAsia" w:ascii="宋体" w:hAnsi="宋体" w:eastAsia="宋体" w:cs="宋体"/>
          <w:b/>
          <w:bCs/>
          <w:color w:val="333333"/>
          <w:shd w:val="clear" w:color="auto" w:fill="FFFFFF"/>
        </w:rPr>
        <w:t>四、政府信息公开行政复议、行政诉讼情况</w:t>
      </w:r>
    </w:p>
    <w:p>
      <w:pPr>
        <w:widowControl/>
        <w:shd w:val="clear" w:color="auto" w:fill="FFFFFF"/>
        <w:jc w:val="center"/>
        <w:rPr>
          <w:rFonts w:ascii="宋体" w:hAnsi="宋体" w:eastAsia="宋体" w:cs="宋体"/>
          <w:color w:val="333333"/>
          <w:sz w:val="24"/>
        </w:rPr>
      </w:pP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5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20" w:lineRule="atLeast"/>
              <w:jc w:val="center"/>
              <w:rPr>
                <w:color w:val="333333"/>
              </w:rPr>
            </w:pPr>
            <w:r>
              <w:rPr>
                <w:rFonts w:hint="eastAsia" w:ascii="宋体" w:hAnsi="宋体" w:eastAsia="宋体" w:cs="宋体"/>
                <w:color w:val="333333"/>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20" w:lineRule="atLeast"/>
              <w:jc w:val="center"/>
              <w:rPr>
                <w:color w:val="333333"/>
              </w:rPr>
            </w:pPr>
            <w:r>
              <w:rPr>
                <w:rFonts w:hint="eastAsia" w:ascii="宋体" w:hAnsi="宋体" w:eastAsia="宋体" w:cs="宋体"/>
                <w:color w:val="333333"/>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20" w:lineRule="atLeast"/>
              <w:jc w:val="center"/>
              <w:rPr>
                <w:color w:val="333333"/>
              </w:rPr>
            </w:pPr>
            <w:r>
              <w:rPr>
                <w:rFonts w:hint="eastAsia" w:ascii="宋体" w:hAnsi="宋体" w:eastAsia="宋体" w:cs="宋体"/>
                <w:color w:val="333333"/>
                <w:kern w:val="0"/>
                <w:sz w:val="20"/>
                <w:szCs w:val="20"/>
              </w:rPr>
              <w:t>结果维持</w:t>
            </w:r>
          </w:p>
        </w:tc>
        <w:tc>
          <w:tcPr>
            <w:tcW w:w="65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20" w:lineRule="atLeast"/>
              <w:jc w:val="center"/>
              <w:rPr>
                <w:color w:val="333333"/>
              </w:rPr>
            </w:pPr>
            <w:r>
              <w:rPr>
                <w:rFonts w:hint="eastAsia" w:ascii="宋体" w:hAnsi="宋体" w:eastAsia="宋体" w:cs="宋体"/>
                <w:color w:val="333333"/>
                <w:kern w:val="0"/>
                <w:sz w:val="20"/>
                <w:szCs w:val="20"/>
              </w:rPr>
              <w:t>结果</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纠正</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20" w:lineRule="atLeast"/>
              <w:jc w:val="center"/>
              <w:rPr>
                <w:color w:val="333333"/>
              </w:rPr>
            </w:pPr>
            <w:r>
              <w:rPr>
                <w:rFonts w:hint="eastAsia" w:ascii="宋体" w:hAnsi="宋体" w:eastAsia="宋体" w:cs="宋体"/>
                <w:color w:val="333333"/>
                <w:kern w:val="0"/>
                <w:sz w:val="20"/>
                <w:szCs w:val="20"/>
              </w:rPr>
              <w:t>其他</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结果</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20" w:lineRule="atLeast"/>
              <w:jc w:val="center"/>
              <w:rPr>
                <w:color w:val="333333"/>
              </w:rPr>
            </w:pPr>
            <w:r>
              <w:rPr>
                <w:rFonts w:hint="eastAsia" w:ascii="宋体" w:hAnsi="宋体" w:eastAsia="宋体" w:cs="宋体"/>
                <w:color w:val="333333"/>
                <w:kern w:val="0"/>
                <w:sz w:val="20"/>
                <w:szCs w:val="20"/>
              </w:rPr>
              <w:t>尚未</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审结</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20" w:lineRule="atLeast"/>
              <w:jc w:val="center"/>
              <w:rPr>
                <w:color w:val="333333"/>
              </w:rPr>
            </w:pPr>
            <w:r>
              <w:rPr>
                <w:rFonts w:hint="eastAsia" w:ascii="宋体" w:hAnsi="宋体" w:eastAsia="宋体" w:cs="宋体"/>
                <w:color w:val="333333"/>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20" w:lineRule="atLeast"/>
              <w:jc w:val="center"/>
              <w:rPr>
                <w:color w:val="333333"/>
              </w:rPr>
            </w:pPr>
            <w:r>
              <w:rPr>
                <w:rFonts w:hint="eastAsia" w:ascii="宋体" w:hAnsi="宋体" w:eastAsia="宋体" w:cs="宋体"/>
                <w:color w:val="333333"/>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20" w:lineRule="atLeast"/>
              <w:jc w:val="center"/>
              <w:rPr>
                <w:color w:val="333333"/>
              </w:rPr>
            </w:pPr>
            <w:r>
              <w:rPr>
                <w:rFonts w:hint="eastAsia" w:ascii="宋体" w:hAnsi="宋体" w:eastAsia="宋体" w:cs="宋体"/>
                <w:color w:val="333333"/>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5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5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5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5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20" w:lineRule="atLeast"/>
              <w:jc w:val="center"/>
              <w:rPr>
                <w:color w:val="333333"/>
              </w:rPr>
            </w:pPr>
            <w:r>
              <w:rPr>
                <w:rFonts w:hint="eastAsia" w:ascii="宋体" w:hAnsi="宋体" w:eastAsia="宋体" w:cs="宋体"/>
                <w:color w:val="333333"/>
                <w:kern w:val="0"/>
                <w:sz w:val="20"/>
                <w:szCs w:val="20"/>
              </w:rPr>
              <w:t>结果</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20" w:lineRule="atLeast"/>
              <w:jc w:val="center"/>
              <w:rPr>
                <w:color w:val="333333"/>
              </w:rPr>
            </w:pPr>
            <w:r>
              <w:rPr>
                <w:rFonts w:hint="eastAsia" w:ascii="宋体" w:hAnsi="宋体" w:eastAsia="宋体" w:cs="宋体"/>
                <w:color w:val="333333"/>
                <w:kern w:val="0"/>
                <w:sz w:val="20"/>
                <w:szCs w:val="20"/>
              </w:rPr>
              <w:t>结果</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20" w:lineRule="atLeast"/>
              <w:jc w:val="center"/>
              <w:rPr>
                <w:color w:val="333333"/>
              </w:rPr>
            </w:pPr>
            <w:r>
              <w:rPr>
                <w:rFonts w:hint="eastAsia" w:ascii="宋体" w:hAnsi="宋体" w:eastAsia="宋体" w:cs="宋体"/>
                <w:color w:val="333333"/>
                <w:kern w:val="0"/>
                <w:sz w:val="20"/>
                <w:szCs w:val="20"/>
              </w:rPr>
              <w:t>其他</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20" w:lineRule="atLeast"/>
              <w:jc w:val="center"/>
              <w:rPr>
                <w:color w:val="333333"/>
              </w:rPr>
            </w:pPr>
            <w:r>
              <w:rPr>
                <w:rFonts w:hint="eastAsia" w:ascii="宋体" w:hAnsi="宋体" w:eastAsia="宋体" w:cs="宋体"/>
                <w:color w:val="333333"/>
                <w:kern w:val="0"/>
                <w:sz w:val="20"/>
                <w:szCs w:val="20"/>
              </w:rPr>
              <w:t>尚未</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20" w:lineRule="atLeast"/>
              <w:jc w:val="center"/>
              <w:rPr>
                <w:color w:val="333333"/>
              </w:rPr>
            </w:pPr>
            <w:r>
              <w:rPr>
                <w:rFonts w:hint="eastAsia" w:ascii="宋体" w:hAnsi="宋体" w:eastAsia="宋体" w:cs="宋体"/>
                <w:color w:val="333333"/>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20" w:lineRule="atLeast"/>
              <w:jc w:val="center"/>
              <w:rPr>
                <w:color w:val="333333"/>
              </w:rPr>
            </w:pPr>
            <w:r>
              <w:rPr>
                <w:rFonts w:hint="eastAsia" w:ascii="宋体" w:hAnsi="宋体" w:eastAsia="宋体" w:cs="宋体"/>
                <w:color w:val="333333"/>
                <w:kern w:val="0"/>
                <w:sz w:val="20"/>
                <w:szCs w:val="20"/>
              </w:rPr>
              <w:t>结果</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20" w:lineRule="atLeast"/>
              <w:jc w:val="center"/>
              <w:rPr>
                <w:color w:val="333333"/>
              </w:rPr>
            </w:pPr>
            <w:r>
              <w:rPr>
                <w:rFonts w:hint="eastAsia" w:ascii="宋体" w:hAnsi="宋体" w:eastAsia="宋体" w:cs="宋体"/>
                <w:color w:val="333333"/>
                <w:kern w:val="0"/>
                <w:sz w:val="20"/>
                <w:szCs w:val="20"/>
              </w:rPr>
              <w:t>结果</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20" w:lineRule="atLeast"/>
              <w:jc w:val="center"/>
              <w:rPr>
                <w:color w:val="333333"/>
              </w:rPr>
            </w:pPr>
            <w:r>
              <w:rPr>
                <w:rFonts w:hint="eastAsia" w:ascii="宋体" w:hAnsi="宋体" w:eastAsia="宋体" w:cs="宋体"/>
                <w:color w:val="333333"/>
                <w:kern w:val="0"/>
                <w:sz w:val="20"/>
                <w:szCs w:val="20"/>
              </w:rPr>
              <w:t>其他</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20" w:lineRule="atLeast"/>
              <w:jc w:val="center"/>
              <w:rPr>
                <w:color w:val="333333"/>
              </w:rPr>
            </w:pPr>
            <w:r>
              <w:rPr>
                <w:rFonts w:hint="eastAsia" w:ascii="宋体" w:hAnsi="宋体" w:eastAsia="宋体" w:cs="宋体"/>
                <w:color w:val="333333"/>
                <w:kern w:val="0"/>
                <w:sz w:val="20"/>
                <w:szCs w:val="20"/>
              </w:rPr>
              <w:t>尚未</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20" w:lineRule="atLeast"/>
              <w:jc w:val="center"/>
              <w:rPr>
                <w:color w:val="333333"/>
              </w:rPr>
            </w:pPr>
            <w:r>
              <w:rPr>
                <w:rFonts w:hint="eastAsia" w:ascii="宋体" w:hAnsi="宋体" w:eastAsia="宋体" w:cs="宋体"/>
                <w:color w:val="333333"/>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5" w:hRule="atLeast"/>
          <w:jc w:val="center"/>
        </w:trPr>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tcPr>
          <w:p>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tcPr>
          <w:p>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tcPr>
          <w:p>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tcPr>
          <w:p>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tcPr>
          <w:p>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tcPr>
          <w:p>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tcPr>
          <w:p>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tcPr>
          <w:p>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tcPr>
          <w:p>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tcPr>
          <w:p>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tcPr>
          <w:p>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tcPr>
          <w:p>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tcPr>
          <w:p>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tcPr>
          <w:p>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tcPr>
          <w:p>
            <w:r>
              <w:rPr>
                <w:rFonts w:hint="eastAsia" w:ascii="Calibri" w:hAnsi="Calibri" w:eastAsia="宋体" w:cs="Calibri"/>
                <w:kern w:val="0"/>
                <w:sz w:val="20"/>
                <w:szCs w:val="20"/>
              </w:rPr>
              <w:t>0</w:t>
            </w:r>
            <w:r>
              <w:rPr>
                <w:rFonts w:ascii="Calibri" w:hAnsi="Calibri" w:eastAsia="宋体" w:cs="Calibri"/>
                <w:kern w:val="0"/>
                <w:sz w:val="20"/>
                <w:szCs w:val="20"/>
              </w:rPr>
              <w:t> </w:t>
            </w:r>
          </w:p>
        </w:tc>
      </w:tr>
    </w:tbl>
    <w:p>
      <w:pPr>
        <w:widowControl/>
        <w:jc w:val="left"/>
      </w:pPr>
    </w:p>
    <w:p>
      <w:pPr>
        <w:pStyle w:val="4"/>
        <w:widowControl/>
        <w:shd w:val="clear" w:color="auto" w:fill="FFFFFF"/>
        <w:spacing w:beforeAutospacing="0" w:afterAutospacing="0" w:line="480" w:lineRule="exact"/>
        <w:ind w:firstLine="420"/>
        <w:jc w:val="both"/>
        <w:rPr>
          <w:rFonts w:ascii="宋体" w:hAnsi="宋体" w:eastAsia="宋体" w:cs="宋体"/>
          <w:b/>
          <w:bCs/>
          <w:color w:val="333333"/>
          <w:shd w:val="clear" w:color="auto" w:fill="FFFFFF"/>
        </w:rPr>
      </w:pPr>
    </w:p>
    <w:p>
      <w:pPr>
        <w:pStyle w:val="4"/>
        <w:widowControl/>
        <w:shd w:val="clear" w:color="auto" w:fill="FFFFFF"/>
        <w:spacing w:beforeAutospacing="0" w:afterAutospacing="0" w:line="480" w:lineRule="exact"/>
        <w:ind w:firstLine="420"/>
        <w:jc w:val="both"/>
        <w:rPr>
          <w:rFonts w:ascii="宋体" w:hAnsi="宋体" w:eastAsia="宋体" w:cs="宋体"/>
          <w:color w:val="333333"/>
        </w:rPr>
      </w:pPr>
      <w:r>
        <w:rPr>
          <w:rFonts w:hint="eastAsia" w:ascii="宋体" w:hAnsi="宋体" w:eastAsia="宋体" w:cs="宋体"/>
          <w:b/>
          <w:bCs/>
          <w:color w:val="333333"/>
          <w:shd w:val="clear" w:color="auto" w:fill="FFFFFF"/>
        </w:rPr>
        <w:t>五、存在的主要问题及改进情况</w:t>
      </w:r>
    </w:p>
    <w:p>
      <w:pPr>
        <w:widowControl/>
        <w:spacing w:line="480" w:lineRule="exact"/>
        <w:ind w:firstLine="480" w:firstLineChars="200"/>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存在的问题主要表现在个别同志对政府信息公开工作重视不足。对此，我局采取了以下三项措施加以改进：</w:t>
      </w:r>
    </w:p>
    <w:p>
      <w:pPr>
        <w:widowControl/>
        <w:spacing w:line="480" w:lineRule="exact"/>
        <w:ind w:firstLine="480" w:firstLineChars="200"/>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一是加强组织领导，建立了政府信息公开工作领导小组，由办公室具体负责我局政府信息公开日常事务，明确有关部门协作配合的工作职责，并由专人负责具体工作，实现了政府信息发布、更新、咨询等工作一体化，确保了政府信息公开工作落到实处。</w:t>
      </w:r>
    </w:p>
    <w:p>
      <w:pPr>
        <w:widowControl/>
        <w:spacing w:line="480" w:lineRule="exact"/>
        <w:ind w:firstLine="480" w:firstLineChars="200"/>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二是建立健全政府信息公开工作机制。建立政府信息主动公开和依申请公开机制。对我局信息进行全面梳理，确定主动公开政府信息的具体内容。建立政府信息公开申请受理机制，依法及时提供特定公民、法人或其他社会组织申请公开的政府信息。</w:t>
      </w:r>
    </w:p>
    <w:p>
      <w:pPr>
        <w:pStyle w:val="4"/>
        <w:widowControl/>
        <w:shd w:val="clear" w:color="auto" w:fill="FFFFFF"/>
        <w:spacing w:beforeAutospacing="0" w:afterAutospacing="0" w:line="480" w:lineRule="exact"/>
        <w:ind w:firstLine="420"/>
        <w:jc w:val="both"/>
        <w:rPr>
          <w:rFonts w:ascii="宋体" w:hAnsi="宋体" w:eastAsia="宋体" w:cs="宋体"/>
          <w:color w:val="333333"/>
        </w:rPr>
      </w:pPr>
    </w:p>
    <w:p>
      <w:pPr>
        <w:pStyle w:val="4"/>
        <w:widowControl/>
        <w:shd w:val="clear" w:color="auto" w:fill="FFFFFF"/>
        <w:spacing w:beforeAutospacing="0" w:afterAutospacing="0" w:line="480" w:lineRule="exact"/>
        <w:ind w:firstLine="420"/>
        <w:jc w:val="both"/>
        <w:rPr>
          <w:rFonts w:ascii="宋体" w:hAnsi="宋体" w:eastAsia="宋体" w:cs="宋体"/>
          <w:color w:val="333333"/>
          <w:kern w:val="2"/>
          <w:shd w:val="clear" w:color="auto" w:fill="FFFFFF"/>
        </w:rPr>
      </w:pPr>
      <w:r>
        <w:rPr>
          <w:rFonts w:hint="eastAsia" w:ascii="宋体" w:hAnsi="宋体" w:eastAsia="宋体" w:cs="宋体"/>
          <w:b/>
          <w:bCs/>
          <w:color w:val="333333"/>
          <w:shd w:val="clear" w:color="auto" w:fill="FFFFFF"/>
        </w:rPr>
        <w:t>六、其他需要报告的事项</w:t>
      </w:r>
    </w:p>
    <w:p>
      <w:pPr>
        <w:widowControl/>
        <w:spacing w:line="480" w:lineRule="exact"/>
        <w:ind w:firstLine="480" w:firstLineChars="200"/>
        <w:jc w:val="left"/>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1、继续做好信息收集、整理、发布工作，逐步完善和丰富工信局网站各项栏目的内容；继续收集和发布国家新出台的涉及工业经济发展的产业政策法规等有关文件。</w:t>
      </w:r>
    </w:p>
    <w:p>
      <w:pPr>
        <w:widowControl/>
        <w:shd w:val="clear" w:color="auto" w:fill="FFFFFF"/>
        <w:spacing w:line="480" w:lineRule="exact"/>
        <w:ind w:firstLine="480" w:firstLineChars="200"/>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2、按照《政府信息公开条例》的具体要求，一如既往的做好我局政务信息公开工作。并依托我局政务公开网站和门户网站，认真研究各自发挥的不同功能，充分发挥互联网这一新媒体的灵活性、快捷性、直观性，将工业和信息化工作做好。</w:t>
      </w:r>
    </w:p>
    <w:p>
      <w:pPr>
        <w:widowControl/>
        <w:shd w:val="clear" w:color="auto" w:fill="FFFFFF"/>
        <w:spacing w:line="480" w:lineRule="exact"/>
        <w:ind w:firstLine="480" w:firstLineChars="200"/>
        <w:rPr>
          <w:rFonts w:ascii="宋体" w:hAnsi="宋体" w:eastAsia="宋体" w:cs="宋体"/>
          <w:color w:val="333333"/>
          <w:sz w:val="24"/>
          <w:shd w:val="clear" w:color="auto" w:fill="FFFFFF"/>
        </w:rPr>
      </w:pPr>
    </w:p>
    <w:p>
      <w:pPr>
        <w:widowControl/>
        <w:shd w:val="clear" w:color="auto" w:fill="FFFFFF"/>
        <w:spacing w:line="480" w:lineRule="exact"/>
        <w:ind w:firstLine="480" w:firstLineChars="200"/>
        <w:jc w:val="right"/>
        <w:rPr>
          <w:rFonts w:ascii="宋体" w:hAnsi="宋体" w:eastAsia="宋体" w:cs="宋体"/>
          <w:color w:val="333333"/>
          <w:sz w:val="24"/>
          <w:shd w:val="clear" w:color="auto" w:fill="FFFFFF"/>
        </w:rPr>
      </w:pPr>
    </w:p>
    <w:p>
      <w:pPr>
        <w:widowControl/>
        <w:shd w:val="clear" w:color="auto" w:fill="FFFFFF"/>
        <w:wordWrap w:val="0"/>
        <w:spacing w:line="480" w:lineRule="exact"/>
        <w:ind w:firstLine="480" w:firstLineChars="200"/>
        <w:jc w:val="right"/>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 xml:space="preserve">唐山市开平区工业和信息化局    </w:t>
      </w:r>
    </w:p>
    <w:p>
      <w:pPr>
        <w:widowControl/>
        <w:shd w:val="clear" w:color="auto" w:fill="FFFFFF"/>
        <w:wordWrap w:val="0"/>
        <w:spacing w:line="480" w:lineRule="exact"/>
        <w:ind w:firstLine="480" w:firstLineChars="200"/>
        <w:jc w:val="right"/>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 xml:space="preserve">2025年1月31日         </w:t>
      </w:r>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87B2A"/>
    <w:rsid w:val="000F51F7"/>
    <w:rsid w:val="001419CD"/>
    <w:rsid w:val="00175D54"/>
    <w:rsid w:val="001B1D95"/>
    <w:rsid w:val="002F5161"/>
    <w:rsid w:val="00432038"/>
    <w:rsid w:val="00487B2A"/>
    <w:rsid w:val="006B4810"/>
    <w:rsid w:val="007C1641"/>
    <w:rsid w:val="0083478D"/>
    <w:rsid w:val="00885560"/>
    <w:rsid w:val="00AF62D0"/>
    <w:rsid w:val="00C07719"/>
    <w:rsid w:val="00F65DC9"/>
    <w:rsid w:val="00FC60BF"/>
    <w:rsid w:val="351E1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467</Words>
  <Characters>2667</Characters>
  <Lines>22</Lines>
  <Paragraphs>6</Paragraphs>
  <TotalTime>3</TotalTime>
  <ScaleCrop>false</ScaleCrop>
  <LinksUpToDate>false</LinksUpToDate>
  <CharactersWithSpaces>3128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2025-02-05T03:22:00Z</dcterms:created>
  <dc:creator>Windows User</dc:creator>
  <cp:lastModifiedBy>hp</cp:lastModifiedBy>
  <dcterms:modified xsi:type="dcterms:W3CDTF">2025-02-07T08:26:46Z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