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开平区商务和投资促进局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政务公开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本报告根据《中华人民共和国政府信息公开条例》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国办公开办《关于印发〈中华人民共和国政府信息公开工作年度报告格式〉的通知》（国办公开办函〔2021〕30号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要求编制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报告中所列数据统计期限从202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年1月1日起至202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-44" w:rightChars="-21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一、总体情况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今年以来，开平区商促局坚持以习近平新时代中国特色社会主义思想为指导，深入学习贯彻党的二十大和二十届二中、三中全会精神，全面落实《中华人民共和国政府信息公开条例》和省市区政务公开工作要求，紧紧围绕商务领域中心工作，坚持以公开为常态、不公开为例外，持续优化政务公开平台建设，细化政务公开栏目，规范政务公开内容，把做好主动公开工作作为推进依法行政、增强政府公信力的重要手段，主动回应群众和社会需求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不断提升商务领域政务公开质量和服务效能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结合商务工作实际，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加大主动公开力度，强化政策解读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不断健全完善政务信息公开工作制度，进一步提升政务服务工作水平，扎实做好政务信息公开工作。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（一）主动公开情况。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，区商促局认真贯彻落实《信息公开条例》，对政府信息主动公开基本目录进行梳理完善，围绕招商引资、商务行政执法、消费品以旧换新等重点工作公开政府信息，按规定时限公布部门文件、更新办事指南、及时公开财政预决算信息及商务有关政策和措施等政务信息，本年度主动公开信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条，同时充分利用新媒体等渠道加大公开力度，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其中消费品以旧换新宣传报道22条。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（二）依申请公开情况。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在《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开平区商务和投资促进局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政府信息公开指南》中，公开申请渠道与方式，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畅通网站、现场、邮寄、电话传真等受理渠道，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进一步完善政务信息公开申请的受理机制，明确落实申请的受理、审查、处理、答复等各个环节的具体要求，有效保障申请人的合法权益，维护政府信息公开工作秩序。今年以来，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开平区商促局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-44" w:rightChars="-21"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（三）政府信息管理。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一是持续建立健全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工作机制，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进一步细化了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开平区商务和投资促进局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政府信息公开制度》、《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开平区商务和投资促进局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政务信息公开保密审查制度》、《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开平区商务和投资促进局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政务信息公开责任追究制度》等制度，完善了主动公开、依申请公开、保密审查、评议考核等相关工作制度以及信息发布的保密审查和程序，确保政府信息及时、准确公开和规范化、制度化。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二是深化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行政权力运行公开，及时修订公开部门权责清单、行政许可事项清单。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三是加强信息巡检，定期对信息进行错敏字、错断链扫描，发现问题及时整改，保障信息的规范性和时效性。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（四）政府信息公开平台建设。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一是进一步优化信息公开格局。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充分利用好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政府信息公开网站，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紧紧围绕中心工作及群众关注关切，逐步构建常规性工作定期公开、临时性工作随时公开、固定性工作长期公开的动态化、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多层次、全方位的信息公开格局。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二是进一步细化公开目录，合理开设专栏。持续完善政府信息主动公开基本目录，立足开平区商促局机构职能，结合重点工作任务逐条梳理，把群众关心的热点、重点以及涉及群众利益的事项作为常态化公开重点。三是进一步充实公开内容，积极回应社会关切。聚焦“消费促进年”主题，深入贯彻落实中央及省市区消费品以旧换新工作部署，实时更新最新政策及我区有关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highlight w:val="none"/>
          <w:lang w:val="en-US" w:eastAsia="zh-CN" w:bidi="ar"/>
        </w:rPr>
        <w:t>（五）监督保障。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一方面，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加强组织领导，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推动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责任落实。成立了由局长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郭淑佳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担任组长，分管领导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王学会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担任副组长，各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室负责人为成员的政务公开领导小组，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具体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t>日常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工作由综合办公室负责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保证了信息公开工作的有序推进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切实做到有领导分管、有工作机构负责、有专人办理。另一方面，严把公开信息保密审查，保障政府信息公开不泄密。建立政务公开保密审查制度，把政务信息能否公开、怎样公开、在什么范围公开、公开时限等，作为审查内容，按照《中华人民共和国保守国家秘密法》预先审查，严格控制不公开事项的范围，准确把握政务信息公开的内容、范围、形式和时限等，避免出现信息公开“失控”现象。</w:t>
      </w:r>
    </w:p>
    <w:p>
      <w:pPr>
        <w:spacing w:line="580" w:lineRule="exact"/>
        <w:ind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二、主动公开政府信息情况</w:t>
      </w:r>
    </w:p>
    <w:p>
      <w:pPr>
        <w:pStyle w:val="2"/>
        <w:rPr>
          <w:rFonts w:hint="eastAsia" w:eastAsia="宋体"/>
          <w:lang w:val="en-US" w:eastAsia="zh-CN"/>
        </w:rPr>
      </w:pPr>
    </w:p>
    <w:tbl>
      <w:tblPr>
        <w:tblStyle w:val="12"/>
        <w:tblW w:w="878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97"/>
        <w:gridCol w:w="2435"/>
        <w:gridCol w:w="2434"/>
        <w:gridCol w:w="191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191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eastAsia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eastAsia="宋体"/>
                <w:color w:val="333333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85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781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8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年，我局未受理政府信息依申请公开事项件。</w:t>
      </w:r>
    </w:p>
    <w:tbl>
      <w:tblPr>
        <w:tblStyle w:val="12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年度未发生针对本局有关政府信息公开实务的行政复议案、行政诉讼案及举报投诉事件。</w:t>
      </w:r>
    </w:p>
    <w:tbl>
      <w:tblPr>
        <w:tblStyle w:val="12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50"/>
        <w:gridCol w:w="647"/>
        <w:gridCol w:w="649"/>
        <w:gridCol w:w="650"/>
        <w:gridCol w:w="649"/>
        <w:gridCol w:w="648"/>
        <w:gridCol w:w="650"/>
        <w:gridCol w:w="650"/>
        <w:gridCol w:w="651"/>
        <w:gridCol w:w="651"/>
        <w:gridCol w:w="651"/>
        <w:gridCol w:w="650"/>
        <w:gridCol w:w="651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eastAsia="宋体"/>
                <w:color w:val="333333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15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五、存在的问题及改进措施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CN"/>
        </w:rPr>
        <w:t>存在的问题。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一是队伍建设有待加强，专业素质还需进一步提高。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二是政务公开的思路还不够开阔，与业务工作的紧密度有待进一步提升。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eastAsia="zh-CN"/>
        </w:rPr>
        <w:t>改进措施。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一是配强队伍，加大培训力度，提高业务水平。组织工作人员深入学习《中华人民共和国政府信息公开条例》相关文件精神，积极参加上级组织的培训会，增强全局干部职工的信息公开主动公开意识，提高工作人员业务水平，确保信息公开工作顺利开展。二是增强主动创新意识，积极学习借鉴政务公开好的经验与做法，强化政务公开工作与业务工作的统筹协调，加强与业务科室的交流学习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广泛听取意见，促进各项工作共同推进。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无。</w:t>
      </w:r>
    </w:p>
    <w:p>
      <w:pPr>
        <w:spacing w:line="580" w:lineRule="exact"/>
        <w:ind w:firstLine="482"/>
        <w:jc w:val="righ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开平区商务和投资促进局</w:t>
      </w:r>
    </w:p>
    <w:p>
      <w:pPr>
        <w:spacing w:line="580" w:lineRule="exact"/>
        <w:ind w:firstLine="482"/>
        <w:jc w:val="righ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7C4D"/>
    <w:rsid w:val="004410DC"/>
    <w:rsid w:val="040C612A"/>
    <w:rsid w:val="08973B6D"/>
    <w:rsid w:val="09E34516"/>
    <w:rsid w:val="0A110ABA"/>
    <w:rsid w:val="103E25B0"/>
    <w:rsid w:val="1A6D5075"/>
    <w:rsid w:val="20555F46"/>
    <w:rsid w:val="270C74BC"/>
    <w:rsid w:val="2E1D22C1"/>
    <w:rsid w:val="31FC6AFE"/>
    <w:rsid w:val="3B593195"/>
    <w:rsid w:val="3C2B50A3"/>
    <w:rsid w:val="4C4E25BF"/>
    <w:rsid w:val="4F2E16DB"/>
    <w:rsid w:val="500016BE"/>
    <w:rsid w:val="5EF07A68"/>
    <w:rsid w:val="5F1B5D7E"/>
    <w:rsid w:val="5F6B3B65"/>
    <w:rsid w:val="675F9FE2"/>
    <w:rsid w:val="6765629E"/>
    <w:rsid w:val="6FFEA518"/>
    <w:rsid w:val="727F7C4D"/>
    <w:rsid w:val="782A3886"/>
    <w:rsid w:val="7889613C"/>
    <w:rsid w:val="79847A54"/>
    <w:rsid w:val="7991421E"/>
    <w:rsid w:val="7A310A88"/>
    <w:rsid w:val="7A40428C"/>
    <w:rsid w:val="7BFA38F1"/>
    <w:rsid w:val="7D5906B0"/>
    <w:rsid w:val="7DF40555"/>
    <w:rsid w:val="7EBEA8BD"/>
    <w:rsid w:val="7F3F4AFD"/>
    <w:rsid w:val="9FFA0288"/>
    <w:rsid w:val="ADEB5AD0"/>
    <w:rsid w:val="D3EFE0BD"/>
    <w:rsid w:val="DFCD4151"/>
    <w:rsid w:val="E8778470"/>
    <w:rsid w:val="E9FF6075"/>
    <w:rsid w:val="EDB780F2"/>
    <w:rsid w:val="F0CF54C6"/>
    <w:rsid w:val="F6FD72CE"/>
    <w:rsid w:val="F7DB1051"/>
    <w:rsid w:val="FCAB32F3"/>
    <w:rsid w:val="FFD6699E"/>
    <w:rsid w:val="FFFDD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qFormat/>
    <w:uiPriority w:val="0"/>
    <w:pPr>
      <w:spacing w:line="400" w:lineRule="atLeast"/>
      <w:ind w:right="330" w:rightChars="157"/>
    </w:pPr>
    <w:rPr>
      <w:rFonts w:ascii="仿宋_GB2312" w:eastAsia="黑体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bCs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1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2024-12-06T02:52:00Z</dcterms:created>
  <dc:creator>窝瓜</dc:creator>
  <cp:lastModifiedBy>hp</cp:lastModifiedBy>
  <cp:lastPrinted>2025-01-17T00:58:00Z</cp:lastPrinted>
  <dcterms:modified xsi:type="dcterms:W3CDTF">2025-02-05T08:44:13Z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EEE865CCA9DCEA16E423506770C9B090_43</vt:lpwstr>
  </property>
</Properties>
</file>