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Times New Roman" w:eastAsia="仿宋_GB2312" w:cs="Times New Roman"/>
          <w:sz w:val="44"/>
          <w:szCs w:val="44"/>
        </w:rPr>
      </w:pPr>
      <w:bookmarkStart w:id="2" w:name="_GoBack"/>
      <w:bookmarkEnd w:id="2"/>
      <w:r>
        <w:rPr>
          <w:rFonts w:hint="eastAsia" w:ascii="仿宋_GB2312" w:hAnsi="Times New Roman" w:eastAsia="仿宋_GB2312" w:cs="Times New Roman"/>
          <w:sz w:val="44"/>
          <w:szCs w:val="44"/>
        </w:rPr>
        <w:t>预算部门整体绩效自评报告</w:t>
      </w:r>
    </w:p>
    <w:p>
      <w:pPr>
        <w:jc w:val="center"/>
        <w:rPr>
          <w:rFonts w:ascii="仿宋_GB2312" w:hAnsi="Times New Roman" w:eastAsia="仿宋_GB2312" w:cs="Times New Roman"/>
          <w:sz w:val="30"/>
          <w:szCs w:val="30"/>
        </w:rPr>
      </w:pPr>
      <w:r>
        <w:rPr>
          <w:rFonts w:hint="eastAsia" w:ascii="仿宋_GB2312" w:hAnsi="Times New Roman" w:eastAsia="仿宋_GB2312" w:cs="Times New Roman"/>
          <w:sz w:val="30"/>
          <w:szCs w:val="30"/>
        </w:rPr>
        <w:t>（2023年度）</w:t>
      </w:r>
    </w:p>
    <w:p>
      <w:pPr>
        <w:rPr>
          <w:rFonts w:ascii="仿宋_GB2312" w:hAnsi="Times New Roman" w:eastAsia="仿宋_GB2312" w:cs="Times New Roman"/>
        </w:rPr>
      </w:pPr>
    </w:p>
    <w:p>
      <w:pPr>
        <w:rPr>
          <w:rFonts w:ascii="仿宋_GB2312" w:hAnsi="Times New Roman" w:eastAsia="仿宋_GB2312" w:cs="Times New Roman"/>
        </w:rPr>
      </w:pPr>
    </w:p>
    <w:p>
      <w:pPr>
        <w:ind w:firstLine="320" w:firstLineChars="1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评价方式：</w:t>
      </w:r>
      <w:r>
        <w:rPr>
          <w:rFonts w:hint="eastAsia" w:ascii="仿宋_GB2312" w:hAnsi="Times New Roman" w:eastAsia="仿宋_GB2312" w:cs="Times New Roman"/>
          <w:sz w:val="44"/>
          <w:szCs w:val="44"/>
        </w:rPr>
        <w:t>v</w:t>
      </w:r>
      <w:r>
        <w:rPr>
          <w:rFonts w:hint="eastAsia" w:ascii="仿宋_GB2312" w:hAnsi="Times New Roman" w:eastAsia="仿宋_GB2312" w:cs="Times New Roman"/>
          <w:sz w:val="32"/>
          <w:szCs w:val="32"/>
        </w:rPr>
        <w:t xml:space="preserve">直接组织评价           </w:t>
      </w:r>
      <w:r>
        <w:rPr>
          <w:rFonts w:hint="eastAsia" w:ascii="仿宋_GB2312" w:hAnsi="Times New Roman" w:eastAsia="仿宋_GB2312" w:cs="Times New Roman"/>
          <w:sz w:val="44"/>
          <w:szCs w:val="44"/>
        </w:rPr>
        <w:t>□</w:t>
      </w:r>
      <w:r>
        <w:rPr>
          <w:rFonts w:hint="eastAsia" w:ascii="仿宋_GB2312" w:hAnsi="Times New Roman" w:eastAsia="仿宋_GB2312" w:cs="Times New Roman"/>
          <w:sz w:val="32"/>
          <w:szCs w:val="32"/>
        </w:rPr>
        <w:t>委托评价</w:t>
      </w:r>
    </w:p>
    <w:p>
      <w:pPr>
        <w:rPr>
          <w:rFonts w:ascii="仿宋_GB2312" w:hAnsi="Times New Roman" w:eastAsia="仿宋_GB2312" w:cs="Times New Roman"/>
        </w:rPr>
      </w:pPr>
    </w:p>
    <w:p>
      <w:pPr>
        <w:ind w:firstLine="1920" w:firstLineChars="600"/>
        <w:rPr>
          <w:rFonts w:ascii="仿宋_GB2312" w:hAnsi="Times New Roman" w:eastAsia="仿宋_GB2312" w:cs="Times New Roman"/>
          <w:sz w:val="32"/>
          <w:szCs w:val="32"/>
        </w:rPr>
      </w:pPr>
    </w:p>
    <w:p>
      <w:pPr>
        <w:ind w:firstLine="1440" w:firstLineChars="450"/>
        <w:rPr>
          <w:rFonts w:ascii="仿宋_GB2312" w:hAnsi="Times New Roman" w:eastAsia="仿宋_GB2312" w:cs="Times New Roman"/>
          <w:sz w:val="32"/>
          <w:szCs w:val="32"/>
          <w:u w:val="single"/>
        </w:rPr>
      </w:pPr>
      <w:r>
        <w:rPr>
          <w:rFonts w:hint="eastAsia" w:ascii="仿宋_GB2312" w:hAnsi="Times New Roman" w:eastAsia="仿宋_GB2312" w:cs="Times New Roman"/>
          <w:sz w:val="32"/>
          <w:szCs w:val="32"/>
        </w:rPr>
        <w:t>部门名称：唐山市开平区人力资源和社会保障局</w:t>
      </w:r>
    </w:p>
    <w:p>
      <w:pPr>
        <w:ind w:firstLine="1440" w:firstLineChars="450"/>
        <w:rPr>
          <w:rFonts w:ascii="仿宋_GB2312" w:hAnsi="Times New Roman" w:eastAsia="仿宋_GB2312" w:cs="Times New Roman"/>
          <w:sz w:val="32"/>
          <w:szCs w:val="32"/>
        </w:rPr>
      </w:pPr>
      <w:r>
        <w:rPr>
          <w:rFonts w:hint="eastAsia" w:ascii="仿宋_GB2312" w:hAnsi="Times New Roman" w:eastAsia="仿宋_GB2312" w:cs="Times New Roman"/>
          <w:sz w:val="32"/>
          <w:szCs w:val="32"/>
        </w:rPr>
        <w:t>联系电话：0315-3372829</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p>
    <w:p>
      <w:pPr>
        <w:rPr>
          <w:rFonts w:ascii="仿宋_GB2312" w:hAnsi="Times New Roman" w:eastAsia="仿宋_GB2312" w:cs="Times New Roman"/>
          <w:sz w:val="32"/>
          <w:szCs w:val="32"/>
        </w:rPr>
      </w:pPr>
    </w:p>
    <w:p>
      <w:pPr>
        <w:ind w:firstLine="7840" w:firstLineChars="2450"/>
        <w:rPr>
          <w:rFonts w:ascii="仿宋_GB2312" w:hAnsi="Times New Roman" w:eastAsia="仿宋_GB2312" w:cs="Times New Roman"/>
          <w:sz w:val="32"/>
          <w:szCs w:val="32"/>
        </w:rPr>
      </w:pPr>
      <w:r>
        <w:rPr>
          <w:rFonts w:hint="eastAsia" w:ascii="仿宋_GB2312" w:hAnsi="Times New Roman" w:eastAsia="仿宋_GB2312" w:cs="Times New Roman"/>
          <w:sz w:val="32"/>
          <w:szCs w:val="32"/>
        </w:rPr>
        <w:t>填报日期：2024年3月</w:t>
      </w:r>
    </w:p>
    <w:p>
      <w:pPr>
        <w:ind w:firstLine="8640" w:firstLineChars="2700"/>
        <w:rPr>
          <w:rFonts w:ascii="仿宋_GB2312" w:hAnsi="Times New Roman" w:eastAsia="仿宋_GB2312" w:cs="Times New Roman"/>
          <w:sz w:val="32"/>
          <w:szCs w:val="32"/>
        </w:rPr>
      </w:pPr>
      <w:r>
        <w:rPr>
          <w:rFonts w:hint="eastAsia" w:ascii="仿宋_GB2312" w:hAnsi="仿宋" w:eastAsia="仿宋_GB2312" w:cs="Times New Roman"/>
          <w:sz w:val="32"/>
          <w:szCs w:val="32"/>
        </w:rPr>
        <w:t>唐山市财政局编制</w:t>
      </w:r>
    </w:p>
    <w:p>
      <w:pPr>
        <w:widowControl/>
        <w:jc w:val="left"/>
        <w:rPr>
          <w:rFonts w:ascii="仿宋_GB2312" w:eastAsia="仿宋_GB2312" w:cs="Times New Roman" w:hAnsiTheme="minorEastAsia"/>
          <w:b/>
          <w:sz w:val="44"/>
          <w:szCs w:val="44"/>
        </w:rPr>
      </w:pPr>
      <w:r>
        <w:rPr>
          <w:rFonts w:hint="eastAsia" w:ascii="仿宋_GB2312" w:eastAsia="仿宋_GB2312" w:cs="Times New Roman" w:hAnsiTheme="minorEastAsia"/>
          <w:b/>
          <w:sz w:val="44"/>
          <w:szCs w:val="44"/>
        </w:rPr>
        <w:br w:type="page"/>
      </w:r>
    </w:p>
    <w:p>
      <w:pPr>
        <w:jc w:val="center"/>
        <w:rPr>
          <w:rFonts w:ascii="仿宋_GB2312" w:eastAsia="仿宋_GB2312" w:cs="Times New Roman" w:hAnsiTheme="minorEastAsia"/>
          <w:b/>
          <w:sz w:val="44"/>
          <w:szCs w:val="44"/>
        </w:rPr>
      </w:pPr>
      <w:r>
        <w:rPr>
          <w:rFonts w:hint="eastAsia" w:ascii="仿宋_GB2312" w:eastAsia="仿宋_GB2312" w:cs="Times New Roman" w:hAnsiTheme="minorEastAsia"/>
          <w:b/>
          <w:sz w:val="44"/>
          <w:szCs w:val="44"/>
        </w:rPr>
        <w:t>部门整体绩效自评情况</w:t>
      </w:r>
    </w:p>
    <w:p>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一、部门</w:t>
      </w:r>
      <w:r>
        <w:rPr>
          <w:rFonts w:hint="eastAsia" w:ascii="Times New Roman" w:hAnsi="Times New Roman" w:eastAsia="黑体" w:cs="Times New Roman"/>
          <w:b/>
          <w:sz w:val="32"/>
          <w:szCs w:val="32"/>
        </w:rPr>
        <w:t>整体</w:t>
      </w:r>
      <w:r>
        <w:rPr>
          <w:rFonts w:ascii="Times New Roman" w:hAnsi="Times New Roman" w:eastAsia="黑体" w:cs="Times New Roman"/>
          <w:b/>
          <w:sz w:val="32"/>
          <w:szCs w:val="32"/>
        </w:rPr>
        <w:t>概况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本部门2023年度申请预算资金44150.53万元，实际支出</w:t>
      </w:r>
      <w:r>
        <w:rPr>
          <w:rFonts w:hint="eastAsia" w:ascii="仿宋_GB2312" w:hAnsi="Times New Roman" w:eastAsia="仿宋_GB2312" w:cs="DengXian-Regular"/>
          <w:sz w:val="32"/>
          <w:szCs w:val="32"/>
        </w:rPr>
        <w:t>33349.92</w:t>
      </w:r>
      <w:r>
        <w:rPr>
          <w:rFonts w:hint="eastAsia" w:ascii="仿宋_GB2312" w:hAnsi="Times New Roman" w:eastAsia="仿宋_GB2312" w:cs="Times New Roman"/>
          <w:sz w:val="32"/>
          <w:szCs w:val="32"/>
        </w:rPr>
        <w:t>万元，预算执行率76%。其中：专项项目18个，金额合计42586万元，实际支出31762.65万元，执行率为75%。</w:t>
      </w:r>
    </w:p>
    <w:p>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二、部门总体绩效目标和绩效指标设定情况</w:t>
      </w:r>
    </w:p>
    <w:p>
      <w:pPr>
        <w:ind w:firstLine="640"/>
        <w:rPr>
          <w:rFonts w:ascii="仿宋_GB2312" w:hAnsi="仿宋_GB2312" w:eastAsia="仿宋_GB2312" w:cs="仿宋_GB2312"/>
          <w:sz w:val="32"/>
          <w:szCs w:val="32"/>
        </w:rPr>
      </w:pPr>
      <w:r>
        <w:rPr>
          <w:rFonts w:hint="eastAsia" w:ascii="仿宋_GB2312" w:hAnsi="Times New Roman" w:eastAsia="仿宋_GB2312" w:cs="Times New Roman"/>
          <w:b/>
          <w:sz w:val="32"/>
          <w:szCs w:val="32"/>
        </w:rPr>
        <w:t>本部门年初设定的部门整体绩效指标是：</w:t>
      </w:r>
      <w:bookmarkStart w:id="0" w:name="_Toc471398463"/>
      <w:r>
        <w:rPr>
          <w:rFonts w:hint="eastAsia" w:ascii="仿宋_GB2312" w:hAnsi="仿宋_GB2312" w:eastAsia="仿宋_GB2312" w:cs="仿宋_GB2312"/>
          <w:sz w:val="32"/>
          <w:szCs w:val="32"/>
        </w:rPr>
        <w:t>深入贯彻落实党的二十大精神，按照“稳中求进、改革发展”为主题，以建设节约型机关为主线，以制度体系建设为抓手，进一步巩固扩大党的群众路线教育实践活动成果，更加注重问题导向，着力推进机关事务改革创新，着力提高管理能力，着力提升服务水平，着力优化保障质量，努力为建设廉洁务实高效党政机关、依法全面履行政府职能</w:t>
      </w:r>
      <w:r>
        <w:rPr>
          <w:rFonts w:hint="eastAsia" w:ascii="仿宋_GB2312" w:hAnsi="仿宋_GB2312" w:eastAsia="仿宋_GB2312" w:cs="仿宋_GB2312"/>
          <w:sz w:val="32"/>
          <w:szCs w:val="32"/>
          <w:lang w:eastAsia="zh-CN"/>
        </w:rPr>
        <w:t>作出</w:t>
      </w:r>
      <w:r>
        <w:rPr>
          <w:rFonts w:hint="eastAsia" w:ascii="仿宋_GB2312" w:hAnsi="仿宋_GB2312" w:eastAsia="仿宋_GB2312" w:cs="仿宋_GB2312"/>
          <w:sz w:val="32"/>
          <w:szCs w:val="32"/>
        </w:rPr>
        <w:t>贡献。</w:t>
      </w:r>
    </w:p>
    <w:p>
      <w:pPr>
        <w:ind w:firstLine="640"/>
        <w:rPr>
          <w:rFonts w:ascii="仿宋_GB2312" w:hAnsi="仿宋_GB2312" w:eastAsia="仿宋_GB2312" w:cs="仿宋_GB2312"/>
          <w:sz w:val="32"/>
          <w:szCs w:val="32"/>
        </w:rPr>
      </w:pPr>
    </w:p>
    <w:p>
      <w:pPr>
        <w:ind w:firstLine="640"/>
        <w:rPr>
          <w:rFonts w:ascii="仿宋_GB2312" w:hAnsi="仿宋_GB2312" w:eastAsia="仿宋_GB2312" w:cs="仿宋_GB2312"/>
          <w:sz w:val="32"/>
          <w:szCs w:val="32"/>
        </w:rPr>
      </w:pPr>
    </w:p>
    <w:p>
      <w:pPr>
        <w:ind w:firstLine="640"/>
        <w:rPr>
          <w:rFonts w:ascii="仿宋_GB2312" w:hAnsi="仿宋_GB2312" w:eastAsia="仿宋_GB2312" w:cs="仿宋_GB2312"/>
          <w:sz w:val="32"/>
          <w:szCs w:val="32"/>
        </w:rPr>
      </w:pPr>
    </w:p>
    <w:p>
      <w:pPr>
        <w:ind w:firstLine="640"/>
        <w:rPr>
          <w:rFonts w:ascii="仿宋_GB2312" w:hAnsi="仿宋_GB2312" w:eastAsia="仿宋_GB2312" w:cs="仿宋_GB2312"/>
          <w:sz w:val="32"/>
          <w:szCs w:val="32"/>
        </w:rPr>
      </w:pPr>
    </w:p>
    <w:p>
      <w:pPr>
        <w:ind w:firstLine="640"/>
        <w:rPr>
          <w:rFonts w:ascii="仿宋_GB2312" w:hAnsi="仿宋_GB2312" w:eastAsia="仿宋_GB2312" w:cs="仿宋_GB2312"/>
          <w:sz w:val="32"/>
          <w:szCs w:val="32"/>
        </w:rPr>
      </w:pPr>
    </w:p>
    <w:p>
      <w:pPr>
        <w:ind w:firstLine="640"/>
        <w:rPr>
          <w:rFonts w:ascii="仿宋_GB2312" w:hAnsi="仿宋_GB2312" w:eastAsia="仿宋_GB2312" w:cs="仿宋_GB2312"/>
          <w:sz w:val="32"/>
          <w:szCs w:val="32"/>
        </w:rPr>
      </w:pPr>
    </w:p>
    <w:tbl>
      <w:tblPr>
        <w:tblStyle w:val="7"/>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628"/>
        <w:gridCol w:w="648"/>
        <w:gridCol w:w="970"/>
        <w:gridCol w:w="2006"/>
        <w:gridCol w:w="1769"/>
        <w:gridCol w:w="1207"/>
        <w:gridCol w:w="1417"/>
        <w:gridCol w:w="737"/>
        <w:gridCol w:w="414"/>
        <w:gridCol w:w="323"/>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8"/>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sz w:val="24"/>
              </w:rPr>
            </w:pPr>
            <w:r>
              <w:rPr>
                <w:rFonts w:hint="eastAsia" w:ascii="仿宋_GB2312" w:eastAsia="仿宋_GB2312"/>
                <w:sz w:val="24"/>
              </w:rPr>
              <w:t>323唐山市开平区人力资源和社会保障局</w:t>
            </w:r>
          </w:p>
        </w:tc>
        <w:tc>
          <w:tcPr>
            <w:tcW w:w="2948"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sz w:val="24"/>
              </w:rPr>
            </w:pPr>
            <w:r>
              <w:rPr>
                <w:rFonts w:hint="eastAsia" w:ascii="仿宋_GB2312" w:eastAsia="仿宋_GB2312"/>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职责活动</w:t>
            </w:r>
          </w:p>
        </w:tc>
        <w:tc>
          <w:tcPr>
            <w:tcW w:w="1276" w:type="dxa"/>
            <w:gridSpan w:val="2"/>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年度预算数</w:t>
            </w:r>
          </w:p>
        </w:tc>
        <w:tc>
          <w:tcPr>
            <w:tcW w:w="2976" w:type="dxa"/>
            <w:gridSpan w:val="2"/>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内容描述</w:t>
            </w:r>
          </w:p>
        </w:tc>
        <w:tc>
          <w:tcPr>
            <w:tcW w:w="2976" w:type="dxa"/>
            <w:gridSpan w:val="2"/>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绩效目标</w:t>
            </w:r>
          </w:p>
        </w:tc>
        <w:tc>
          <w:tcPr>
            <w:tcW w:w="1417"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绩效指标</w:t>
            </w:r>
          </w:p>
        </w:tc>
        <w:tc>
          <w:tcPr>
            <w:tcW w:w="2948" w:type="dxa"/>
            <w:gridSpan w:val="5"/>
            <w:shd w:val="clear" w:color="auto" w:fill="auto"/>
            <w:vAlign w:val="center"/>
          </w:tcPr>
          <w:p>
            <w:pPr>
              <w:spacing w:line="300" w:lineRule="exact"/>
              <w:jc w:val="center"/>
              <w:rPr>
                <w:rFonts w:ascii="仿宋_GB2312" w:eastAsia="仿宋_GB2312"/>
                <w:b/>
              </w:rPr>
            </w:pPr>
            <w:r>
              <w:rPr>
                <w:rFonts w:hint="eastAsia" w:ascii="仿宋_GB2312" w:eastAsia="仿宋_GB2312"/>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rFonts w:ascii="仿宋_GB2312" w:eastAsia="仿宋_GB2312"/>
              </w:rPr>
            </w:pPr>
          </w:p>
        </w:tc>
        <w:tc>
          <w:tcPr>
            <w:tcW w:w="1276" w:type="dxa"/>
            <w:gridSpan w:val="2"/>
            <w:vMerge w:val="continue"/>
            <w:shd w:val="clear" w:color="auto" w:fill="auto"/>
            <w:vAlign w:val="center"/>
          </w:tcPr>
          <w:p>
            <w:pPr>
              <w:spacing w:line="300" w:lineRule="exact"/>
              <w:jc w:val="left"/>
              <w:outlineLvl w:val="0"/>
              <w:rPr>
                <w:rFonts w:ascii="仿宋_GB2312" w:eastAsia="仿宋_GB2312"/>
              </w:rPr>
            </w:pPr>
          </w:p>
        </w:tc>
        <w:tc>
          <w:tcPr>
            <w:tcW w:w="2976" w:type="dxa"/>
            <w:gridSpan w:val="2"/>
            <w:vMerge w:val="continue"/>
            <w:shd w:val="clear" w:color="auto" w:fill="auto"/>
            <w:vAlign w:val="center"/>
          </w:tcPr>
          <w:p>
            <w:pPr>
              <w:spacing w:line="300" w:lineRule="exact"/>
              <w:jc w:val="left"/>
              <w:outlineLvl w:val="0"/>
              <w:rPr>
                <w:rFonts w:ascii="仿宋_GB2312" w:eastAsia="仿宋_GB2312"/>
              </w:rPr>
            </w:pPr>
          </w:p>
        </w:tc>
        <w:tc>
          <w:tcPr>
            <w:tcW w:w="2976" w:type="dxa"/>
            <w:gridSpan w:val="2"/>
            <w:vMerge w:val="continue"/>
            <w:shd w:val="clear" w:color="auto" w:fill="auto"/>
            <w:vAlign w:val="center"/>
          </w:tcPr>
          <w:p>
            <w:pPr>
              <w:spacing w:line="300" w:lineRule="exact"/>
              <w:jc w:val="left"/>
              <w:outlineLvl w:val="0"/>
              <w:rPr>
                <w:rFonts w:ascii="仿宋_GB2312" w:eastAsia="仿宋_GB2312"/>
              </w:rPr>
            </w:pPr>
          </w:p>
        </w:tc>
        <w:tc>
          <w:tcPr>
            <w:tcW w:w="1417" w:type="dxa"/>
            <w:vMerge w:val="continue"/>
            <w:shd w:val="clear" w:color="auto" w:fill="auto"/>
            <w:vAlign w:val="center"/>
          </w:tcPr>
          <w:p>
            <w:pPr>
              <w:spacing w:line="300" w:lineRule="exact"/>
              <w:jc w:val="left"/>
              <w:outlineLvl w:val="0"/>
              <w:rPr>
                <w:rFonts w:ascii="仿宋_GB2312" w:eastAsia="仿宋_GB2312"/>
              </w:rPr>
            </w:pP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优</w:t>
            </w:r>
          </w:p>
        </w:tc>
        <w:tc>
          <w:tcPr>
            <w:tcW w:w="737" w:type="dxa"/>
            <w:gridSpan w:val="2"/>
            <w:shd w:val="clear" w:color="auto" w:fill="auto"/>
            <w:vAlign w:val="center"/>
          </w:tcPr>
          <w:p>
            <w:pPr>
              <w:spacing w:line="300" w:lineRule="exact"/>
              <w:jc w:val="center"/>
              <w:rPr>
                <w:rFonts w:ascii="仿宋_GB2312" w:eastAsia="仿宋_GB2312"/>
                <w:b/>
              </w:rPr>
            </w:pPr>
            <w:r>
              <w:rPr>
                <w:rFonts w:hint="eastAsia" w:ascii="仿宋_GB2312" w:eastAsia="仿宋_GB2312"/>
                <w:b/>
              </w:rPr>
              <w:t>良</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中</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rPr>
            </w:pPr>
            <w:r>
              <w:rPr>
                <w:rFonts w:hint="eastAsia" w:ascii="仿宋_GB2312" w:eastAsia="仿宋_GB2312"/>
                <w:b/>
              </w:rPr>
              <w:t>一、工资政策制定及管理</w:t>
            </w:r>
          </w:p>
        </w:tc>
        <w:tc>
          <w:tcPr>
            <w:tcW w:w="1276" w:type="dxa"/>
            <w:gridSpan w:val="2"/>
            <w:shd w:val="clear" w:color="auto" w:fill="auto"/>
            <w:vAlign w:val="center"/>
          </w:tcPr>
          <w:p>
            <w:pPr>
              <w:spacing w:line="300" w:lineRule="exact"/>
              <w:jc w:val="left"/>
              <w:rPr>
                <w:rFonts w:ascii="仿宋_GB2312" w:eastAsia="仿宋_GB2312"/>
              </w:rPr>
            </w:pP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建立全县机关企事业单位人员工资正常增长和支付保障机制，拟订全县机关企事业单位人员福利和离退休政策．并负责组织实施和监督检查。</w:t>
            </w: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按照国家和省市部署，贯彻落实在县以下机关建立职务与职级并行制度，提高基层公务员收入水平。提升劳动报酬在初次分配中的比重。</w:t>
            </w:r>
          </w:p>
        </w:tc>
        <w:tc>
          <w:tcPr>
            <w:tcW w:w="1417" w:type="dxa"/>
            <w:shd w:val="clear" w:color="auto" w:fill="auto"/>
            <w:vAlign w:val="center"/>
          </w:tcPr>
          <w:p>
            <w:pPr>
              <w:spacing w:line="300" w:lineRule="exact"/>
              <w:jc w:val="left"/>
              <w:rPr>
                <w:rFonts w:ascii="仿宋_GB2312" w:eastAsia="仿宋_GB2312"/>
              </w:rPr>
            </w:pPr>
          </w:p>
        </w:tc>
        <w:tc>
          <w:tcPr>
            <w:tcW w:w="737" w:type="dxa"/>
            <w:shd w:val="clear" w:color="auto" w:fill="auto"/>
            <w:vAlign w:val="center"/>
          </w:tcPr>
          <w:p>
            <w:pPr>
              <w:spacing w:line="300" w:lineRule="exact"/>
              <w:jc w:val="center"/>
              <w:rPr>
                <w:rFonts w:ascii="仿宋_GB2312" w:eastAsia="仿宋_GB2312"/>
              </w:rPr>
            </w:pPr>
          </w:p>
        </w:tc>
        <w:tc>
          <w:tcPr>
            <w:tcW w:w="737" w:type="dxa"/>
            <w:gridSpan w:val="2"/>
            <w:shd w:val="clear" w:color="auto" w:fill="auto"/>
            <w:vAlign w:val="center"/>
          </w:tcPr>
          <w:p>
            <w:pPr>
              <w:spacing w:line="300" w:lineRule="exact"/>
              <w:jc w:val="center"/>
              <w:rPr>
                <w:rFonts w:ascii="仿宋_GB2312" w:eastAsia="仿宋_GB2312"/>
              </w:rPr>
            </w:pPr>
          </w:p>
        </w:tc>
        <w:tc>
          <w:tcPr>
            <w:tcW w:w="737" w:type="dxa"/>
            <w:shd w:val="clear" w:color="auto" w:fill="auto"/>
            <w:vAlign w:val="center"/>
          </w:tcPr>
          <w:p>
            <w:pPr>
              <w:spacing w:line="300" w:lineRule="exact"/>
              <w:jc w:val="center"/>
              <w:rPr>
                <w:rFonts w:ascii="仿宋_GB2312" w:eastAsia="仿宋_GB2312"/>
              </w:rPr>
            </w:pPr>
          </w:p>
        </w:tc>
        <w:tc>
          <w:tcPr>
            <w:tcW w:w="737" w:type="dxa"/>
            <w:shd w:val="clear" w:color="auto" w:fill="auto"/>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rPr>
            </w:pPr>
            <w:r>
              <w:rPr>
                <w:rFonts w:hint="eastAsia" w:ascii="仿宋_GB2312" w:eastAsia="仿宋_GB2312"/>
                <w:b/>
              </w:rPr>
              <w:t>　　1、机关事业单位工资政策和管理</w:t>
            </w:r>
          </w:p>
        </w:tc>
        <w:tc>
          <w:tcPr>
            <w:tcW w:w="1276" w:type="dxa"/>
            <w:gridSpan w:val="2"/>
            <w:shd w:val="clear" w:color="auto" w:fill="auto"/>
            <w:vAlign w:val="center"/>
          </w:tcPr>
          <w:p>
            <w:pPr>
              <w:spacing w:line="300" w:lineRule="exact"/>
              <w:jc w:val="left"/>
              <w:rPr>
                <w:rFonts w:ascii="仿宋_GB2312" w:eastAsia="仿宋_GB2312"/>
              </w:rPr>
            </w:pP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按照上级文件制定事业单位绩效工资政策和组织落实，为符合退休条件的人员办理退休手续，规范使用县直机动福利费。</w:t>
            </w: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按照上级有关要求，按时落实到位，加大对企业工资分配的宏观调控力度，合理确定收入分配水平。</w:t>
            </w:r>
          </w:p>
        </w:tc>
        <w:tc>
          <w:tcPr>
            <w:tcW w:w="1417" w:type="dxa"/>
            <w:shd w:val="clear" w:color="auto" w:fill="auto"/>
            <w:vAlign w:val="center"/>
          </w:tcPr>
          <w:p>
            <w:pPr>
              <w:spacing w:line="300" w:lineRule="exact"/>
              <w:jc w:val="left"/>
              <w:rPr>
                <w:rFonts w:ascii="仿宋_GB2312" w:eastAsia="仿宋_GB2312"/>
              </w:rPr>
            </w:pPr>
            <w:r>
              <w:rPr>
                <w:rFonts w:hint="eastAsia" w:ascii="仿宋_GB2312" w:eastAsia="仿宋_GB2312"/>
              </w:rPr>
              <w:t>政策落实率</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≥95%</w:t>
            </w:r>
          </w:p>
        </w:tc>
        <w:tc>
          <w:tcPr>
            <w:tcW w:w="737" w:type="dxa"/>
            <w:gridSpan w:val="2"/>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≥80%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rPr>
            </w:pPr>
            <w:r>
              <w:rPr>
                <w:rFonts w:hint="eastAsia" w:ascii="仿宋_GB2312" w:eastAsia="仿宋_GB2312"/>
                <w:b/>
              </w:rPr>
              <w:t>　　2、工资调整，企业工资政策和管理</w:t>
            </w:r>
          </w:p>
        </w:tc>
        <w:tc>
          <w:tcPr>
            <w:tcW w:w="1276" w:type="dxa"/>
            <w:gridSpan w:val="2"/>
            <w:shd w:val="clear" w:color="auto" w:fill="auto"/>
            <w:vAlign w:val="center"/>
          </w:tcPr>
          <w:p>
            <w:pPr>
              <w:spacing w:line="300" w:lineRule="exact"/>
              <w:jc w:val="left"/>
              <w:rPr>
                <w:rFonts w:ascii="仿宋_GB2312" w:eastAsia="仿宋_GB2312"/>
              </w:rPr>
            </w:pP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按照上级文件，结合本区实际落实。完善县级企业工资调控机制和工资集体协商制度，发布工资指导线和劳动力市场价位和人工成本情况，监督并审核县属国有企业工资总额管理，加强企业工资内外收入监督。</w:t>
            </w: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保证及时落实发放到位，加强工资管理，确保政策落实到位；与预算编制对接，实现高效快捷审核。</w:t>
            </w:r>
          </w:p>
        </w:tc>
        <w:tc>
          <w:tcPr>
            <w:tcW w:w="1417" w:type="dxa"/>
            <w:shd w:val="clear" w:color="auto" w:fill="auto"/>
            <w:vAlign w:val="center"/>
          </w:tcPr>
          <w:p>
            <w:pPr>
              <w:spacing w:line="300" w:lineRule="exact"/>
              <w:jc w:val="left"/>
              <w:rPr>
                <w:rFonts w:ascii="仿宋_GB2312" w:eastAsia="仿宋_GB2312"/>
              </w:rPr>
            </w:pPr>
            <w:r>
              <w:rPr>
                <w:rFonts w:hint="eastAsia" w:ascii="仿宋_GB2312" w:eastAsia="仿宋_GB2312"/>
              </w:rPr>
              <w:t>政策落实率</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≥95%</w:t>
            </w:r>
          </w:p>
        </w:tc>
        <w:tc>
          <w:tcPr>
            <w:tcW w:w="737" w:type="dxa"/>
            <w:gridSpan w:val="2"/>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≥80%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rPr>
            </w:pPr>
            <w:r>
              <w:rPr>
                <w:rFonts w:hint="eastAsia" w:ascii="仿宋_GB2312" w:eastAsia="仿宋_GB2312"/>
                <w:b/>
              </w:rPr>
              <w:t>二、人才交流</w:t>
            </w:r>
          </w:p>
        </w:tc>
        <w:tc>
          <w:tcPr>
            <w:tcW w:w="1276" w:type="dxa"/>
            <w:gridSpan w:val="2"/>
            <w:shd w:val="clear" w:color="auto" w:fill="auto"/>
            <w:vAlign w:val="center"/>
          </w:tcPr>
          <w:p>
            <w:pPr>
              <w:spacing w:line="300" w:lineRule="exact"/>
              <w:jc w:val="left"/>
              <w:rPr>
                <w:rFonts w:ascii="仿宋_GB2312" w:eastAsia="仿宋_GB2312"/>
              </w:rPr>
            </w:pP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加强高校毕业生服务管理。</w:t>
            </w: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为高校毕业生做好报到、档案接收管理、转正定级、档案工资调整、职称录入等工作。</w:t>
            </w:r>
          </w:p>
        </w:tc>
        <w:tc>
          <w:tcPr>
            <w:tcW w:w="1417" w:type="dxa"/>
            <w:shd w:val="clear" w:color="auto" w:fill="auto"/>
            <w:vAlign w:val="center"/>
          </w:tcPr>
          <w:p>
            <w:pPr>
              <w:spacing w:line="300" w:lineRule="exact"/>
              <w:jc w:val="left"/>
              <w:rPr>
                <w:rFonts w:ascii="仿宋_GB2312" w:eastAsia="仿宋_GB2312"/>
              </w:rPr>
            </w:pPr>
          </w:p>
        </w:tc>
        <w:tc>
          <w:tcPr>
            <w:tcW w:w="737" w:type="dxa"/>
            <w:shd w:val="clear" w:color="auto" w:fill="auto"/>
            <w:vAlign w:val="center"/>
          </w:tcPr>
          <w:p>
            <w:pPr>
              <w:spacing w:line="300" w:lineRule="exact"/>
              <w:jc w:val="center"/>
              <w:rPr>
                <w:rFonts w:ascii="仿宋_GB2312" w:eastAsia="仿宋_GB2312"/>
              </w:rPr>
            </w:pPr>
          </w:p>
        </w:tc>
        <w:tc>
          <w:tcPr>
            <w:tcW w:w="737" w:type="dxa"/>
            <w:gridSpan w:val="2"/>
            <w:shd w:val="clear" w:color="auto" w:fill="auto"/>
            <w:vAlign w:val="center"/>
          </w:tcPr>
          <w:p>
            <w:pPr>
              <w:spacing w:line="300" w:lineRule="exact"/>
              <w:jc w:val="center"/>
              <w:rPr>
                <w:rFonts w:ascii="仿宋_GB2312" w:eastAsia="仿宋_GB2312"/>
              </w:rPr>
            </w:pPr>
          </w:p>
        </w:tc>
        <w:tc>
          <w:tcPr>
            <w:tcW w:w="737" w:type="dxa"/>
            <w:shd w:val="clear" w:color="auto" w:fill="auto"/>
            <w:vAlign w:val="center"/>
          </w:tcPr>
          <w:p>
            <w:pPr>
              <w:spacing w:line="300" w:lineRule="exact"/>
              <w:jc w:val="center"/>
              <w:rPr>
                <w:rFonts w:ascii="仿宋_GB2312" w:eastAsia="仿宋_GB2312"/>
              </w:rPr>
            </w:pPr>
          </w:p>
        </w:tc>
        <w:tc>
          <w:tcPr>
            <w:tcW w:w="737" w:type="dxa"/>
            <w:shd w:val="clear" w:color="auto" w:fill="auto"/>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rPr>
            </w:pPr>
            <w:r>
              <w:rPr>
                <w:rFonts w:hint="eastAsia" w:ascii="仿宋_GB2312" w:eastAsia="仿宋_GB2312"/>
                <w:b/>
              </w:rPr>
              <w:t>　　1、高校毕业生的管理</w:t>
            </w:r>
          </w:p>
        </w:tc>
        <w:tc>
          <w:tcPr>
            <w:tcW w:w="1276" w:type="dxa"/>
            <w:gridSpan w:val="2"/>
            <w:shd w:val="clear" w:color="auto" w:fill="auto"/>
            <w:vAlign w:val="center"/>
          </w:tcPr>
          <w:p>
            <w:pPr>
              <w:spacing w:line="300" w:lineRule="exact"/>
              <w:jc w:val="left"/>
              <w:rPr>
                <w:rFonts w:ascii="仿宋_GB2312" w:eastAsia="仿宋_GB2312"/>
              </w:rPr>
            </w:pP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为高校毕业生做好报到、档案接收管理、转正定级、档案工资调整、职称录入等工作。</w:t>
            </w: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做好高校毕业生接收工作</w:t>
            </w:r>
          </w:p>
        </w:tc>
        <w:tc>
          <w:tcPr>
            <w:tcW w:w="1417" w:type="dxa"/>
            <w:shd w:val="clear" w:color="auto" w:fill="auto"/>
            <w:vAlign w:val="center"/>
          </w:tcPr>
          <w:p>
            <w:pPr>
              <w:spacing w:line="300" w:lineRule="exact"/>
              <w:jc w:val="left"/>
              <w:rPr>
                <w:rFonts w:ascii="仿宋_GB2312" w:eastAsia="仿宋_GB2312"/>
              </w:rPr>
            </w:pPr>
            <w:r>
              <w:rPr>
                <w:rFonts w:hint="eastAsia" w:ascii="仿宋_GB2312" w:eastAsia="仿宋_GB2312"/>
              </w:rPr>
              <w:t>生源地高校毕业生接收率</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100%</w:t>
            </w:r>
          </w:p>
        </w:tc>
        <w:tc>
          <w:tcPr>
            <w:tcW w:w="737" w:type="dxa"/>
            <w:gridSpan w:val="2"/>
            <w:shd w:val="clear" w:color="auto" w:fill="auto"/>
            <w:vAlign w:val="center"/>
          </w:tcPr>
          <w:p>
            <w:pPr>
              <w:spacing w:line="300" w:lineRule="exact"/>
              <w:jc w:val="center"/>
              <w:rPr>
                <w:rFonts w:ascii="仿宋_GB2312" w:eastAsia="仿宋_GB2312"/>
              </w:rPr>
            </w:pPr>
            <w:r>
              <w:rPr>
                <w:rFonts w:hint="eastAsia" w:ascii="仿宋_GB2312" w:eastAsia="仿宋_GB2312"/>
              </w:rPr>
              <w:t>≥95%</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rPr>
            </w:pPr>
            <w:r>
              <w:rPr>
                <w:rFonts w:hint="eastAsia" w:ascii="仿宋_GB2312" w:eastAsia="仿宋_GB2312"/>
                <w:b/>
              </w:rPr>
              <w:t>三、人事管理</w:t>
            </w:r>
          </w:p>
        </w:tc>
        <w:tc>
          <w:tcPr>
            <w:tcW w:w="1276" w:type="dxa"/>
            <w:gridSpan w:val="2"/>
            <w:shd w:val="clear" w:color="auto" w:fill="auto"/>
            <w:vAlign w:val="center"/>
          </w:tcPr>
          <w:p>
            <w:pPr>
              <w:spacing w:line="300" w:lineRule="exact"/>
              <w:jc w:val="left"/>
              <w:rPr>
                <w:rFonts w:ascii="仿宋_GB2312" w:eastAsia="仿宋_GB2312"/>
              </w:rPr>
            </w:pP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管理人事工资政策，负责人事考试和事业单位岗位设置管理。</w:t>
            </w: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确保事业单位公开招聘公平、公正。规范事业单位人事管理工作。</w:t>
            </w:r>
          </w:p>
        </w:tc>
        <w:tc>
          <w:tcPr>
            <w:tcW w:w="1417" w:type="dxa"/>
            <w:shd w:val="clear" w:color="auto" w:fill="auto"/>
            <w:vAlign w:val="center"/>
          </w:tcPr>
          <w:p>
            <w:pPr>
              <w:spacing w:line="300" w:lineRule="exact"/>
              <w:jc w:val="left"/>
              <w:rPr>
                <w:rFonts w:ascii="仿宋_GB2312" w:eastAsia="仿宋_GB2312"/>
              </w:rPr>
            </w:pPr>
          </w:p>
        </w:tc>
        <w:tc>
          <w:tcPr>
            <w:tcW w:w="737" w:type="dxa"/>
            <w:shd w:val="clear" w:color="auto" w:fill="auto"/>
            <w:vAlign w:val="center"/>
          </w:tcPr>
          <w:p>
            <w:pPr>
              <w:spacing w:line="300" w:lineRule="exact"/>
              <w:jc w:val="center"/>
              <w:rPr>
                <w:rFonts w:ascii="仿宋_GB2312" w:eastAsia="仿宋_GB2312"/>
              </w:rPr>
            </w:pPr>
          </w:p>
        </w:tc>
        <w:tc>
          <w:tcPr>
            <w:tcW w:w="737" w:type="dxa"/>
            <w:gridSpan w:val="2"/>
            <w:shd w:val="clear" w:color="auto" w:fill="auto"/>
            <w:vAlign w:val="center"/>
          </w:tcPr>
          <w:p>
            <w:pPr>
              <w:spacing w:line="300" w:lineRule="exact"/>
              <w:jc w:val="center"/>
              <w:rPr>
                <w:rFonts w:ascii="仿宋_GB2312" w:eastAsia="仿宋_GB2312"/>
              </w:rPr>
            </w:pPr>
          </w:p>
        </w:tc>
        <w:tc>
          <w:tcPr>
            <w:tcW w:w="737" w:type="dxa"/>
            <w:shd w:val="clear" w:color="auto" w:fill="auto"/>
            <w:vAlign w:val="center"/>
          </w:tcPr>
          <w:p>
            <w:pPr>
              <w:spacing w:line="300" w:lineRule="exact"/>
              <w:jc w:val="center"/>
              <w:rPr>
                <w:rFonts w:ascii="仿宋_GB2312" w:eastAsia="仿宋_GB2312"/>
              </w:rPr>
            </w:pPr>
          </w:p>
        </w:tc>
        <w:tc>
          <w:tcPr>
            <w:tcW w:w="737" w:type="dxa"/>
            <w:shd w:val="clear" w:color="auto" w:fill="auto"/>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rPr>
            </w:pPr>
            <w:r>
              <w:rPr>
                <w:rFonts w:hint="eastAsia" w:ascii="仿宋_GB2312" w:eastAsia="仿宋_GB2312"/>
              </w:rPr>
              <w:t>　　</w:t>
            </w:r>
          </w:p>
          <w:p>
            <w:pPr>
              <w:spacing w:line="300" w:lineRule="exact"/>
              <w:jc w:val="left"/>
              <w:rPr>
                <w:rFonts w:ascii="仿宋_GB2312" w:eastAsia="仿宋_GB2312"/>
              </w:rPr>
            </w:pPr>
            <w:r>
              <w:rPr>
                <w:rFonts w:hint="eastAsia" w:ascii="仿宋_GB2312" w:eastAsia="仿宋_GB2312"/>
              </w:rPr>
              <w:t>1、事业单位及工作人员管理</w:t>
            </w:r>
          </w:p>
        </w:tc>
        <w:tc>
          <w:tcPr>
            <w:tcW w:w="1276" w:type="dxa"/>
            <w:gridSpan w:val="2"/>
            <w:shd w:val="clear" w:color="auto" w:fill="auto"/>
            <w:vAlign w:val="center"/>
          </w:tcPr>
          <w:p>
            <w:pPr>
              <w:spacing w:line="300" w:lineRule="exact"/>
              <w:jc w:val="left"/>
              <w:rPr>
                <w:rFonts w:ascii="仿宋_GB2312" w:eastAsia="仿宋_GB2312"/>
              </w:rPr>
            </w:pPr>
          </w:p>
        </w:tc>
        <w:tc>
          <w:tcPr>
            <w:tcW w:w="2976" w:type="dxa"/>
            <w:gridSpan w:val="2"/>
            <w:shd w:val="clear" w:color="auto" w:fill="auto"/>
            <w:vAlign w:val="center"/>
          </w:tcPr>
          <w:p>
            <w:pPr>
              <w:spacing w:line="300" w:lineRule="exact"/>
              <w:jc w:val="left"/>
              <w:rPr>
                <w:rFonts w:ascii="仿宋_GB2312" w:eastAsia="仿宋_GB2312"/>
              </w:rPr>
            </w:pPr>
          </w:p>
          <w:p>
            <w:pPr>
              <w:spacing w:line="300" w:lineRule="exact"/>
              <w:jc w:val="left"/>
              <w:rPr>
                <w:rFonts w:ascii="仿宋_GB2312" w:eastAsia="仿宋_GB2312"/>
              </w:rPr>
            </w:pPr>
            <w:r>
              <w:rPr>
                <w:rFonts w:hint="eastAsia" w:ascii="仿宋_GB2312" w:eastAsia="仿宋_GB2312"/>
              </w:rPr>
              <w:t>规范事业单位人事管理工作，全面推行聘用制度。进一步深化事业单位人事制度改革，建立事业单位岗位动态管理机制。事业单位新进人员，全面实行公开招聘。</w:t>
            </w:r>
          </w:p>
        </w:tc>
        <w:tc>
          <w:tcPr>
            <w:tcW w:w="2976" w:type="dxa"/>
            <w:gridSpan w:val="2"/>
            <w:shd w:val="clear" w:color="auto" w:fill="auto"/>
            <w:vAlign w:val="center"/>
          </w:tcPr>
          <w:p>
            <w:pPr>
              <w:spacing w:line="300" w:lineRule="exact"/>
              <w:jc w:val="left"/>
              <w:rPr>
                <w:rFonts w:ascii="仿宋_GB2312" w:eastAsia="仿宋_GB2312"/>
              </w:rPr>
            </w:pPr>
          </w:p>
          <w:p>
            <w:pPr>
              <w:spacing w:line="300" w:lineRule="exact"/>
              <w:jc w:val="left"/>
              <w:rPr>
                <w:rFonts w:ascii="仿宋_GB2312" w:eastAsia="仿宋_GB2312"/>
              </w:rPr>
            </w:pPr>
            <w:r>
              <w:rPr>
                <w:rFonts w:hint="eastAsia" w:ascii="仿宋_GB2312" w:eastAsia="仿宋_GB2312"/>
              </w:rPr>
              <w:t>事业单位一律实行合同管理，做到"应签尽签"；建立聘用合同登记制度。</w:t>
            </w:r>
          </w:p>
        </w:tc>
        <w:tc>
          <w:tcPr>
            <w:tcW w:w="1417" w:type="dxa"/>
            <w:shd w:val="clear" w:color="auto" w:fill="auto"/>
            <w:vAlign w:val="center"/>
          </w:tcPr>
          <w:p>
            <w:pPr>
              <w:spacing w:line="300" w:lineRule="exact"/>
              <w:jc w:val="left"/>
              <w:rPr>
                <w:rFonts w:ascii="仿宋_GB2312" w:eastAsia="仿宋_GB2312"/>
              </w:rPr>
            </w:pPr>
          </w:p>
          <w:p>
            <w:pPr>
              <w:spacing w:line="300" w:lineRule="exact"/>
              <w:jc w:val="left"/>
              <w:rPr>
                <w:rFonts w:ascii="仿宋_GB2312" w:eastAsia="仿宋_GB2312"/>
              </w:rPr>
            </w:pPr>
            <w:r>
              <w:rPr>
                <w:rFonts w:hint="eastAsia" w:ascii="仿宋_GB2312" w:eastAsia="仿宋_GB2312"/>
              </w:rPr>
              <w:t>事业单位调查满意率</w:t>
            </w:r>
          </w:p>
        </w:tc>
        <w:tc>
          <w:tcPr>
            <w:tcW w:w="737" w:type="dxa"/>
            <w:shd w:val="clear" w:color="auto" w:fill="auto"/>
            <w:vAlign w:val="center"/>
          </w:tcPr>
          <w:p>
            <w:pPr>
              <w:spacing w:line="300" w:lineRule="exact"/>
              <w:jc w:val="center"/>
              <w:rPr>
                <w:rFonts w:ascii="仿宋_GB2312" w:eastAsia="仿宋_GB2312"/>
              </w:rPr>
            </w:pPr>
          </w:p>
          <w:p>
            <w:pPr>
              <w:spacing w:line="300" w:lineRule="exact"/>
              <w:jc w:val="center"/>
              <w:rPr>
                <w:rFonts w:ascii="仿宋_GB2312" w:eastAsia="仿宋_GB2312"/>
              </w:rPr>
            </w:pPr>
            <w:r>
              <w:rPr>
                <w:rFonts w:hint="eastAsia" w:ascii="仿宋_GB2312" w:eastAsia="仿宋_GB2312"/>
              </w:rPr>
              <w:t>100%</w:t>
            </w:r>
          </w:p>
        </w:tc>
        <w:tc>
          <w:tcPr>
            <w:tcW w:w="737" w:type="dxa"/>
            <w:gridSpan w:val="2"/>
            <w:shd w:val="clear" w:color="auto" w:fill="auto"/>
            <w:vAlign w:val="center"/>
          </w:tcPr>
          <w:p>
            <w:pPr>
              <w:spacing w:line="300" w:lineRule="exact"/>
              <w:jc w:val="center"/>
              <w:rPr>
                <w:rFonts w:ascii="仿宋_GB2312" w:eastAsia="仿宋_GB2312"/>
              </w:rPr>
            </w:pPr>
          </w:p>
          <w:p>
            <w:pPr>
              <w:spacing w:line="300" w:lineRule="exact"/>
              <w:jc w:val="center"/>
              <w:rPr>
                <w:rFonts w:ascii="仿宋_GB2312" w:eastAsia="仿宋_GB2312"/>
              </w:rPr>
            </w:pPr>
            <w:r>
              <w:rPr>
                <w:rFonts w:hint="eastAsia" w:ascii="仿宋_GB2312" w:eastAsia="仿宋_GB2312"/>
              </w:rPr>
              <w:t>≥95%</w:t>
            </w:r>
          </w:p>
        </w:tc>
        <w:tc>
          <w:tcPr>
            <w:tcW w:w="737" w:type="dxa"/>
            <w:shd w:val="clear" w:color="auto" w:fill="auto"/>
            <w:vAlign w:val="center"/>
          </w:tcPr>
          <w:p>
            <w:pPr>
              <w:spacing w:line="300" w:lineRule="exact"/>
              <w:jc w:val="center"/>
              <w:rPr>
                <w:rFonts w:ascii="仿宋_GB2312" w:eastAsia="仿宋_GB2312"/>
              </w:rPr>
            </w:pPr>
          </w:p>
          <w:p>
            <w:pPr>
              <w:spacing w:line="300" w:lineRule="exact"/>
              <w:jc w:val="center"/>
              <w:rPr>
                <w:rFonts w:ascii="仿宋_GB2312" w:eastAsia="仿宋_GB2312"/>
              </w:rPr>
            </w:pPr>
            <w:r>
              <w:rPr>
                <w:rFonts w:hint="eastAsia" w:ascii="仿宋_GB2312" w:eastAsia="仿宋_GB2312"/>
              </w:rPr>
              <w:t>≥90%</w:t>
            </w:r>
          </w:p>
        </w:tc>
        <w:tc>
          <w:tcPr>
            <w:tcW w:w="737" w:type="dxa"/>
            <w:shd w:val="clear" w:color="auto" w:fill="auto"/>
            <w:vAlign w:val="center"/>
          </w:tcPr>
          <w:p>
            <w:pPr>
              <w:spacing w:line="300" w:lineRule="exact"/>
              <w:jc w:val="center"/>
              <w:rPr>
                <w:rFonts w:ascii="仿宋_GB2312" w:eastAsia="仿宋_GB2312"/>
              </w:rPr>
            </w:pPr>
          </w:p>
          <w:p>
            <w:pPr>
              <w:spacing w:line="300" w:lineRule="exact"/>
              <w:jc w:val="center"/>
              <w:rPr>
                <w:rFonts w:ascii="仿宋_GB2312" w:eastAsia="仿宋_GB2312"/>
              </w:rPr>
            </w:pPr>
            <w:r>
              <w:rPr>
                <w:rFonts w:hint="eastAsia" w:ascii="仿宋_GB2312" w:eastAsia="仿宋_GB2312"/>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rPr>
            </w:pPr>
            <w:r>
              <w:rPr>
                <w:rFonts w:hint="eastAsia" w:ascii="仿宋_GB2312" w:eastAsia="仿宋_GB2312"/>
                <w:b/>
              </w:rPr>
              <w:t>四、人力资源信息管理</w:t>
            </w:r>
          </w:p>
        </w:tc>
        <w:tc>
          <w:tcPr>
            <w:tcW w:w="1276" w:type="dxa"/>
            <w:gridSpan w:val="2"/>
            <w:shd w:val="clear" w:color="auto" w:fill="auto"/>
            <w:vAlign w:val="center"/>
          </w:tcPr>
          <w:p>
            <w:pPr>
              <w:spacing w:line="300" w:lineRule="exact"/>
              <w:jc w:val="left"/>
              <w:rPr>
                <w:rFonts w:ascii="仿宋_GB2312" w:eastAsia="仿宋_GB2312"/>
              </w:rPr>
            </w:pP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完善档案管理等基础性工作</w:t>
            </w: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认真做好档案的转接、保管和使用，为群众做好优质的档案服务。</w:t>
            </w:r>
          </w:p>
        </w:tc>
        <w:tc>
          <w:tcPr>
            <w:tcW w:w="1417" w:type="dxa"/>
            <w:shd w:val="clear" w:color="auto" w:fill="auto"/>
            <w:vAlign w:val="center"/>
          </w:tcPr>
          <w:p>
            <w:pPr>
              <w:spacing w:line="300" w:lineRule="exact"/>
              <w:jc w:val="left"/>
              <w:rPr>
                <w:rFonts w:ascii="仿宋_GB2312" w:eastAsia="仿宋_GB2312"/>
              </w:rPr>
            </w:pPr>
          </w:p>
        </w:tc>
        <w:tc>
          <w:tcPr>
            <w:tcW w:w="737" w:type="dxa"/>
            <w:shd w:val="clear" w:color="auto" w:fill="auto"/>
            <w:vAlign w:val="center"/>
          </w:tcPr>
          <w:p>
            <w:pPr>
              <w:spacing w:line="300" w:lineRule="exact"/>
              <w:jc w:val="center"/>
              <w:rPr>
                <w:rFonts w:ascii="仿宋_GB2312" w:eastAsia="仿宋_GB2312"/>
              </w:rPr>
            </w:pPr>
          </w:p>
        </w:tc>
        <w:tc>
          <w:tcPr>
            <w:tcW w:w="737" w:type="dxa"/>
            <w:gridSpan w:val="2"/>
            <w:shd w:val="clear" w:color="auto" w:fill="auto"/>
            <w:vAlign w:val="center"/>
          </w:tcPr>
          <w:p>
            <w:pPr>
              <w:spacing w:line="300" w:lineRule="exact"/>
              <w:jc w:val="center"/>
              <w:rPr>
                <w:rFonts w:ascii="仿宋_GB2312" w:eastAsia="仿宋_GB2312"/>
              </w:rPr>
            </w:pPr>
          </w:p>
        </w:tc>
        <w:tc>
          <w:tcPr>
            <w:tcW w:w="737" w:type="dxa"/>
            <w:shd w:val="clear" w:color="auto" w:fill="auto"/>
            <w:vAlign w:val="center"/>
          </w:tcPr>
          <w:p>
            <w:pPr>
              <w:spacing w:line="300" w:lineRule="exact"/>
              <w:jc w:val="center"/>
              <w:rPr>
                <w:rFonts w:ascii="仿宋_GB2312" w:eastAsia="仿宋_GB2312"/>
              </w:rPr>
            </w:pPr>
          </w:p>
        </w:tc>
        <w:tc>
          <w:tcPr>
            <w:tcW w:w="737" w:type="dxa"/>
            <w:shd w:val="clear" w:color="auto" w:fill="auto"/>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rPr>
            </w:pPr>
            <w:r>
              <w:rPr>
                <w:rFonts w:hint="eastAsia" w:ascii="仿宋_GB2312" w:eastAsia="仿宋_GB2312"/>
                <w:b/>
              </w:rPr>
              <w:t>　　1、档案管理</w:t>
            </w:r>
          </w:p>
        </w:tc>
        <w:tc>
          <w:tcPr>
            <w:tcW w:w="1276" w:type="dxa"/>
            <w:gridSpan w:val="2"/>
            <w:shd w:val="clear" w:color="auto" w:fill="auto"/>
            <w:vAlign w:val="center"/>
          </w:tcPr>
          <w:p>
            <w:pPr>
              <w:spacing w:line="300" w:lineRule="exact"/>
              <w:jc w:val="left"/>
              <w:rPr>
                <w:rFonts w:ascii="仿宋_GB2312" w:eastAsia="仿宋_GB2312"/>
              </w:rPr>
            </w:pP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管理并完善包括改制企业职工、自由职业者、机关事业单位工人、人事代理、大学生村官、社区协助员及协警、失业人员、退伍军人、下乡知青和退休人员等在内的各类人事档案，并做好档案的收存、查阅和审核等各项基础工作。</w:t>
            </w: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档案接转、保管、使用</w:t>
            </w:r>
          </w:p>
        </w:tc>
        <w:tc>
          <w:tcPr>
            <w:tcW w:w="1417" w:type="dxa"/>
            <w:shd w:val="clear" w:color="auto" w:fill="auto"/>
            <w:vAlign w:val="center"/>
          </w:tcPr>
          <w:p>
            <w:pPr>
              <w:spacing w:line="300" w:lineRule="exact"/>
              <w:jc w:val="left"/>
              <w:rPr>
                <w:rFonts w:ascii="仿宋_GB2312" w:eastAsia="仿宋_GB2312"/>
              </w:rPr>
            </w:pPr>
            <w:r>
              <w:rPr>
                <w:rFonts w:hint="eastAsia" w:ascii="仿宋_GB2312" w:eastAsia="仿宋_GB2312"/>
              </w:rPr>
              <w:t>档案保管完整率</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100%</w:t>
            </w:r>
          </w:p>
        </w:tc>
        <w:tc>
          <w:tcPr>
            <w:tcW w:w="737" w:type="dxa"/>
            <w:gridSpan w:val="2"/>
            <w:shd w:val="clear" w:color="auto" w:fill="auto"/>
            <w:vAlign w:val="center"/>
          </w:tcPr>
          <w:p>
            <w:pPr>
              <w:spacing w:line="300" w:lineRule="exact"/>
              <w:jc w:val="center"/>
              <w:rPr>
                <w:rFonts w:ascii="仿宋_GB2312" w:eastAsia="仿宋_GB2312"/>
              </w:rPr>
            </w:pPr>
            <w:r>
              <w:rPr>
                <w:rFonts w:hint="eastAsia" w:ascii="仿宋_GB2312" w:eastAsia="仿宋_GB2312"/>
              </w:rPr>
              <w:t>≥95%</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rPr>
            </w:pPr>
            <w:r>
              <w:rPr>
                <w:rFonts w:hint="eastAsia" w:ascii="仿宋_GB2312" w:eastAsia="仿宋_GB2312"/>
                <w:b/>
              </w:rPr>
              <w:t>五、社会保险</w:t>
            </w:r>
          </w:p>
        </w:tc>
        <w:tc>
          <w:tcPr>
            <w:tcW w:w="1276" w:type="dxa"/>
            <w:gridSpan w:val="2"/>
            <w:shd w:val="clear" w:color="auto" w:fill="auto"/>
            <w:vAlign w:val="center"/>
          </w:tcPr>
          <w:p>
            <w:pPr>
              <w:spacing w:line="300" w:lineRule="exact"/>
              <w:jc w:val="left"/>
              <w:rPr>
                <w:rFonts w:ascii="仿宋_GB2312" w:eastAsia="仿宋_GB2312"/>
              </w:rPr>
            </w:pP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负责社会保险费征收、支付和管理</w:t>
            </w: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参保单位和人员的登记，社会保险费的征收和支付，个人账户的管理，社会保险待遇审核，社保基金的管理</w:t>
            </w:r>
          </w:p>
        </w:tc>
        <w:tc>
          <w:tcPr>
            <w:tcW w:w="1417" w:type="dxa"/>
            <w:shd w:val="clear" w:color="auto" w:fill="auto"/>
            <w:vAlign w:val="center"/>
          </w:tcPr>
          <w:p>
            <w:pPr>
              <w:spacing w:line="300" w:lineRule="exact"/>
              <w:jc w:val="left"/>
              <w:rPr>
                <w:rFonts w:ascii="仿宋_GB2312" w:eastAsia="仿宋_GB2312"/>
              </w:rPr>
            </w:pPr>
          </w:p>
        </w:tc>
        <w:tc>
          <w:tcPr>
            <w:tcW w:w="737" w:type="dxa"/>
            <w:shd w:val="clear" w:color="auto" w:fill="auto"/>
            <w:vAlign w:val="center"/>
          </w:tcPr>
          <w:p>
            <w:pPr>
              <w:spacing w:line="300" w:lineRule="exact"/>
              <w:jc w:val="center"/>
              <w:rPr>
                <w:rFonts w:ascii="仿宋_GB2312" w:eastAsia="仿宋_GB2312"/>
              </w:rPr>
            </w:pPr>
          </w:p>
        </w:tc>
        <w:tc>
          <w:tcPr>
            <w:tcW w:w="737" w:type="dxa"/>
            <w:gridSpan w:val="2"/>
            <w:shd w:val="clear" w:color="auto" w:fill="auto"/>
            <w:vAlign w:val="center"/>
          </w:tcPr>
          <w:p>
            <w:pPr>
              <w:spacing w:line="300" w:lineRule="exact"/>
              <w:jc w:val="center"/>
              <w:rPr>
                <w:rFonts w:ascii="仿宋_GB2312" w:eastAsia="仿宋_GB2312"/>
              </w:rPr>
            </w:pPr>
          </w:p>
        </w:tc>
        <w:tc>
          <w:tcPr>
            <w:tcW w:w="737" w:type="dxa"/>
            <w:shd w:val="clear" w:color="auto" w:fill="auto"/>
            <w:vAlign w:val="center"/>
          </w:tcPr>
          <w:p>
            <w:pPr>
              <w:spacing w:line="300" w:lineRule="exact"/>
              <w:jc w:val="center"/>
              <w:rPr>
                <w:rFonts w:ascii="仿宋_GB2312" w:eastAsia="仿宋_GB2312"/>
              </w:rPr>
            </w:pPr>
          </w:p>
        </w:tc>
        <w:tc>
          <w:tcPr>
            <w:tcW w:w="737" w:type="dxa"/>
            <w:shd w:val="clear" w:color="auto" w:fill="auto"/>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rPr>
            </w:pPr>
            <w:r>
              <w:rPr>
                <w:rFonts w:hint="eastAsia" w:ascii="仿宋_GB2312" w:eastAsia="仿宋_GB2312"/>
                <w:b/>
              </w:rPr>
              <w:t>　　1、企业职工基本养老保险</w:t>
            </w:r>
          </w:p>
        </w:tc>
        <w:tc>
          <w:tcPr>
            <w:tcW w:w="1276" w:type="dxa"/>
            <w:gridSpan w:val="2"/>
            <w:shd w:val="clear" w:color="auto" w:fill="auto"/>
            <w:vAlign w:val="center"/>
          </w:tcPr>
          <w:p>
            <w:pPr>
              <w:spacing w:line="300" w:lineRule="exact"/>
              <w:jc w:val="left"/>
              <w:rPr>
                <w:rFonts w:ascii="仿宋_GB2312" w:eastAsia="仿宋_GB2312"/>
              </w:rPr>
            </w:pP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负责参保单位和人员的登记，养老保险费征收，个人账户的管理，养老保险待遇的审核和计发</w:t>
            </w: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逐步扩大养老保险覆盖面，养老保险待遇按时足额发放</w:t>
            </w:r>
          </w:p>
        </w:tc>
        <w:tc>
          <w:tcPr>
            <w:tcW w:w="1417" w:type="dxa"/>
            <w:shd w:val="clear" w:color="auto" w:fill="auto"/>
            <w:vAlign w:val="center"/>
          </w:tcPr>
          <w:p>
            <w:pPr>
              <w:spacing w:line="300" w:lineRule="exact"/>
              <w:jc w:val="left"/>
              <w:rPr>
                <w:rFonts w:ascii="仿宋_GB2312" w:eastAsia="仿宋_GB2312"/>
              </w:rPr>
            </w:pPr>
            <w:r>
              <w:rPr>
                <w:rFonts w:hint="eastAsia" w:ascii="仿宋_GB2312" w:eastAsia="仿宋_GB2312"/>
              </w:rPr>
              <w:t>养老保险覆盖面完成市达目标任务</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100%</w:t>
            </w:r>
          </w:p>
        </w:tc>
        <w:tc>
          <w:tcPr>
            <w:tcW w:w="737" w:type="dxa"/>
            <w:gridSpan w:val="2"/>
            <w:shd w:val="clear" w:color="auto" w:fill="auto"/>
            <w:vAlign w:val="center"/>
          </w:tcPr>
          <w:p>
            <w:pPr>
              <w:spacing w:line="300" w:lineRule="exact"/>
              <w:jc w:val="center"/>
              <w:rPr>
                <w:rFonts w:ascii="仿宋_GB2312" w:eastAsia="仿宋_GB2312"/>
              </w:rPr>
            </w:pPr>
            <w:r>
              <w:rPr>
                <w:rFonts w:hint="eastAsia" w:ascii="仿宋_GB2312" w:eastAsia="仿宋_GB2312"/>
              </w:rPr>
              <w:t>≥95%</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rPr>
            </w:pPr>
            <w:r>
              <w:rPr>
                <w:rFonts w:hint="eastAsia" w:ascii="仿宋_GB2312" w:eastAsia="仿宋_GB2312"/>
                <w:b/>
              </w:rPr>
              <w:t>　　2、失业保险</w:t>
            </w:r>
          </w:p>
        </w:tc>
        <w:tc>
          <w:tcPr>
            <w:tcW w:w="1276" w:type="dxa"/>
            <w:gridSpan w:val="2"/>
            <w:shd w:val="clear" w:color="auto" w:fill="auto"/>
            <w:vAlign w:val="center"/>
          </w:tcPr>
          <w:p>
            <w:pPr>
              <w:spacing w:line="300" w:lineRule="exact"/>
              <w:jc w:val="left"/>
              <w:rPr>
                <w:rFonts w:ascii="仿宋_GB2312" w:eastAsia="仿宋_GB2312"/>
              </w:rPr>
            </w:pP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负责失业保险费征收，失业保险待遇的审核和发放</w:t>
            </w: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逐步扩大失业保险覆盖面，失业保险待遇按时足额发放</w:t>
            </w:r>
          </w:p>
        </w:tc>
        <w:tc>
          <w:tcPr>
            <w:tcW w:w="1417" w:type="dxa"/>
            <w:shd w:val="clear" w:color="auto" w:fill="auto"/>
            <w:vAlign w:val="center"/>
          </w:tcPr>
          <w:p>
            <w:pPr>
              <w:spacing w:line="300" w:lineRule="exact"/>
              <w:jc w:val="left"/>
              <w:rPr>
                <w:rFonts w:ascii="仿宋_GB2312" w:eastAsia="仿宋_GB2312"/>
              </w:rPr>
            </w:pPr>
            <w:r>
              <w:rPr>
                <w:rFonts w:hint="eastAsia" w:ascii="仿宋_GB2312" w:eastAsia="仿宋_GB2312"/>
              </w:rPr>
              <w:t>失业保险覆盖面和征收完成市达目标任务</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100%</w:t>
            </w:r>
          </w:p>
        </w:tc>
        <w:tc>
          <w:tcPr>
            <w:tcW w:w="737" w:type="dxa"/>
            <w:gridSpan w:val="2"/>
            <w:shd w:val="clear" w:color="auto" w:fill="auto"/>
            <w:vAlign w:val="center"/>
          </w:tcPr>
          <w:p>
            <w:pPr>
              <w:spacing w:line="300" w:lineRule="exact"/>
              <w:jc w:val="center"/>
              <w:rPr>
                <w:rFonts w:ascii="仿宋_GB2312" w:eastAsia="仿宋_GB2312"/>
              </w:rPr>
            </w:pPr>
            <w:r>
              <w:rPr>
                <w:rFonts w:hint="eastAsia" w:ascii="仿宋_GB2312" w:eastAsia="仿宋_GB2312"/>
              </w:rPr>
              <w:t>≥95%</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rPr>
            </w:pPr>
            <w:r>
              <w:rPr>
                <w:rFonts w:hint="eastAsia" w:ascii="仿宋_GB2312" w:eastAsia="仿宋_GB2312"/>
                <w:b/>
              </w:rPr>
              <w:t>　　3、工伤保险</w:t>
            </w:r>
          </w:p>
        </w:tc>
        <w:tc>
          <w:tcPr>
            <w:tcW w:w="1276" w:type="dxa"/>
            <w:gridSpan w:val="2"/>
            <w:shd w:val="clear" w:color="auto" w:fill="auto"/>
            <w:vAlign w:val="center"/>
          </w:tcPr>
          <w:p>
            <w:pPr>
              <w:spacing w:line="300" w:lineRule="exact"/>
              <w:jc w:val="left"/>
              <w:rPr>
                <w:rFonts w:ascii="仿宋_GB2312" w:eastAsia="仿宋_GB2312"/>
              </w:rPr>
            </w:pP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负责工伤保险费征收，工伤保险待遇的审核和支付</w:t>
            </w: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逐步扩大工伤保险覆盖面，足额支付工伤保险待遇</w:t>
            </w:r>
          </w:p>
        </w:tc>
        <w:tc>
          <w:tcPr>
            <w:tcW w:w="1417" w:type="dxa"/>
            <w:shd w:val="clear" w:color="auto" w:fill="auto"/>
            <w:vAlign w:val="center"/>
          </w:tcPr>
          <w:p>
            <w:pPr>
              <w:spacing w:line="300" w:lineRule="exact"/>
              <w:jc w:val="left"/>
              <w:rPr>
                <w:rFonts w:ascii="仿宋_GB2312" w:eastAsia="仿宋_GB2312"/>
              </w:rPr>
            </w:pPr>
            <w:r>
              <w:rPr>
                <w:rFonts w:hint="eastAsia" w:ascii="仿宋_GB2312" w:eastAsia="仿宋_GB2312"/>
              </w:rPr>
              <w:t>工伤保险覆盖面和征收完成市达目标任务</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100%</w:t>
            </w:r>
          </w:p>
        </w:tc>
        <w:tc>
          <w:tcPr>
            <w:tcW w:w="737" w:type="dxa"/>
            <w:gridSpan w:val="2"/>
            <w:shd w:val="clear" w:color="auto" w:fill="auto"/>
            <w:vAlign w:val="center"/>
          </w:tcPr>
          <w:p>
            <w:pPr>
              <w:spacing w:line="300" w:lineRule="exact"/>
              <w:jc w:val="center"/>
              <w:rPr>
                <w:rFonts w:ascii="仿宋_GB2312" w:eastAsia="仿宋_GB2312"/>
              </w:rPr>
            </w:pPr>
            <w:r>
              <w:rPr>
                <w:rFonts w:hint="eastAsia" w:ascii="仿宋_GB2312" w:eastAsia="仿宋_GB2312"/>
              </w:rPr>
              <w:t>≥95%</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rPr>
            </w:pPr>
            <w:r>
              <w:rPr>
                <w:rFonts w:hint="eastAsia" w:ascii="仿宋_GB2312" w:eastAsia="仿宋_GB2312"/>
                <w:b/>
              </w:rPr>
              <w:t>　　4、机关事业养老保险</w:t>
            </w:r>
          </w:p>
        </w:tc>
        <w:tc>
          <w:tcPr>
            <w:tcW w:w="1276" w:type="dxa"/>
            <w:gridSpan w:val="2"/>
            <w:shd w:val="clear" w:color="auto" w:fill="auto"/>
            <w:vAlign w:val="center"/>
          </w:tcPr>
          <w:p>
            <w:pPr>
              <w:spacing w:line="300" w:lineRule="exact"/>
              <w:jc w:val="left"/>
              <w:rPr>
                <w:rFonts w:ascii="仿宋_GB2312" w:eastAsia="仿宋_GB2312"/>
              </w:rPr>
            </w:pP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负责参保单位的登记，养老保险费征收，个人账户的管理，养老保险待遇的审核和计发</w:t>
            </w: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足额征收养老保险费，养老保险待遇按时足额发放</w:t>
            </w:r>
          </w:p>
        </w:tc>
        <w:tc>
          <w:tcPr>
            <w:tcW w:w="1417" w:type="dxa"/>
            <w:shd w:val="clear" w:color="auto" w:fill="auto"/>
            <w:vAlign w:val="center"/>
          </w:tcPr>
          <w:p>
            <w:pPr>
              <w:spacing w:line="300" w:lineRule="exact"/>
              <w:jc w:val="left"/>
              <w:rPr>
                <w:rFonts w:ascii="仿宋_GB2312" w:eastAsia="仿宋_GB2312"/>
              </w:rPr>
            </w:pPr>
            <w:r>
              <w:rPr>
                <w:rFonts w:hint="eastAsia" w:ascii="仿宋_GB2312" w:eastAsia="仿宋_GB2312"/>
              </w:rPr>
              <w:t>参保、征缴、发放率到达100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100%</w:t>
            </w:r>
          </w:p>
        </w:tc>
        <w:tc>
          <w:tcPr>
            <w:tcW w:w="737" w:type="dxa"/>
            <w:gridSpan w:val="2"/>
            <w:shd w:val="clear" w:color="auto" w:fill="auto"/>
            <w:vAlign w:val="center"/>
          </w:tcPr>
          <w:p>
            <w:pPr>
              <w:spacing w:line="300" w:lineRule="exact"/>
              <w:jc w:val="center"/>
              <w:rPr>
                <w:rFonts w:ascii="仿宋_GB2312" w:eastAsia="仿宋_GB2312"/>
              </w:rPr>
            </w:pPr>
            <w:r>
              <w:rPr>
                <w:rFonts w:hint="eastAsia" w:ascii="仿宋_GB2312" w:eastAsia="仿宋_GB2312"/>
              </w:rPr>
              <w:t>≥95%</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rPr>
            </w:pPr>
            <w:r>
              <w:rPr>
                <w:rFonts w:hint="eastAsia" w:ascii="仿宋_GB2312" w:eastAsia="仿宋_GB2312"/>
                <w:b/>
              </w:rPr>
              <w:t>　　5、城乡居民养老保险</w:t>
            </w:r>
          </w:p>
        </w:tc>
        <w:tc>
          <w:tcPr>
            <w:tcW w:w="1276" w:type="dxa"/>
            <w:gridSpan w:val="2"/>
            <w:shd w:val="clear" w:color="auto" w:fill="auto"/>
            <w:vAlign w:val="center"/>
          </w:tcPr>
          <w:p>
            <w:pPr>
              <w:spacing w:line="300" w:lineRule="exact"/>
              <w:jc w:val="left"/>
              <w:rPr>
                <w:rFonts w:ascii="仿宋_GB2312" w:eastAsia="仿宋_GB2312"/>
              </w:rPr>
            </w:pP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负责参保人员的登记，养老保险费征收，个人账户的管理，养老保险待遇的审核和计发</w:t>
            </w: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足额征收养老保险费，养老保险待遇按时足额发放</w:t>
            </w:r>
          </w:p>
        </w:tc>
        <w:tc>
          <w:tcPr>
            <w:tcW w:w="1417" w:type="dxa"/>
            <w:shd w:val="clear" w:color="auto" w:fill="auto"/>
            <w:vAlign w:val="center"/>
          </w:tcPr>
          <w:p>
            <w:pPr>
              <w:spacing w:line="300" w:lineRule="exact"/>
              <w:jc w:val="left"/>
              <w:rPr>
                <w:rFonts w:ascii="仿宋_GB2312" w:eastAsia="仿宋_GB2312"/>
              </w:rPr>
            </w:pPr>
            <w:r>
              <w:rPr>
                <w:rFonts w:hint="eastAsia" w:ascii="仿宋_GB2312" w:eastAsia="仿宋_GB2312"/>
              </w:rPr>
              <w:t>参保率达95%以上，按政策规定征收养老保险费，养老保险待遇按时发放</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100%</w:t>
            </w:r>
          </w:p>
        </w:tc>
        <w:tc>
          <w:tcPr>
            <w:tcW w:w="737" w:type="dxa"/>
            <w:gridSpan w:val="2"/>
            <w:shd w:val="clear" w:color="auto" w:fill="auto"/>
            <w:vAlign w:val="center"/>
          </w:tcPr>
          <w:p>
            <w:pPr>
              <w:spacing w:line="300" w:lineRule="exact"/>
              <w:jc w:val="center"/>
              <w:rPr>
                <w:rFonts w:ascii="仿宋_GB2312" w:eastAsia="仿宋_GB2312"/>
              </w:rPr>
            </w:pPr>
            <w:r>
              <w:rPr>
                <w:rFonts w:hint="eastAsia" w:ascii="仿宋_GB2312" w:eastAsia="仿宋_GB2312"/>
              </w:rPr>
              <w:t>≥95%</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rPr>
            </w:pPr>
            <w:r>
              <w:rPr>
                <w:rFonts w:hint="eastAsia" w:ascii="仿宋_GB2312" w:eastAsia="仿宋_GB2312"/>
                <w:b/>
              </w:rPr>
              <w:t>　　6、企业退休人员社会化管理</w:t>
            </w:r>
          </w:p>
        </w:tc>
        <w:tc>
          <w:tcPr>
            <w:tcW w:w="1276" w:type="dxa"/>
            <w:gridSpan w:val="2"/>
            <w:shd w:val="clear" w:color="auto" w:fill="auto"/>
            <w:vAlign w:val="center"/>
          </w:tcPr>
          <w:p>
            <w:pPr>
              <w:spacing w:line="300" w:lineRule="exact"/>
              <w:jc w:val="left"/>
              <w:rPr>
                <w:rFonts w:ascii="仿宋_GB2312" w:eastAsia="仿宋_GB2312"/>
              </w:rPr>
            </w:pP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企业退休人员由社区管理</w:t>
            </w: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活跃退休人员文化体育生活</w:t>
            </w:r>
          </w:p>
        </w:tc>
        <w:tc>
          <w:tcPr>
            <w:tcW w:w="1417" w:type="dxa"/>
            <w:shd w:val="clear" w:color="auto" w:fill="auto"/>
            <w:vAlign w:val="center"/>
          </w:tcPr>
          <w:p>
            <w:pPr>
              <w:spacing w:line="300" w:lineRule="exact"/>
              <w:jc w:val="left"/>
              <w:rPr>
                <w:rFonts w:ascii="仿宋_GB2312" w:eastAsia="仿宋_GB2312"/>
              </w:rPr>
            </w:pPr>
            <w:r>
              <w:rPr>
                <w:rFonts w:hint="eastAsia" w:ascii="仿宋_GB2312" w:eastAsia="仿宋_GB2312"/>
              </w:rPr>
              <w:t>社区管理达到90%以上</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100%</w:t>
            </w:r>
          </w:p>
        </w:tc>
        <w:tc>
          <w:tcPr>
            <w:tcW w:w="737" w:type="dxa"/>
            <w:gridSpan w:val="2"/>
            <w:shd w:val="clear" w:color="auto" w:fill="auto"/>
            <w:vAlign w:val="center"/>
          </w:tcPr>
          <w:p>
            <w:pPr>
              <w:spacing w:line="300" w:lineRule="exact"/>
              <w:jc w:val="center"/>
              <w:rPr>
                <w:rFonts w:ascii="仿宋_GB2312" w:eastAsia="仿宋_GB2312"/>
              </w:rPr>
            </w:pPr>
            <w:r>
              <w:rPr>
                <w:rFonts w:hint="eastAsia" w:ascii="仿宋_GB2312" w:eastAsia="仿宋_GB2312"/>
              </w:rPr>
              <w:t>≥95%</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rPr>
            </w:pPr>
            <w:r>
              <w:rPr>
                <w:rFonts w:hint="eastAsia" w:ascii="仿宋_GB2312" w:eastAsia="仿宋_GB2312"/>
                <w:b/>
              </w:rPr>
              <w:t>　　7、社保经办体系建设</w:t>
            </w:r>
          </w:p>
        </w:tc>
        <w:tc>
          <w:tcPr>
            <w:tcW w:w="1276" w:type="dxa"/>
            <w:gridSpan w:val="2"/>
            <w:shd w:val="clear" w:color="auto" w:fill="auto"/>
            <w:vAlign w:val="center"/>
          </w:tcPr>
          <w:p>
            <w:pPr>
              <w:spacing w:line="300" w:lineRule="exact"/>
              <w:jc w:val="left"/>
              <w:rPr>
                <w:rFonts w:ascii="仿宋_GB2312" w:eastAsia="仿宋_GB2312"/>
              </w:rPr>
            </w:pP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社会保险业务经办管理纳入省级统筹信息系统平台</w:t>
            </w: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社保业务平稳运行</w:t>
            </w:r>
          </w:p>
        </w:tc>
        <w:tc>
          <w:tcPr>
            <w:tcW w:w="1417" w:type="dxa"/>
            <w:shd w:val="clear" w:color="auto" w:fill="auto"/>
            <w:vAlign w:val="center"/>
          </w:tcPr>
          <w:p>
            <w:pPr>
              <w:spacing w:line="300" w:lineRule="exact"/>
              <w:jc w:val="left"/>
              <w:rPr>
                <w:rFonts w:ascii="仿宋_GB2312" w:eastAsia="仿宋_GB2312"/>
              </w:rPr>
            </w:pPr>
            <w:r>
              <w:rPr>
                <w:rFonts w:hint="eastAsia" w:ascii="仿宋_GB2312" w:eastAsia="仿宋_GB2312"/>
              </w:rPr>
              <w:t>公共业务统一经办，财务业务一体化操作</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100%</w:t>
            </w:r>
          </w:p>
        </w:tc>
        <w:tc>
          <w:tcPr>
            <w:tcW w:w="737" w:type="dxa"/>
            <w:gridSpan w:val="2"/>
            <w:shd w:val="clear" w:color="auto" w:fill="auto"/>
            <w:vAlign w:val="center"/>
          </w:tcPr>
          <w:p>
            <w:pPr>
              <w:spacing w:line="300" w:lineRule="exact"/>
              <w:jc w:val="center"/>
              <w:rPr>
                <w:rFonts w:ascii="仿宋_GB2312" w:eastAsia="仿宋_GB2312"/>
              </w:rPr>
            </w:pPr>
            <w:r>
              <w:rPr>
                <w:rFonts w:hint="eastAsia" w:ascii="仿宋_GB2312" w:eastAsia="仿宋_GB2312"/>
              </w:rPr>
              <w:t>≥95%</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rPr>
            </w:pPr>
            <w:r>
              <w:rPr>
                <w:rFonts w:hint="eastAsia" w:ascii="仿宋_GB2312" w:eastAsia="仿宋_GB2312"/>
                <w:b/>
              </w:rPr>
              <w:t>六、人才队伍建设</w:t>
            </w:r>
          </w:p>
        </w:tc>
        <w:tc>
          <w:tcPr>
            <w:tcW w:w="1276" w:type="dxa"/>
            <w:gridSpan w:val="2"/>
            <w:shd w:val="clear" w:color="auto" w:fill="auto"/>
            <w:vAlign w:val="center"/>
          </w:tcPr>
          <w:p>
            <w:pPr>
              <w:spacing w:line="300" w:lineRule="exact"/>
              <w:jc w:val="left"/>
              <w:rPr>
                <w:rFonts w:ascii="仿宋_GB2312" w:eastAsia="仿宋_GB2312"/>
              </w:rPr>
            </w:pP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管理职称工作</w:t>
            </w: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建立健全高层次专业技术人才队伍，落实各类人才待遇。规范基层单位职称申报推荐程序，认真组织申报推荐工作。</w:t>
            </w:r>
          </w:p>
        </w:tc>
        <w:tc>
          <w:tcPr>
            <w:tcW w:w="1417" w:type="dxa"/>
            <w:shd w:val="clear" w:color="auto" w:fill="auto"/>
            <w:vAlign w:val="center"/>
          </w:tcPr>
          <w:p>
            <w:pPr>
              <w:spacing w:line="300" w:lineRule="exact"/>
              <w:jc w:val="left"/>
              <w:rPr>
                <w:rFonts w:ascii="仿宋_GB2312" w:eastAsia="仿宋_GB2312"/>
              </w:rPr>
            </w:pPr>
          </w:p>
        </w:tc>
        <w:tc>
          <w:tcPr>
            <w:tcW w:w="737" w:type="dxa"/>
            <w:shd w:val="clear" w:color="auto" w:fill="auto"/>
            <w:vAlign w:val="center"/>
          </w:tcPr>
          <w:p>
            <w:pPr>
              <w:spacing w:line="300" w:lineRule="exact"/>
              <w:jc w:val="center"/>
              <w:rPr>
                <w:rFonts w:ascii="仿宋_GB2312" w:eastAsia="仿宋_GB2312"/>
              </w:rPr>
            </w:pPr>
          </w:p>
        </w:tc>
        <w:tc>
          <w:tcPr>
            <w:tcW w:w="737" w:type="dxa"/>
            <w:gridSpan w:val="2"/>
            <w:shd w:val="clear" w:color="auto" w:fill="auto"/>
            <w:vAlign w:val="center"/>
          </w:tcPr>
          <w:p>
            <w:pPr>
              <w:spacing w:line="300" w:lineRule="exact"/>
              <w:jc w:val="center"/>
              <w:rPr>
                <w:rFonts w:ascii="仿宋_GB2312" w:eastAsia="仿宋_GB2312"/>
              </w:rPr>
            </w:pPr>
          </w:p>
        </w:tc>
        <w:tc>
          <w:tcPr>
            <w:tcW w:w="737" w:type="dxa"/>
            <w:shd w:val="clear" w:color="auto" w:fill="auto"/>
            <w:vAlign w:val="center"/>
          </w:tcPr>
          <w:p>
            <w:pPr>
              <w:spacing w:line="300" w:lineRule="exact"/>
              <w:jc w:val="center"/>
              <w:rPr>
                <w:rFonts w:ascii="仿宋_GB2312" w:eastAsia="仿宋_GB2312"/>
              </w:rPr>
            </w:pPr>
          </w:p>
        </w:tc>
        <w:tc>
          <w:tcPr>
            <w:tcW w:w="737" w:type="dxa"/>
            <w:shd w:val="clear" w:color="auto" w:fill="auto"/>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rPr>
            </w:pPr>
            <w:r>
              <w:rPr>
                <w:rFonts w:hint="eastAsia" w:ascii="仿宋_GB2312" w:eastAsia="仿宋_GB2312"/>
                <w:b/>
              </w:rPr>
              <w:t>　　1、专业技术人员管理</w:t>
            </w:r>
          </w:p>
        </w:tc>
        <w:tc>
          <w:tcPr>
            <w:tcW w:w="1276" w:type="dxa"/>
            <w:gridSpan w:val="2"/>
            <w:shd w:val="clear" w:color="auto" w:fill="auto"/>
            <w:vAlign w:val="center"/>
          </w:tcPr>
          <w:p>
            <w:pPr>
              <w:spacing w:line="300" w:lineRule="exact"/>
              <w:jc w:val="left"/>
              <w:rPr>
                <w:rFonts w:ascii="仿宋_GB2312" w:eastAsia="仿宋_GB2312"/>
              </w:rPr>
            </w:pP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严格按照各单位岗位数量，结合市局下达的申报数额，结合主管部门，根据各单位岗位配置，合理安排推荐指标。</w:t>
            </w: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确保各基层单位推荐过程公平公正</w:t>
            </w:r>
          </w:p>
        </w:tc>
        <w:tc>
          <w:tcPr>
            <w:tcW w:w="1417" w:type="dxa"/>
            <w:shd w:val="clear" w:color="auto" w:fill="auto"/>
            <w:vAlign w:val="center"/>
          </w:tcPr>
          <w:p>
            <w:pPr>
              <w:spacing w:line="300" w:lineRule="exact"/>
              <w:jc w:val="left"/>
              <w:rPr>
                <w:rFonts w:ascii="仿宋_GB2312" w:eastAsia="仿宋_GB2312"/>
              </w:rPr>
            </w:pPr>
            <w:r>
              <w:rPr>
                <w:rFonts w:hint="eastAsia" w:ascii="仿宋_GB2312" w:eastAsia="仿宋_GB2312"/>
              </w:rPr>
              <w:t>专业技术人员调查满意率</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100%</w:t>
            </w:r>
          </w:p>
        </w:tc>
        <w:tc>
          <w:tcPr>
            <w:tcW w:w="737" w:type="dxa"/>
            <w:gridSpan w:val="2"/>
            <w:shd w:val="clear" w:color="auto" w:fill="auto"/>
            <w:vAlign w:val="center"/>
          </w:tcPr>
          <w:p>
            <w:pPr>
              <w:spacing w:line="300" w:lineRule="exact"/>
              <w:jc w:val="center"/>
              <w:rPr>
                <w:rFonts w:ascii="仿宋_GB2312" w:eastAsia="仿宋_GB2312"/>
              </w:rPr>
            </w:pPr>
            <w:r>
              <w:rPr>
                <w:rFonts w:hint="eastAsia" w:ascii="仿宋_GB2312" w:eastAsia="仿宋_GB2312"/>
              </w:rPr>
              <w:t>≥95%</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rPr>
            </w:pPr>
            <w:r>
              <w:rPr>
                <w:rFonts w:hint="eastAsia" w:ascii="仿宋_GB2312" w:eastAsia="仿宋_GB2312"/>
                <w:b/>
              </w:rPr>
              <w:t>　　2、专业技术人员管理</w:t>
            </w:r>
          </w:p>
        </w:tc>
        <w:tc>
          <w:tcPr>
            <w:tcW w:w="1276" w:type="dxa"/>
            <w:gridSpan w:val="2"/>
            <w:shd w:val="clear" w:color="auto" w:fill="auto"/>
            <w:vAlign w:val="center"/>
          </w:tcPr>
          <w:p>
            <w:pPr>
              <w:spacing w:line="300" w:lineRule="exact"/>
              <w:jc w:val="left"/>
              <w:rPr>
                <w:rFonts w:ascii="仿宋_GB2312" w:eastAsia="仿宋_GB2312"/>
              </w:rPr>
            </w:pP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多深入基层调研、宣传发动，积极主动为企业专业技术人员服务。</w:t>
            </w: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正确引导企业专业技术人员申报各类职称，调动其工作的积极性。</w:t>
            </w:r>
          </w:p>
        </w:tc>
        <w:tc>
          <w:tcPr>
            <w:tcW w:w="1417" w:type="dxa"/>
            <w:shd w:val="clear" w:color="auto" w:fill="auto"/>
            <w:vAlign w:val="center"/>
          </w:tcPr>
          <w:p>
            <w:pPr>
              <w:spacing w:line="300" w:lineRule="exact"/>
              <w:jc w:val="left"/>
              <w:rPr>
                <w:rFonts w:ascii="仿宋_GB2312" w:eastAsia="仿宋_GB2312"/>
              </w:rPr>
            </w:pPr>
            <w:r>
              <w:rPr>
                <w:rFonts w:hint="eastAsia" w:ascii="仿宋_GB2312" w:eastAsia="仿宋_GB2312"/>
              </w:rPr>
              <w:t>专业技术人员调查满意率</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100%</w:t>
            </w:r>
          </w:p>
        </w:tc>
        <w:tc>
          <w:tcPr>
            <w:tcW w:w="737" w:type="dxa"/>
            <w:gridSpan w:val="2"/>
            <w:shd w:val="clear" w:color="auto" w:fill="auto"/>
            <w:vAlign w:val="center"/>
          </w:tcPr>
          <w:p>
            <w:pPr>
              <w:spacing w:line="300" w:lineRule="exact"/>
              <w:jc w:val="center"/>
              <w:rPr>
                <w:rFonts w:ascii="仿宋_GB2312" w:eastAsia="仿宋_GB2312"/>
              </w:rPr>
            </w:pPr>
            <w:r>
              <w:rPr>
                <w:rFonts w:hint="eastAsia" w:ascii="仿宋_GB2312" w:eastAsia="仿宋_GB2312"/>
              </w:rPr>
              <w:t>≥95%</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rPr>
            </w:pPr>
            <w:r>
              <w:rPr>
                <w:rFonts w:hint="eastAsia" w:ascii="仿宋_GB2312" w:eastAsia="仿宋_GB2312"/>
                <w:b/>
              </w:rPr>
              <w:t>七、仲裁院建设</w:t>
            </w:r>
          </w:p>
        </w:tc>
        <w:tc>
          <w:tcPr>
            <w:tcW w:w="1276" w:type="dxa"/>
            <w:gridSpan w:val="2"/>
            <w:shd w:val="clear" w:color="auto" w:fill="auto"/>
            <w:vAlign w:val="center"/>
          </w:tcPr>
          <w:p>
            <w:pPr>
              <w:spacing w:line="300" w:lineRule="exact"/>
              <w:jc w:val="left"/>
              <w:rPr>
                <w:rFonts w:ascii="仿宋_GB2312" w:eastAsia="仿宋_GB2312"/>
              </w:rPr>
            </w:pP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加强劳动人事争议仲裁院建设</w:t>
            </w: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进一步提高人员素质，积极组织参加省市业务培训班；组织仲裁办案人员集中学习相关法律法规和文件；组织开展典型案例分析。进一步规范仲裁文书和程序，统一使用省厅仲裁文书样本；规范各项工作程序，与省市仲裁机构保持一致。抓好仲裁队伍管理，制定和完善具有可操作性的各项规章制度，用制度规范执法和办公行为，同时研究制定便民措施方便办事群众。建立和完善基层劳动争议调解组织，积极承担起对企业和基层调解组织的指导工作，尽量从源头上预防和化解矛盾，提高纠纷化解效率。</w:t>
            </w:r>
          </w:p>
        </w:tc>
        <w:tc>
          <w:tcPr>
            <w:tcW w:w="1417" w:type="dxa"/>
            <w:shd w:val="clear" w:color="auto" w:fill="auto"/>
            <w:vAlign w:val="center"/>
          </w:tcPr>
          <w:p>
            <w:pPr>
              <w:spacing w:line="300" w:lineRule="exact"/>
              <w:jc w:val="left"/>
              <w:rPr>
                <w:rFonts w:ascii="仿宋_GB2312" w:eastAsia="仿宋_GB2312"/>
              </w:rPr>
            </w:pPr>
          </w:p>
        </w:tc>
        <w:tc>
          <w:tcPr>
            <w:tcW w:w="737" w:type="dxa"/>
            <w:shd w:val="clear" w:color="auto" w:fill="auto"/>
            <w:vAlign w:val="center"/>
          </w:tcPr>
          <w:p>
            <w:pPr>
              <w:spacing w:line="300" w:lineRule="exact"/>
              <w:jc w:val="center"/>
              <w:rPr>
                <w:rFonts w:ascii="仿宋_GB2312" w:eastAsia="仿宋_GB2312"/>
              </w:rPr>
            </w:pPr>
          </w:p>
        </w:tc>
        <w:tc>
          <w:tcPr>
            <w:tcW w:w="737" w:type="dxa"/>
            <w:gridSpan w:val="2"/>
            <w:shd w:val="clear" w:color="auto" w:fill="auto"/>
            <w:vAlign w:val="center"/>
          </w:tcPr>
          <w:p>
            <w:pPr>
              <w:spacing w:line="300" w:lineRule="exact"/>
              <w:jc w:val="center"/>
              <w:rPr>
                <w:rFonts w:ascii="仿宋_GB2312" w:eastAsia="仿宋_GB2312"/>
              </w:rPr>
            </w:pPr>
          </w:p>
        </w:tc>
        <w:tc>
          <w:tcPr>
            <w:tcW w:w="737" w:type="dxa"/>
            <w:shd w:val="clear" w:color="auto" w:fill="auto"/>
            <w:vAlign w:val="center"/>
          </w:tcPr>
          <w:p>
            <w:pPr>
              <w:spacing w:line="300" w:lineRule="exact"/>
              <w:jc w:val="center"/>
              <w:rPr>
                <w:rFonts w:ascii="仿宋_GB2312" w:eastAsia="仿宋_GB2312"/>
              </w:rPr>
            </w:pPr>
          </w:p>
        </w:tc>
        <w:tc>
          <w:tcPr>
            <w:tcW w:w="737" w:type="dxa"/>
            <w:shd w:val="clear" w:color="auto" w:fill="auto"/>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rPr>
            </w:pPr>
            <w:r>
              <w:rPr>
                <w:rFonts w:hint="eastAsia" w:ascii="仿宋_GB2312" w:eastAsia="仿宋_GB2312"/>
                <w:b/>
              </w:rPr>
              <w:t>　　1、进一步提高人员素质，积极组织参加省市业务培训班；组织仲裁办案人员集中学习相关法律法规和文件；组织开展典型案例分析。</w:t>
            </w:r>
          </w:p>
        </w:tc>
        <w:tc>
          <w:tcPr>
            <w:tcW w:w="1276" w:type="dxa"/>
            <w:gridSpan w:val="2"/>
            <w:shd w:val="clear" w:color="auto" w:fill="auto"/>
            <w:vAlign w:val="center"/>
          </w:tcPr>
          <w:p>
            <w:pPr>
              <w:spacing w:line="300" w:lineRule="exact"/>
              <w:jc w:val="left"/>
              <w:rPr>
                <w:rFonts w:ascii="仿宋_GB2312" w:eastAsia="仿宋_GB2312"/>
              </w:rPr>
            </w:pP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积极参加省厅组织的仲裁员培训班，结合典型案例，每周一题，集中学习相关法律法规。</w:t>
            </w: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提高仲裁员业务素质</w:t>
            </w:r>
          </w:p>
        </w:tc>
        <w:tc>
          <w:tcPr>
            <w:tcW w:w="1417" w:type="dxa"/>
            <w:shd w:val="clear" w:color="auto" w:fill="auto"/>
            <w:vAlign w:val="center"/>
          </w:tcPr>
          <w:p>
            <w:pPr>
              <w:spacing w:line="300" w:lineRule="exact"/>
              <w:jc w:val="left"/>
              <w:rPr>
                <w:rFonts w:ascii="仿宋_GB2312" w:eastAsia="仿宋_GB2312"/>
              </w:rPr>
            </w:pPr>
            <w:r>
              <w:rPr>
                <w:rFonts w:hint="eastAsia" w:ascii="仿宋_GB2312" w:eastAsia="仿宋_GB2312"/>
              </w:rPr>
              <w:t>仲裁员持证上岗</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100%</w:t>
            </w:r>
          </w:p>
        </w:tc>
        <w:tc>
          <w:tcPr>
            <w:tcW w:w="737" w:type="dxa"/>
            <w:gridSpan w:val="2"/>
            <w:shd w:val="clear" w:color="auto" w:fill="auto"/>
            <w:vAlign w:val="center"/>
          </w:tcPr>
          <w:p>
            <w:pPr>
              <w:spacing w:line="300" w:lineRule="exact"/>
              <w:jc w:val="center"/>
              <w:rPr>
                <w:rFonts w:ascii="仿宋_GB2312" w:eastAsia="仿宋_GB2312"/>
              </w:rPr>
            </w:pPr>
            <w:r>
              <w:rPr>
                <w:rFonts w:hint="eastAsia" w:ascii="仿宋_GB2312" w:eastAsia="仿宋_GB2312"/>
              </w:rPr>
              <w:t>≥95%</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rPr>
            </w:pPr>
            <w:r>
              <w:rPr>
                <w:rFonts w:hint="eastAsia" w:ascii="仿宋_GB2312" w:eastAsia="仿宋_GB2312"/>
                <w:b/>
              </w:rPr>
              <w:t>　　2、进一步规范仲裁文书和程序，统一使用省厅仲裁文书样本；规范各项工作程序，与省市仲裁机构保持一致。</w:t>
            </w:r>
          </w:p>
        </w:tc>
        <w:tc>
          <w:tcPr>
            <w:tcW w:w="1276" w:type="dxa"/>
            <w:gridSpan w:val="2"/>
            <w:shd w:val="clear" w:color="auto" w:fill="auto"/>
            <w:vAlign w:val="center"/>
          </w:tcPr>
          <w:p>
            <w:pPr>
              <w:spacing w:line="300" w:lineRule="exact"/>
              <w:jc w:val="left"/>
              <w:rPr>
                <w:rFonts w:ascii="仿宋_GB2312" w:eastAsia="仿宋_GB2312"/>
              </w:rPr>
            </w:pP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依据《劳动人事争议仲裁文书样式》制作我区仲裁文书，依据《河北省劳动人事争议仲裁有关规则指导意见》，规范各项仲裁程序。</w:t>
            </w: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提高调解仲裁工作效率</w:t>
            </w:r>
          </w:p>
        </w:tc>
        <w:tc>
          <w:tcPr>
            <w:tcW w:w="1417" w:type="dxa"/>
            <w:shd w:val="clear" w:color="auto" w:fill="auto"/>
            <w:vAlign w:val="center"/>
          </w:tcPr>
          <w:p>
            <w:pPr>
              <w:spacing w:line="300" w:lineRule="exact"/>
              <w:jc w:val="left"/>
              <w:rPr>
                <w:rFonts w:ascii="仿宋_GB2312" w:eastAsia="仿宋_GB2312"/>
              </w:rPr>
            </w:pPr>
            <w:r>
              <w:rPr>
                <w:rFonts w:hint="eastAsia" w:ascii="仿宋_GB2312" w:eastAsia="仿宋_GB2312"/>
              </w:rPr>
              <w:t>采用省厅统一文书样式</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100%</w:t>
            </w:r>
          </w:p>
        </w:tc>
        <w:tc>
          <w:tcPr>
            <w:tcW w:w="737" w:type="dxa"/>
            <w:gridSpan w:val="2"/>
            <w:shd w:val="clear" w:color="auto" w:fill="auto"/>
            <w:vAlign w:val="center"/>
          </w:tcPr>
          <w:p>
            <w:pPr>
              <w:spacing w:line="300" w:lineRule="exact"/>
              <w:jc w:val="center"/>
              <w:rPr>
                <w:rFonts w:ascii="仿宋_GB2312" w:eastAsia="仿宋_GB2312"/>
              </w:rPr>
            </w:pPr>
            <w:r>
              <w:rPr>
                <w:rFonts w:hint="eastAsia" w:ascii="仿宋_GB2312" w:eastAsia="仿宋_GB2312"/>
              </w:rPr>
              <w:t>≥95%</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rPr>
            </w:pPr>
            <w:r>
              <w:rPr>
                <w:rFonts w:hint="eastAsia" w:ascii="仿宋_GB2312" w:eastAsia="仿宋_GB2312"/>
                <w:b/>
              </w:rPr>
              <w:t>　　3、抓好仲裁队伍管理，制定和完善具有可操作性的各项规章制度，用制度规范执法和办公行为，同时研究制定便民措施方便办事群众。</w:t>
            </w:r>
          </w:p>
        </w:tc>
        <w:tc>
          <w:tcPr>
            <w:tcW w:w="1276" w:type="dxa"/>
            <w:gridSpan w:val="2"/>
            <w:shd w:val="clear" w:color="auto" w:fill="auto"/>
            <w:vAlign w:val="center"/>
          </w:tcPr>
          <w:p>
            <w:pPr>
              <w:spacing w:line="300" w:lineRule="exact"/>
              <w:jc w:val="left"/>
              <w:rPr>
                <w:rFonts w:ascii="仿宋_GB2312" w:eastAsia="仿宋_GB2312"/>
              </w:rPr>
            </w:pP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组织制定《仲裁员工作制度》、《仲裁庭纪律》等，制作《申请仲裁须知》、《风险告知书》、《案件处理时限告知书》等便民卡。</w:t>
            </w: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加强制度建设</w:t>
            </w:r>
          </w:p>
        </w:tc>
        <w:tc>
          <w:tcPr>
            <w:tcW w:w="1417" w:type="dxa"/>
            <w:shd w:val="clear" w:color="auto" w:fill="auto"/>
            <w:vAlign w:val="center"/>
          </w:tcPr>
          <w:p>
            <w:pPr>
              <w:spacing w:line="300" w:lineRule="exact"/>
              <w:jc w:val="left"/>
              <w:rPr>
                <w:rFonts w:ascii="仿宋_GB2312" w:eastAsia="仿宋_GB2312"/>
              </w:rPr>
            </w:pPr>
            <w:r>
              <w:rPr>
                <w:rFonts w:hint="eastAsia" w:ascii="仿宋_GB2312" w:eastAsia="仿宋_GB2312"/>
              </w:rPr>
              <w:t>实体化建设达标</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100%</w:t>
            </w:r>
          </w:p>
        </w:tc>
        <w:tc>
          <w:tcPr>
            <w:tcW w:w="737" w:type="dxa"/>
            <w:gridSpan w:val="2"/>
            <w:shd w:val="clear" w:color="auto" w:fill="auto"/>
            <w:vAlign w:val="center"/>
          </w:tcPr>
          <w:p>
            <w:pPr>
              <w:spacing w:line="300" w:lineRule="exact"/>
              <w:jc w:val="center"/>
              <w:rPr>
                <w:rFonts w:ascii="仿宋_GB2312" w:eastAsia="仿宋_GB2312"/>
              </w:rPr>
            </w:pPr>
            <w:r>
              <w:rPr>
                <w:rFonts w:hint="eastAsia" w:ascii="仿宋_GB2312" w:eastAsia="仿宋_GB2312"/>
              </w:rPr>
              <w:t>≥95%</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rPr>
            </w:pPr>
            <w:r>
              <w:rPr>
                <w:rFonts w:hint="eastAsia" w:ascii="仿宋_GB2312" w:eastAsia="仿宋_GB2312"/>
                <w:b/>
              </w:rPr>
              <w:t>　　4、建立和完善基层劳动争议调解组织，积极承担起对企业和基层调解组织的指导工作，尽量从源头上预防和化解矛盾，提高纠纷化解效率。</w:t>
            </w:r>
          </w:p>
        </w:tc>
        <w:tc>
          <w:tcPr>
            <w:tcW w:w="1276" w:type="dxa"/>
            <w:gridSpan w:val="2"/>
            <w:shd w:val="clear" w:color="auto" w:fill="auto"/>
            <w:vAlign w:val="center"/>
          </w:tcPr>
          <w:p>
            <w:pPr>
              <w:spacing w:line="300" w:lineRule="exact"/>
              <w:jc w:val="left"/>
              <w:rPr>
                <w:rFonts w:ascii="仿宋_GB2312" w:eastAsia="仿宋_GB2312"/>
              </w:rPr>
            </w:pP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依据《人力资源和社会保障部关于印发基层劳动人事争议调解标识的通知》我区在各镇办事处建立基层劳动人事争议调解组织及服务场所，明确职责。</w:t>
            </w: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将劳动争议化解在基层，同时，加大调解在处理劳动争议工作中的作用。</w:t>
            </w:r>
          </w:p>
        </w:tc>
        <w:tc>
          <w:tcPr>
            <w:tcW w:w="1417" w:type="dxa"/>
            <w:shd w:val="clear" w:color="auto" w:fill="auto"/>
            <w:vAlign w:val="center"/>
          </w:tcPr>
          <w:p>
            <w:pPr>
              <w:spacing w:line="300" w:lineRule="exact"/>
              <w:jc w:val="left"/>
              <w:rPr>
                <w:rFonts w:ascii="仿宋_GB2312" w:eastAsia="仿宋_GB2312"/>
              </w:rPr>
            </w:pPr>
            <w:r>
              <w:rPr>
                <w:rFonts w:hint="eastAsia" w:ascii="仿宋_GB2312" w:eastAsia="仿宋_GB2312"/>
              </w:rPr>
              <w:t>规范调节组织名称、标识、工作程序、工作职责、调解员行为。</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100%</w:t>
            </w:r>
          </w:p>
        </w:tc>
        <w:tc>
          <w:tcPr>
            <w:tcW w:w="737" w:type="dxa"/>
            <w:gridSpan w:val="2"/>
            <w:shd w:val="clear" w:color="auto" w:fill="auto"/>
            <w:vAlign w:val="center"/>
          </w:tcPr>
          <w:p>
            <w:pPr>
              <w:spacing w:line="300" w:lineRule="exact"/>
              <w:jc w:val="center"/>
              <w:rPr>
                <w:rFonts w:ascii="仿宋_GB2312" w:eastAsia="仿宋_GB2312"/>
              </w:rPr>
            </w:pPr>
            <w:r>
              <w:rPr>
                <w:rFonts w:hint="eastAsia" w:ascii="仿宋_GB2312" w:eastAsia="仿宋_GB2312"/>
              </w:rPr>
              <w:t>≥95%</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rPr>
            </w:pPr>
            <w:r>
              <w:rPr>
                <w:rFonts w:hint="eastAsia" w:ascii="仿宋_GB2312" w:eastAsia="仿宋_GB2312"/>
                <w:b/>
              </w:rPr>
              <w:t>八、促进就业再就业管理</w:t>
            </w:r>
          </w:p>
        </w:tc>
        <w:tc>
          <w:tcPr>
            <w:tcW w:w="1276" w:type="dxa"/>
            <w:gridSpan w:val="2"/>
            <w:shd w:val="clear" w:color="auto" w:fill="auto"/>
            <w:vAlign w:val="center"/>
          </w:tcPr>
          <w:p>
            <w:pPr>
              <w:spacing w:line="300" w:lineRule="exact"/>
              <w:jc w:val="left"/>
              <w:rPr>
                <w:rFonts w:ascii="仿宋_GB2312" w:eastAsia="仿宋_GB2312"/>
              </w:rPr>
            </w:pP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负责促进就业工作，促进社会就业。1.负责落实企业及就业困难人员就业帮扶政策落实。2.负责就业技能培训与创业促就业工作。3负责岗位开发、职业介绍与农村劳动力转移就业工作。</w:t>
            </w: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1.帮助符合条件企业享受就业帮扶政策。2.组织失业人员参加就业技能培训与创业培训，大力实施创业促就业工程。3.帮助企业招工，转移农村富余劳动力，帮助有就业意愿人员找到工作岗位。</w:t>
            </w:r>
          </w:p>
        </w:tc>
        <w:tc>
          <w:tcPr>
            <w:tcW w:w="1417" w:type="dxa"/>
            <w:shd w:val="clear" w:color="auto" w:fill="auto"/>
            <w:vAlign w:val="center"/>
          </w:tcPr>
          <w:p>
            <w:pPr>
              <w:spacing w:line="300" w:lineRule="exact"/>
              <w:jc w:val="left"/>
              <w:rPr>
                <w:rFonts w:ascii="仿宋_GB2312" w:eastAsia="仿宋_GB2312"/>
              </w:rPr>
            </w:pPr>
          </w:p>
        </w:tc>
        <w:tc>
          <w:tcPr>
            <w:tcW w:w="737" w:type="dxa"/>
            <w:shd w:val="clear" w:color="auto" w:fill="auto"/>
            <w:vAlign w:val="center"/>
          </w:tcPr>
          <w:p>
            <w:pPr>
              <w:spacing w:line="300" w:lineRule="exact"/>
              <w:jc w:val="center"/>
              <w:rPr>
                <w:rFonts w:ascii="仿宋_GB2312" w:eastAsia="仿宋_GB2312"/>
              </w:rPr>
            </w:pPr>
          </w:p>
        </w:tc>
        <w:tc>
          <w:tcPr>
            <w:tcW w:w="737" w:type="dxa"/>
            <w:gridSpan w:val="2"/>
            <w:shd w:val="clear" w:color="auto" w:fill="auto"/>
            <w:vAlign w:val="center"/>
          </w:tcPr>
          <w:p>
            <w:pPr>
              <w:spacing w:line="300" w:lineRule="exact"/>
              <w:jc w:val="center"/>
              <w:rPr>
                <w:rFonts w:ascii="仿宋_GB2312" w:eastAsia="仿宋_GB2312"/>
              </w:rPr>
            </w:pPr>
          </w:p>
        </w:tc>
        <w:tc>
          <w:tcPr>
            <w:tcW w:w="737" w:type="dxa"/>
            <w:shd w:val="clear" w:color="auto" w:fill="auto"/>
            <w:vAlign w:val="center"/>
          </w:tcPr>
          <w:p>
            <w:pPr>
              <w:spacing w:line="300" w:lineRule="exact"/>
              <w:jc w:val="center"/>
              <w:rPr>
                <w:rFonts w:ascii="仿宋_GB2312" w:eastAsia="仿宋_GB2312"/>
              </w:rPr>
            </w:pPr>
          </w:p>
        </w:tc>
        <w:tc>
          <w:tcPr>
            <w:tcW w:w="737" w:type="dxa"/>
            <w:shd w:val="clear" w:color="auto" w:fill="auto"/>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rPr>
            </w:pPr>
            <w:r>
              <w:rPr>
                <w:rFonts w:hint="eastAsia" w:ascii="仿宋_GB2312" w:eastAsia="仿宋_GB2312"/>
                <w:b/>
              </w:rPr>
              <w:t>　　1、企业吸纳符合条件人员的补贴政策、就业困难人员实现灵活就业补贴政策以及使用失业保险金援企稳岗政策的宣传落实</w:t>
            </w:r>
          </w:p>
        </w:tc>
        <w:tc>
          <w:tcPr>
            <w:tcW w:w="1276" w:type="dxa"/>
            <w:gridSpan w:val="2"/>
            <w:shd w:val="clear" w:color="auto" w:fill="auto"/>
            <w:vAlign w:val="center"/>
          </w:tcPr>
          <w:p>
            <w:pPr>
              <w:spacing w:line="300" w:lineRule="exact"/>
              <w:jc w:val="left"/>
              <w:rPr>
                <w:rFonts w:ascii="仿宋_GB2312" w:eastAsia="仿宋_GB2312"/>
              </w:rPr>
            </w:pP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深入辖区企业进行政策宣传，帮助符合条件企业享受就业困难人员及两年择业期内高校毕业生的社会保险补贴及岗位补贴政策。积极宣传落实使用失业保险金援企稳岗的政策措施。</w:t>
            </w: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结合企业实际需求，及时提供就业政策服务。</w:t>
            </w:r>
          </w:p>
        </w:tc>
        <w:tc>
          <w:tcPr>
            <w:tcW w:w="1417" w:type="dxa"/>
            <w:shd w:val="clear" w:color="auto" w:fill="auto"/>
            <w:vAlign w:val="center"/>
          </w:tcPr>
          <w:p>
            <w:pPr>
              <w:spacing w:line="300" w:lineRule="exact"/>
              <w:jc w:val="left"/>
              <w:rPr>
                <w:rFonts w:ascii="仿宋_GB2312" w:eastAsia="仿宋_GB2312"/>
              </w:rPr>
            </w:pPr>
            <w:r>
              <w:rPr>
                <w:rFonts w:hint="eastAsia" w:ascii="仿宋_GB2312" w:eastAsia="仿宋_GB2312"/>
              </w:rPr>
              <w:t>享受社会保险及岗位补贴政策企业。享受援企稳岗政策企业达到  家。落实灵活就业人员社会保险补贴资金  万元。</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100%</w:t>
            </w:r>
          </w:p>
        </w:tc>
        <w:tc>
          <w:tcPr>
            <w:tcW w:w="737" w:type="dxa"/>
            <w:gridSpan w:val="2"/>
            <w:shd w:val="clear" w:color="auto" w:fill="auto"/>
            <w:vAlign w:val="center"/>
          </w:tcPr>
          <w:p>
            <w:pPr>
              <w:spacing w:line="300" w:lineRule="exact"/>
              <w:jc w:val="center"/>
              <w:rPr>
                <w:rFonts w:ascii="仿宋_GB2312" w:eastAsia="仿宋_GB2312"/>
              </w:rPr>
            </w:pPr>
            <w:r>
              <w:rPr>
                <w:rFonts w:hint="eastAsia" w:ascii="仿宋_GB2312" w:eastAsia="仿宋_GB2312"/>
              </w:rPr>
              <w:t>≥95%</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rPr>
            </w:pPr>
            <w:r>
              <w:rPr>
                <w:rFonts w:hint="eastAsia" w:ascii="仿宋_GB2312" w:eastAsia="仿宋_GB2312"/>
                <w:b/>
              </w:rPr>
              <w:t>　　2、就业培训能力建设、创业孵化基地建设以及免费就业技能培训政策、创业扶持政策的宣传落实</w:t>
            </w:r>
          </w:p>
        </w:tc>
        <w:tc>
          <w:tcPr>
            <w:tcW w:w="1276" w:type="dxa"/>
            <w:gridSpan w:val="2"/>
            <w:shd w:val="clear" w:color="auto" w:fill="auto"/>
            <w:vAlign w:val="center"/>
          </w:tcPr>
          <w:p>
            <w:pPr>
              <w:spacing w:line="300" w:lineRule="exact"/>
              <w:jc w:val="left"/>
              <w:rPr>
                <w:rFonts w:ascii="仿宋_GB2312" w:eastAsia="仿宋_GB2312"/>
              </w:rPr>
            </w:pP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积极宣传国家免费技能培训政策，组织失业人员参加就业技能培训。深入贯彻“大众创业”的部署安排，组织开展“创业服务乡下行”系列活动，积极落实各项创业帮扶政策措施。</w:t>
            </w: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提高失业人员自主创业意识，提高创业成功率。提高劳动者素质，打造职业技术工人队伍，实现稳定就业。</w:t>
            </w:r>
          </w:p>
        </w:tc>
        <w:tc>
          <w:tcPr>
            <w:tcW w:w="1417" w:type="dxa"/>
            <w:shd w:val="clear" w:color="auto" w:fill="auto"/>
            <w:vAlign w:val="center"/>
          </w:tcPr>
          <w:p>
            <w:pPr>
              <w:spacing w:line="300" w:lineRule="exact"/>
              <w:jc w:val="left"/>
              <w:rPr>
                <w:rFonts w:ascii="仿宋_GB2312" w:eastAsia="仿宋_GB2312"/>
              </w:rPr>
            </w:pPr>
            <w:r>
              <w:rPr>
                <w:rFonts w:hint="eastAsia" w:ascii="仿宋_GB2312" w:eastAsia="仿宋_GB2312"/>
              </w:rPr>
              <w:t>创业培训、技能培训完成市达任务目标 %，完成创业帮扶任务  个。</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100%</w:t>
            </w:r>
          </w:p>
        </w:tc>
        <w:tc>
          <w:tcPr>
            <w:tcW w:w="737" w:type="dxa"/>
            <w:gridSpan w:val="2"/>
            <w:shd w:val="clear" w:color="auto" w:fill="auto"/>
            <w:vAlign w:val="center"/>
          </w:tcPr>
          <w:p>
            <w:pPr>
              <w:spacing w:line="300" w:lineRule="exact"/>
              <w:jc w:val="center"/>
              <w:rPr>
                <w:rFonts w:ascii="仿宋_GB2312" w:eastAsia="仿宋_GB2312"/>
              </w:rPr>
            </w:pPr>
            <w:r>
              <w:rPr>
                <w:rFonts w:hint="eastAsia" w:ascii="仿宋_GB2312" w:eastAsia="仿宋_GB2312"/>
              </w:rPr>
              <w:t>≥95%</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rPr>
            </w:pPr>
            <w:r>
              <w:rPr>
                <w:rFonts w:hint="eastAsia" w:ascii="仿宋_GB2312" w:eastAsia="仿宋_GB2312"/>
                <w:b/>
              </w:rPr>
              <w:t>　　3、用工企业及有求职意愿劳动者对接服务体系建设</w:t>
            </w:r>
          </w:p>
        </w:tc>
        <w:tc>
          <w:tcPr>
            <w:tcW w:w="1276" w:type="dxa"/>
            <w:gridSpan w:val="2"/>
            <w:shd w:val="clear" w:color="auto" w:fill="auto"/>
            <w:vAlign w:val="center"/>
          </w:tcPr>
          <w:p>
            <w:pPr>
              <w:spacing w:line="300" w:lineRule="exact"/>
              <w:jc w:val="left"/>
              <w:rPr>
                <w:rFonts w:ascii="仿宋_GB2312" w:eastAsia="仿宋_GB2312"/>
              </w:rPr>
            </w:pP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深入辖区企业，挖掘岗位需求信息。利用报纸、大屏、网络等多种形式，面向失业人员发布企业用工信息。按照不同时期失业人员的就业需求，适时在局大门口举办人企对接招聘会。对登记求职人员随时开展职介服务工作。</w:t>
            </w: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为农村富余劳动力、下岗失业人员等各类失业人员求职以及用人单位招用合格人员提供全方位服务。</w:t>
            </w:r>
          </w:p>
        </w:tc>
        <w:tc>
          <w:tcPr>
            <w:tcW w:w="1417" w:type="dxa"/>
            <w:shd w:val="clear" w:color="auto" w:fill="auto"/>
            <w:vAlign w:val="center"/>
          </w:tcPr>
          <w:p>
            <w:pPr>
              <w:spacing w:line="300" w:lineRule="exact"/>
              <w:jc w:val="left"/>
              <w:rPr>
                <w:rFonts w:ascii="仿宋_GB2312" w:eastAsia="仿宋_GB2312"/>
              </w:rPr>
            </w:pPr>
            <w:r>
              <w:rPr>
                <w:rFonts w:hint="eastAsia" w:ascii="仿宋_GB2312" w:eastAsia="仿宋_GB2312"/>
              </w:rPr>
              <w:t xml:space="preserve">农村劳动力转移完成市达任务目标的  </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100%</w:t>
            </w:r>
          </w:p>
        </w:tc>
        <w:tc>
          <w:tcPr>
            <w:tcW w:w="737" w:type="dxa"/>
            <w:gridSpan w:val="2"/>
            <w:shd w:val="clear" w:color="auto" w:fill="auto"/>
            <w:vAlign w:val="center"/>
          </w:tcPr>
          <w:p>
            <w:pPr>
              <w:spacing w:line="300" w:lineRule="exact"/>
              <w:jc w:val="center"/>
              <w:rPr>
                <w:rFonts w:ascii="仿宋_GB2312" w:eastAsia="仿宋_GB2312"/>
              </w:rPr>
            </w:pPr>
            <w:r>
              <w:rPr>
                <w:rFonts w:hint="eastAsia" w:ascii="仿宋_GB2312" w:eastAsia="仿宋_GB2312"/>
              </w:rPr>
              <w:t>≥95%</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rPr>
            </w:pPr>
            <w:r>
              <w:rPr>
                <w:rFonts w:hint="eastAsia" w:ascii="仿宋_GB2312" w:eastAsia="仿宋_GB2312"/>
                <w:b/>
              </w:rPr>
              <w:t>九、劳动关系协调和劳动保障监察工作</w:t>
            </w:r>
          </w:p>
        </w:tc>
        <w:tc>
          <w:tcPr>
            <w:tcW w:w="1276" w:type="dxa"/>
            <w:gridSpan w:val="2"/>
            <w:shd w:val="clear" w:color="auto" w:fill="auto"/>
            <w:vAlign w:val="center"/>
          </w:tcPr>
          <w:p>
            <w:pPr>
              <w:spacing w:line="300" w:lineRule="exact"/>
              <w:jc w:val="left"/>
              <w:rPr>
                <w:rFonts w:ascii="仿宋_GB2312" w:eastAsia="仿宋_GB2312"/>
              </w:rPr>
            </w:pP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完善劳动关系协调机制，制定消除非法使用童工政策和女工、未成年工的特殊劳动保护政策，组织实施劳动监察，协调劳动者维权工作，依法查处重大案件。</w:t>
            </w: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加强劳动关系协调机制建设，提升社会和谐水平。继续深化劳动合同制度和集体合同制度，深入推进已签订劳动合同为基础的劳动用工备案制度，完善集体协商制度，提高合同签订率和履约质量。依法规范劳务派遣用工，加强小微企业实行劳动合同制度的指导和监督。加强基层劳动关系工作机构和队伍建设，加快完善三方会议机构，保障全区劳动关系总体和谐。深入开展清理整顿人力资源市场秩序、用人单位遵守劳动用工和劳动保障法律法规行为。继续推进“两网化”建设，积极发挥网络监察办案作用。</w:t>
            </w:r>
          </w:p>
        </w:tc>
        <w:tc>
          <w:tcPr>
            <w:tcW w:w="1417" w:type="dxa"/>
            <w:shd w:val="clear" w:color="auto" w:fill="auto"/>
            <w:vAlign w:val="center"/>
          </w:tcPr>
          <w:p>
            <w:pPr>
              <w:spacing w:line="300" w:lineRule="exact"/>
              <w:jc w:val="left"/>
              <w:rPr>
                <w:rFonts w:ascii="仿宋_GB2312" w:eastAsia="仿宋_GB2312"/>
              </w:rPr>
            </w:pPr>
          </w:p>
        </w:tc>
        <w:tc>
          <w:tcPr>
            <w:tcW w:w="737" w:type="dxa"/>
            <w:shd w:val="clear" w:color="auto" w:fill="auto"/>
            <w:vAlign w:val="center"/>
          </w:tcPr>
          <w:p>
            <w:pPr>
              <w:spacing w:line="300" w:lineRule="exact"/>
              <w:jc w:val="center"/>
              <w:rPr>
                <w:rFonts w:ascii="仿宋_GB2312" w:eastAsia="仿宋_GB2312"/>
              </w:rPr>
            </w:pPr>
          </w:p>
        </w:tc>
        <w:tc>
          <w:tcPr>
            <w:tcW w:w="737" w:type="dxa"/>
            <w:gridSpan w:val="2"/>
            <w:shd w:val="clear" w:color="auto" w:fill="auto"/>
            <w:vAlign w:val="center"/>
          </w:tcPr>
          <w:p>
            <w:pPr>
              <w:spacing w:line="300" w:lineRule="exact"/>
              <w:jc w:val="center"/>
              <w:rPr>
                <w:rFonts w:ascii="仿宋_GB2312" w:eastAsia="仿宋_GB2312"/>
              </w:rPr>
            </w:pPr>
          </w:p>
        </w:tc>
        <w:tc>
          <w:tcPr>
            <w:tcW w:w="737" w:type="dxa"/>
            <w:shd w:val="clear" w:color="auto" w:fill="auto"/>
            <w:vAlign w:val="center"/>
          </w:tcPr>
          <w:p>
            <w:pPr>
              <w:spacing w:line="300" w:lineRule="exact"/>
              <w:jc w:val="center"/>
              <w:rPr>
                <w:rFonts w:ascii="仿宋_GB2312" w:eastAsia="仿宋_GB2312"/>
              </w:rPr>
            </w:pPr>
          </w:p>
        </w:tc>
        <w:tc>
          <w:tcPr>
            <w:tcW w:w="737" w:type="dxa"/>
            <w:shd w:val="clear" w:color="auto" w:fill="auto"/>
            <w:vAlign w:val="center"/>
          </w:tcPr>
          <w:p>
            <w:pPr>
              <w:spacing w:line="300" w:lineRule="exact"/>
              <w:jc w:val="center"/>
              <w:rPr>
                <w:rFonts w:ascii="仿宋_GB2312"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rPr>
            </w:pPr>
            <w:r>
              <w:rPr>
                <w:rFonts w:hint="eastAsia" w:ascii="仿宋_GB2312" w:eastAsia="仿宋_GB2312"/>
                <w:b/>
              </w:rPr>
              <w:t>　　1、劳动关系政策制定和落实。</w:t>
            </w:r>
          </w:p>
        </w:tc>
        <w:tc>
          <w:tcPr>
            <w:tcW w:w="1276" w:type="dxa"/>
            <w:gridSpan w:val="2"/>
            <w:shd w:val="clear" w:color="auto" w:fill="auto"/>
            <w:vAlign w:val="center"/>
          </w:tcPr>
          <w:p>
            <w:pPr>
              <w:spacing w:line="300" w:lineRule="exact"/>
              <w:jc w:val="left"/>
              <w:rPr>
                <w:rFonts w:ascii="仿宋_GB2312" w:eastAsia="仿宋_GB2312"/>
              </w:rPr>
            </w:pP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落实劳动关系政策，建立完善劳动关系协调机制。1.深入用人单位，加大宣传、培训、督导力度，进一步完善劳动合同签订与解除备案、工资集体协商制度。2.加强劳务派遣企业管理，积极开展劳务派遣企业年审工作。3.认真开展劳动监察年审工作，搞好农民工工资支付情况专项检查。4.加强两网化平台软硬件管理，充分发挥平台作用。</w:t>
            </w:r>
          </w:p>
        </w:tc>
        <w:tc>
          <w:tcPr>
            <w:tcW w:w="2976" w:type="dxa"/>
            <w:gridSpan w:val="2"/>
            <w:shd w:val="clear" w:color="auto" w:fill="auto"/>
            <w:vAlign w:val="center"/>
          </w:tcPr>
          <w:p>
            <w:pPr>
              <w:spacing w:line="300" w:lineRule="exact"/>
              <w:jc w:val="left"/>
              <w:rPr>
                <w:rFonts w:ascii="仿宋_GB2312" w:eastAsia="仿宋_GB2312"/>
              </w:rPr>
            </w:pPr>
            <w:r>
              <w:rPr>
                <w:rFonts w:hint="eastAsia" w:ascii="仿宋_GB2312" w:eastAsia="仿宋_GB2312"/>
              </w:rPr>
              <w:t>提高劳动合同签订率，建立和谐劳动关系。</w:t>
            </w:r>
          </w:p>
        </w:tc>
        <w:tc>
          <w:tcPr>
            <w:tcW w:w="1417" w:type="dxa"/>
            <w:shd w:val="clear" w:color="auto" w:fill="auto"/>
            <w:vAlign w:val="center"/>
          </w:tcPr>
          <w:p>
            <w:pPr>
              <w:spacing w:line="300" w:lineRule="exact"/>
              <w:jc w:val="left"/>
              <w:rPr>
                <w:rFonts w:ascii="仿宋_GB2312" w:eastAsia="仿宋_GB2312"/>
              </w:rPr>
            </w:pPr>
            <w:r>
              <w:rPr>
                <w:rFonts w:hint="eastAsia" w:ascii="仿宋_GB2312" w:eastAsia="仿宋_GB2312"/>
              </w:rPr>
              <w:t>规模以上企业劳动合同签订率</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100%</w:t>
            </w:r>
          </w:p>
        </w:tc>
        <w:tc>
          <w:tcPr>
            <w:tcW w:w="737" w:type="dxa"/>
            <w:gridSpan w:val="2"/>
            <w:shd w:val="clear" w:color="auto" w:fill="auto"/>
            <w:vAlign w:val="center"/>
          </w:tcPr>
          <w:p>
            <w:pPr>
              <w:spacing w:line="300" w:lineRule="exact"/>
              <w:jc w:val="center"/>
              <w:rPr>
                <w:rFonts w:ascii="仿宋_GB2312" w:eastAsia="仿宋_GB2312"/>
              </w:rPr>
            </w:pPr>
            <w:r>
              <w:rPr>
                <w:rFonts w:hint="eastAsia" w:ascii="仿宋_GB2312" w:eastAsia="仿宋_GB2312"/>
              </w:rPr>
              <w:t>≥95%</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c>
          <w:tcPr>
            <w:tcW w:w="737" w:type="dxa"/>
            <w:shd w:val="clear" w:color="auto" w:fill="auto"/>
            <w:vAlign w:val="center"/>
          </w:tcPr>
          <w:p>
            <w:pPr>
              <w:spacing w:line="300" w:lineRule="exact"/>
              <w:jc w:val="center"/>
              <w:rPr>
                <w:rFonts w:ascii="仿宋_GB2312" w:eastAsia="仿宋_GB2312"/>
              </w:rPr>
            </w:pPr>
            <w:r>
              <w:rPr>
                <w:rFonts w:hint="eastAsia" w:ascii="仿宋_GB2312" w:eastAsia="仿宋_GB2312"/>
              </w:rPr>
              <w:t>＜90%</w:t>
            </w:r>
          </w:p>
        </w:tc>
      </w:tr>
      <w:bookmarkEnd w:id="0"/>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3934" w:type="dxa"/>
            <w:gridSpan w:val="1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hAnsi="Calibri" w:eastAsia="仿宋_GB2312" w:cs="Times New Roman"/>
                <w:sz w:val="24"/>
              </w:rPr>
            </w:pPr>
            <w:r>
              <w:rPr>
                <w:rFonts w:hint="eastAsia" w:ascii="仿宋_GB2312" w:hAnsi="Calibri" w:eastAsia="仿宋_GB2312" w:cs="Times New Roman"/>
                <w:sz w:val="24"/>
              </w:rPr>
              <w:t>323唐山市开平区人力资源和社会保障局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2969" w:type="dxa"/>
            <w:gridSpan w:val="2"/>
            <w:vMerge w:val="restart"/>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职责活动</w:t>
            </w:r>
          </w:p>
        </w:tc>
        <w:tc>
          <w:tcPr>
            <w:tcW w:w="1618" w:type="dxa"/>
            <w:gridSpan w:val="2"/>
            <w:vMerge w:val="restart"/>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年度预算数</w:t>
            </w:r>
          </w:p>
        </w:tc>
        <w:tc>
          <w:tcPr>
            <w:tcW w:w="3775" w:type="dxa"/>
            <w:gridSpan w:val="2"/>
            <w:vMerge w:val="restart"/>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内容描述</w:t>
            </w:r>
          </w:p>
        </w:tc>
        <w:tc>
          <w:tcPr>
            <w:tcW w:w="3775" w:type="dxa"/>
            <w:gridSpan w:val="4"/>
            <w:vMerge w:val="restart"/>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绩效目标</w:t>
            </w:r>
          </w:p>
        </w:tc>
        <w:tc>
          <w:tcPr>
            <w:tcW w:w="1797" w:type="dxa"/>
            <w:gridSpan w:val="3"/>
            <w:vMerge w:val="restart"/>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绩效指标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2969" w:type="dxa"/>
            <w:gridSpan w:val="2"/>
            <w:vMerge w:val="continue"/>
            <w:shd w:val="clear" w:color="auto" w:fill="auto"/>
            <w:vAlign w:val="center"/>
          </w:tcPr>
          <w:p>
            <w:pPr>
              <w:spacing w:line="300" w:lineRule="exact"/>
              <w:jc w:val="left"/>
              <w:outlineLvl w:val="0"/>
              <w:rPr>
                <w:rFonts w:ascii="仿宋_GB2312" w:hAnsi="Calibri" w:eastAsia="仿宋_GB2312" w:cs="Times New Roman"/>
              </w:rPr>
            </w:pPr>
          </w:p>
        </w:tc>
        <w:tc>
          <w:tcPr>
            <w:tcW w:w="1618" w:type="dxa"/>
            <w:gridSpan w:val="2"/>
            <w:vMerge w:val="continue"/>
            <w:shd w:val="clear" w:color="auto" w:fill="auto"/>
            <w:vAlign w:val="center"/>
          </w:tcPr>
          <w:p>
            <w:pPr>
              <w:spacing w:line="300" w:lineRule="exact"/>
              <w:jc w:val="left"/>
              <w:outlineLvl w:val="0"/>
              <w:rPr>
                <w:rFonts w:ascii="仿宋_GB2312" w:hAnsi="Calibri" w:eastAsia="仿宋_GB2312" w:cs="Times New Roman"/>
              </w:rPr>
            </w:pPr>
          </w:p>
        </w:tc>
        <w:tc>
          <w:tcPr>
            <w:tcW w:w="3775" w:type="dxa"/>
            <w:gridSpan w:val="2"/>
            <w:vMerge w:val="continue"/>
            <w:shd w:val="clear" w:color="auto" w:fill="auto"/>
            <w:vAlign w:val="center"/>
          </w:tcPr>
          <w:p>
            <w:pPr>
              <w:spacing w:line="300" w:lineRule="exact"/>
              <w:jc w:val="left"/>
              <w:outlineLvl w:val="0"/>
              <w:rPr>
                <w:rFonts w:ascii="仿宋_GB2312" w:hAnsi="Calibri" w:eastAsia="仿宋_GB2312" w:cs="Times New Roman"/>
              </w:rPr>
            </w:pPr>
          </w:p>
        </w:tc>
        <w:tc>
          <w:tcPr>
            <w:tcW w:w="3775" w:type="dxa"/>
            <w:gridSpan w:val="4"/>
            <w:vMerge w:val="continue"/>
            <w:shd w:val="clear" w:color="auto" w:fill="auto"/>
            <w:vAlign w:val="center"/>
          </w:tcPr>
          <w:p>
            <w:pPr>
              <w:spacing w:line="300" w:lineRule="exact"/>
              <w:jc w:val="left"/>
              <w:outlineLvl w:val="0"/>
              <w:rPr>
                <w:rFonts w:ascii="仿宋_GB2312" w:hAnsi="Calibri" w:eastAsia="仿宋_GB2312" w:cs="Times New Roman"/>
              </w:rPr>
            </w:pPr>
          </w:p>
        </w:tc>
        <w:tc>
          <w:tcPr>
            <w:tcW w:w="1797" w:type="dxa"/>
            <w:gridSpan w:val="3"/>
            <w:vMerge w:val="continue"/>
            <w:shd w:val="clear" w:color="auto" w:fill="auto"/>
            <w:vAlign w:val="center"/>
          </w:tcPr>
          <w:p>
            <w:pPr>
              <w:spacing w:line="300" w:lineRule="exact"/>
              <w:jc w:val="left"/>
              <w:outlineLvl w:val="0"/>
              <w:rPr>
                <w:rFonts w:ascii="仿宋_GB2312" w:hAnsi="Calibri"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9" w:type="dxa"/>
            <w:gridSpan w:val="2"/>
            <w:shd w:val="clear" w:color="auto" w:fill="auto"/>
            <w:vAlign w:val="center"/>
          </w:tcPr>
          <w:p>
            <w:pPr>
              <w:spacing w:line="300" w:lineRule="exact"/>
              <w:jc w:val="left"/>
              <w:rPr>
                <w:rFonts w:ascii="仿宋_GB2312" w:hAnsi="Calibri" w:eastAsia="仿宋_GB2312" w:cs="Times New Roman"/>
                <w:b/>
              </w:rPr>
            </w:pPr>
            <w:r>
              <w:rPr>
                <w:rFonts w:hint="eastAsia" w:ascii="仿宋_GB2312" w:hAnsi="Calibri" w:eastAsia="仿宋_GB2312" w:cs="Times New Roman"/>
                <w:b/>
              </w:rPr>
              <w:t>一、工资政策制定及管理</w:t>
            </w:r>
          </w:p>
        </w:tc>
        <w:tc>
          <w:tcPr>
            <w:tcW w:w="1618" w:type="dxa"/>
            <w:gridSpan w:val="2"/>
            <w:shd w:val="clear" w:color="auto" w:fill="auto"/>
            <w:vAlign w:val="center"/>
          </w:tcPr>
          <w:p>
            <w:pPr>
              <w:spacing w:line="300" w:lineRule="exact"/>
              <w:jc w:val="left"/>
              <w:rPr>
                <w:rFonts w:ascii="仿宋_GB2312" w:hAnsi="Calibri" w:eastAsia="仿宋_GB2312" w:cs="Times New Roman"/>
              </w:rPr>
            </w:pPr>
          </w:p>
        </w:tc>
        <w:tc>
          <w:tcPr>
            <w:tcW w:w="3775" w:type="dxa"/>
            <w:gridSpan w:val="2"/>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建立全县机关企事业单位人员工资正常增长和支付保障机制，拟订全县机关企事业单位人员福利和离退休政策．并负责组织实施和监督检查。</w:t>
            </w:r>
          </w:p>
        </w:tc>
        <w:tc>
          <w:tcPr>
            <w:tcW w:w="3775" w:type="dxa"/>
            <w:gridSpan w:val="4"/>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按照国家和省市部署，贯彻落实在县以下机关建立职务与职级并行制度，提高基层公务员收入水平。提升劳动报酬在初次分配中的比重。</w:t>
            </w:r>
          </w:p>
        </w:tc>
        <w:tc>
          <w:tcPr>
            <w:tcW w:w="1797" w:type="dxa"/>
            <w:gridSpan w:val="3"/>
            <w:shd w:val="clear" w:color="auto" w:fill="auto"/>
            <w:vAlign w:val="center"/>
          </w:tcPr>
          <w:p>
            <w:pPr>
              <w:spacing w:line="300" w:lineRule="exact"/>
              <w:jc w:val="left"/>
              <w:rPr>
                <w:rFonts w:ascii="仿宋_GB2312" w:hAnsi="Calibri"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9" w:type="dxa"/>
            <w:gridSpan w:val="2"/>
            <w:shd w:val="clear" w:color="auto" w:fill="auto"/>
            <w:vAlign w:val="center"/>
          </w:tcPr>
          <w:p>
            <w:pPr>
              <w:spacing w:line="300" w:lineRule="exact"/>
              <w:jc w:val="left"/>
              <w:rPr>
                <w:rFonts w:ascii="仿宋_GB2312" w:hAnsi="Calibri" w:eastAsia="仿宋_GB2312" w:cs="Times New Roman"/>
                <w:b/>
              </w:rPr>
            </w:pPr>
            <w:r>
              <w:rPr>
                <w:rFonts w:hint="eastAsia" w:ascii="仿宋_GB2312" w:hAnsi="Calibri" w:eastAsia="仿宋_GB2312" w:cs="Times New Roman"/>
                <w:b/>
              </w:rPr>
              <w:t>　　1、落实职级并行工作，机关事业单位工资政策和管理</w:t>
            </w:r>
          </w:p>
        </w:tc>
        <w:tc>
          <w:tcPr>
            <w:tcW w:w="1618" w:type="dxa"/>
            <w:gridSpan w:val="2"/>
            <w:shd w:val="clear" w:color="auto" w:fill="auto"/>
            <w:vAlign w:val="center"/>
          </w:tcPr>
          <w:p>
            <w:pPr>
              <w:spacing w:line="300" w:lineRule="exact"/>
              <w:jc w:val="left"/>
              <w:rPr>
                <w:rFonts w:ascii="仿宋_GB2312" w:hAnsi="Calibri" w:eastAsia="仿宋_GB2312" w:cs="Times New Roman"/>
              </w:rPr>
            </w:pPr>
          </w:p>
        </w:tc>
        <w:tc>
          <w:tcPr>
            <w:tcW w:w="3775" w:type="dxa"/>
            <w:gridSpan w:val="2"/>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配合组织人事，完成公务员及参照人员调研摸底工作；按照上级文件，贯彻落实。组织落实县直机关公务员工资政策落实，制定事业单位绩效工资政策和组织落实，为符合退休条件的人员办理退休手续，定期组织人们满意公务员休假疗养,规范使用县直机动福利费。</w:t>
            </w:r>
          </w:p>
        </w:tc>
        <w:tc>
          <w:tcPr>
            <w:tcW w:w="3775" w:type="dxa"/>
            <w:gridSpan w:val="4"/>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按照上级有关要求，按时落实到位，加大对企业工资分配的宏观调控力度，合理确定收入分配水平。</w:t>
            </w:r>
          </w:p>
        </w:tc>
        <w:tc>
          <w:tcPr>
            <w:tcW w:w="1797" w:type="dxa"/>
            <w:gridSpan w:val="3"/>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政策落实率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9" w:type="dxa"/>
            <w:gridSpan w:val="2"/>
            <w:shd w:val="clear" w:color="auto" w:fill="auto"/>
            <w:vAlign w:val="center"/>
          </w:tcPr>
          <w:p>
            <w:pPr>
              <w:spacing w:line="300" w:lineRule="exact"/>
              <w:jc w:val="left"/>
              <w:rPr>
                <w:rFonts w:ascii="仿宋_GB2312" w:hAnsi="Calibri" w:eastAsia="仿宋_GB2312" w:cs="Times New Roman"/>
                <w:b/>
              </w:rPr>
            </w:pPr>
            <w:r>
              <w:rPr>
                <w:rFonts w:hint="eastAsia" w:ascii="仿宋_GB2312" w:hAnsi="Calibri" w:eastAsia="仿宋_GB2312" w:cs="Times New Roman"/>
                <w:b/>
              </w:rPr>
              <w:t>　　2、工资调整，企业工资政策和管理</w:t>
            </w:r>
          </w:p>
        </w:tc>
        <w:tc>
          <w:tcPr>
            <w:tcW w:w="1618" w:type="dxa"/>
            <w:gridSpan w:val="2"/>
            <w:shd w:val="clear" w:color="auto" w:fill="auto"/>
            <w:vAlign w:val="center"/>
          </w:tcPr>
          <w:p>
            <w:pPr>
              <w:spacing w:line="300" w:lineRule="exact"/>
              <w:jc w:val="left"/>
              <w:rPr>
                <w:rFonts w:ascii="仿宋_GB2312" w:hAnsi="Calibri" w:eastAsia="仿宋_GB2312" w:cs="Times New Roman"/>
              </w:rPr>
            </w:pPr>
          </w:p>
        </w:tc>
        <w:tc>
          <w:tcPr>
            <w:tcW w:w="3775" w:type="dxa"/>
            <w:gridSpan w:val="2"/>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按照上级文件，结合本区实际落实。完善县级企业工资调控机制和工资集体协商制度，发布工资指导线和劳动力市场价位和人工成本情况，监督并审核县属国有企业工资总额管理，加强企业工资内外收入监督。</w:t>
            </w:r>
          </w:p>
        </w:tc>
        <w:tc>
          <w:tcPr>
            <w:tcW w:w="3775" w:type="dxa"/>
            <w:gridSpan w:val="4"/>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保证及时落实发放到位，加强工资管理，确保政策落实到位；与预算编制对接，实现高效快捷审核。</w:t>
            </w:r>
          </w:p>
        </w:tc>
        <w:tc>
          <w:tcPr>
            <w:tcW w:w="1797" w:type="dxa"/>
            <w:gridSpan w:val="3"/>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政策落实率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9" w:type="dxa"/>
            <w:gridSpan w:val="2"/>
            <w:shd w:val="clear" w:color="auto" w:fill="auto"/>
            <w:vAlign w:val="center"/>
          </w:tcPr>
          <w:p>
            <w:pPr>
              <w:spacing w:line="300" w:lineRule="exact"/>
              <w:jc w:val="left"/>
              <w:rPr>
                <w:rFonts w:ascii="仿宋_GB2312" w:hAnsi="Calibri" w:eastAsia="仿宋_GB2312" w:cs="Times New Roman"/>
                <w:b/>
              </w:rPr>
            </w:pPr>
            <w:r>
              <w:rPr>
                <w:rFonts w:hint="eastAsia" w:ascii="仿宋_GB2312" w:hAnsi="Calibri" w:eastAsia="仿宋_GB2312" w:cs="Times New Roman"/>
                <w:b/>
              </w:rPr>
              <w:t>二、人才交流</w:t>
            </w:r>
          </w:p>
        </w:tc>
        <w:tc>
          <w:tcPr>
            <w:tcW w:w="1618" w:type="dxa"/>
            <w:gridSpan w:val="2"/>
            <w:shd w:val="clear" w:color="auto" w:fill="auto"/>
            <w:vAlign w:val="center"/>
          </w:tcPr>
          <w:p>
            <w:pPr>
              <w:spacing w:line="300" w:lineRule="exact"/>
              <w:jc w:val="left"/>
              <w:rPr>
                <w:rFonts w:ascii="仿宋_GB2312" w:hAnsi="Calibri" w:eastAsia="仿宋_GB2312" w:cs="Times New Roman"/>
              </w:rPr>
            </w:pPr>
          </w:p>
        </w:tc>
        <w:tc>
          <w:tcPr>
            <w:tcW w:w="3775" w:type="dxa"/>
            <w:gridSpan w:val="2"/>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加强高校毕业生服务管理。</w:t>
            </w:r>
          </w:p>
        </w:tc>
        <w:tc>
          <w:tcPr>
            <w:tcW w:w="3775" w:type="dxa"/>
            <w:gridSpan w:val="4"/>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为高校毕业生做好报到、档案接收管理、转正定级、档案工资调整、职称录入等工作。</w:t>
            </w:r>
          </w:p>
        </w:tc>
        <w:tc>
          <w:tcPr>
            <w:tcW w:w="1797" w:type="dxa"/>
            <w:gridSpan w:val="3"/>
            <w:shd w:val="clear" w:color="auto" w:fill="auto"/>
            <w:vAlign w:val="center"/>
          </w:tcPr>
          <w:p>
            <w:pPr>
              <w:spacing w:line="300" w:lineRule="exact"/>
              <w:jc w:val="left"/>
              <w:rPr>
                <w:rFonts w:ascii="仿宋_GB2312" w:hAnsi="Calibri"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9" w:type="dxa"/>
            <w:gridSpan w:val="2"/>
            <w:shd w:val="clear" w:color="auto" w:fill="auto"/>
            <w:vAlign w:val="center"/>
          </w:tcPr>
          <w:p>
            <w:pPr>
              <w:spacing w:line="300" w:lineRule="exact"/>
              <w:jc w:val="left"/>
              <w:rPr>
                <w:rFonts w:ascii="仿宋_GB2312" w:hAnsi="Calibri" w:eastAsia="仿宋_GB2312" w:cs="Times New Roman"/>
                <w:b/>
              </w:rPr>
            </w:pPr>
            <w:r>
              <w:rPr>
                <w:rFonts w:hint="eastAsia" w:ascii="仿宋_GB2312" w:hAnsi="Calibri" w:eastAsia="仿宋_GB2312" w:cs="Times New Roman"/>
                <w:b/>
              </w:rPr>
              <w:t>　　1、高校毕业生的管理</w:t>
            </w:r>
          </w:p>
        </w:tc>
        <w:tc>
          <w:tcPr>
            <w:tcW w:w="1618" w:type="dxa"/>
            <w:gridSpan w:val="2"/>
            <w:shd w:val="clear" w:color="auto" w:fill="auto"/>
            <w:vAlign w:val="center"/>
          </w:tcPr>
          <w:p>
            <w:pPr>
              <w:spacing w:line="300" w:lineRule="exact"/>
              <w:jc w:val="left"/>
              <w:rPr>
                <w:rFonts w:ascii="仿宋_GB2312" w:hAnsi="Calibri" w:eastAsia="仿宋_GB2312" w:cs="Times New Roman"/>
              </w:rPr>
            </w:pPr>
          </w:p>
        </w:tc>
        <w:tc>
          <w:tcPr>
            <w:tcW w:w="3775" w:type="dxa"/>
            <w:gridSpan w:val="2"/>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为高校毕业生做好报到、档案接收管理、转正定级、档案工资调整、职称录入等工作。</w:t>
            </w:r>
          </w:p>
        </w:tc>
        <w:tc>
          <w:tcPr>
            <w:tcW w:w="3775" w:type="dxa"/>
            <w:gridSpan w:val="4"/>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做好高校毕业生接收工作</w:t>
            </w:r>
          </w:p>
        </w:tc>
        <w:tc>
          <w:tcPr>
            <w:tcW w:w="1797" w:type="dxa"/>
            <w:gridSpan w:val="3"/>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生源地高校毕业生接收率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9" w:type="dxa"/>
            <w:gridSpan w:val="2"/>
            <w:shd w:val="clear" w:color="auto" w:fill="auto"/>
            <w:vAlign w:val="center"/>
          </w:tcPr>
          <w:p>
            <w:pPr>
              <w:spacing w:line="300" w:lineRule="exact"/>
              <w:jc w:val="left"/>
              <w:rPr>
                <w:rFonts w:ascii="仿宋_GB2312" w:hAnsi="Calibri" w:eastAsia="仿宋_GB2312" w:cs="Times New Roman"/>
                <w:b/>
              </w:rPr>
            </w:pPr>
            <w:r>
              <w:rPr>
                <w:rFonts w:hint="eastAsia" w:ascii="仿宋_GB2312" w:hAnsi="Calibri" w:eastAsia="仿宋_GB2312" w:cs="Times New Roman"/>
                <w:b/>
              </w:rPr>
              <w:t>三、人事管理</w:t>
            </w:r>
          </w:p>
        </w:tc>
        <w:tc>
          <w:tcPr>
            <w:tcW w:w="1618" w:type="dxa"/>
            <w:gridSpan w:val="2"/>
            <w:shd w:val="clear" w:color="auto" w:fill="auto"/>
            <w:vAlign w:val="center"/>
          </w:tcPr>
          <w:p>
            <w:pPr>
              <w:spacing w:line="300" w:lineRule="exact"/>
              <w:jc w:val="left"/>
              <w:rPr>
                <w:rFonts w:ascii="仿宋_GB2312" w:hAnsi="Calibri" w:eastAsia="仿宋_GB2312" w:cs="Times New Roman"/>
              </w:rPr>
            </w:pPr>
          </w:p>
        </w:tc>
        <w:tc>
          <w:tcPr>
            <w:tcW w:w="3775" w:type="dxa"/>
            <w:gridSpan w:val="2"/>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管理人事工资政策，负责人事考试和事业单位岗位设置管理及军转干部安置。</w:t>
            </w:r>
          </w:p>
        </w:tc>
        <w:tc>
          <w:tcPr>
            <w:tcW w:w="3775" w:type="dxa"/>
            <w:gridSpan w:val="4"/>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确保公务员四级联考和事业单位公开招聘公平、公正。稳妥做好企业军转干部解困工作，确保企业军转干部总体稳定。</w:t>
            </w:r>
          </w:p>
        </w:tc>
        <w:tc>
          <w:tcPr>
            <w:tcW w:w="1797" w:type="dxa"/>
            <w:gridSpan w:val="3"/>
            <w:shd w:val="clear" w:color="auto" w:fill="auto"/>
            <w:vAlign w:val="center"/>
          </w:tcPr>
          <w:p>
            <w:pPr>
              <w:spacing w:line="300" w:lineRule="exact"/>
              <w:jc w:val="left"/>
              <w:rPr>
                <w:rFonts w:ascii="仿宋_GB2312" w:hAnsi="Calibri"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9" w:type="dxa"/>
            <w:gridSpan w:val="2"/>
            <w:shd w:val="clear" w:color="auto" w:fill="auto"/>
            <w:vAlign w:val="center"/>
          </w:tcPr>
          <w:p>
            <w:pPr>
              <w:spacing w:line="300" w:lineRule="exact"/>
              <w:jc w:val="left"/>
              <w:rPr>
                <w:rFonts w:ascii="仿宋_GB2312" w:hAnsi="Calibri" w:eastAsia="仿宋_GB2312" w:cs="Times New Roman"/>
                <w:b/>
              </w:rPr>
            </w:pPr>
            <w:r>
              <w:rPr>
                <w:rFonts w:hint="eastAsia" w:ascii="仿宋_GB2312" w:hAnsi="Calibri" w:eastAsia="仿宋_GB2312" w:cs="Times New Roman"/>
                <w:b/>
              </w:rPr>
              <w:t>　　1、机关单位及公务员管理</w:t>
            </w:r>
          </w:p>
        </w:tc>
        <w:tc>
          <w:tcPr>
            <w:tcW w:w="1618" w:type="dxa"/>
            <w:gridSpan w:val="2"/>
            <w:shd w:val="clear" w:color="auto" w:fill="auto"/>
            <w:vAlign w:val="center"/>
          </w:tcPr>
          <w:p>
            <w:pPr>
              <w:spacing w:line="300" w:lineRule="exact"/>
              <w:jc w:val="left"/>
              <w:rPr>
                <w:rFonts w:ascii="仿宋_GB2312" w:hAnsi="Calibri" w:eastAsia="仿宋_GB2312" w:cs="Times New Roman"/>
              </w:rPr>
            </w:pPr>
          </w:p>
        </w:tc>
        <w:tc>
          <w:tcPr>
            <w:tcW w:w="3775" w:type="dxa"/>
            <w:gridSpan w:val="2"/>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开展公务员管理、任免、招录、考核、奖励、培训、监督以及事业单位参照公务员法管理工作。</w:t>
            </w:r>
          </w:p>
        </w:tc>
        <w:tc>
          <w:tcPr>
            <w:tcW w:w="3775" w:type="dxa"/>
            <w:gridSpan w:val="4"/>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提高公务员依法行政、管理能力。</w:t>
            </w:r>
          </w:p>
        </w:tc>
        <w:tc>
          <w:tcPr>
            <w:tcW w:w="1797" w:type="dxa"/>
            <w:gridSpan w:val="3"/>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机关及公务员调查满意率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9" w:type="dxa"/>
            <w:gridSpan w:val="2"/>
            <w:shd w:val="clear" w:color="auto" w:fill="auto"/>
            <w:vAlign w:val="center"/>
          </w:tcPr>
          <w:p>
            <w:pPr>
              <w:spacing w:line="300" w:lineRule="exact"/>
              <w:jc w:val="left"/>
              <w:rPr>
                <w:rFonts w:ascii="仿宋_GB2312" w:hAnsi="Calibri" w:eastAsia="仿宋_GB2312" w:cs="Times New Roman"/>
                <w:b/>
              </w:rPr>
            </w:pPr>
            <w:r>
              <w:rPr>
                <w:rFonts w:hint="eastAsia" w:ascii="仿宋_GB2312" w:hAnsi="Calibri" w:eastAsia="仿宋_GB2312" w:cs="Times New Roman"/>
                <w:b/>
              </w:rPr>
              <w:t>　　2、事业单位及工作人员管理</w:t>
            </w:r>
          </w:p>
        </w:tc>
        <w:tc>
          <w:tcPr>
            <w:tcW w:w="1618" w:type="dxa"/>
            <w:gridSpan w:val="2"/>
            <w:shd w:val="clear" w:color="auto" w:fill="auto"/>
            <w:vAlign w:val="center"/>
          </w:tcPr>
          <w:p>
            <w:pPr>
              <w:spacing w:line="300" w:lineRule="exact"/>
              <w:jc w:val="left"/>
              <w:rPr>
                <w:rFonts w:ascii="仿宋_GB2312" w:hAnsi="Calibri" w:eastAsia="仿宋_GB2312" w:cs="Times New Roman"/>
              </w:rPr>
            </w:pPr>
          </w:p>
        </w:tc>
        <w:tc>
          <w:tcPr>
            <w:tcW w:w="3775" w:type="dxa"/>
            <w:gridSpan w:val="2"/>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规范事业单位人事管理工作，全面推行聘用制度。进一步深化事业单位人事制度改革，建立事业单位岗位动态管理机制。事业单位新进人员，全面实行公开招聘。</w:t>
            </w:r>
          </w:p>
        </w:tc>
        <w:tc>
          <w:tcPr>
            <w:tcW w:w="3775" w:type="dxa"/>
            <w:gridSpan w:val="4"/>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事业单位一律实行合同管理，做到"应签尽签"；建立聘用合同登记制度。</w:t>
            </w:r>
          </w:p>
        </w:tc>
        <w:tc>
          <w:tcPr>
            <w:tcW w:w="1797" w:type="dxa"/>
            <w:gridSpan w:val="3"/>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事业单位调查满意率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9" w:type="dxa"/>
            <w:gridSpan w:val="2"/>
            <w:shd w:val="clear" w:color="auto" w:fill="auto"/>
            <w:vAlign w:val="center"/>
          </w:tcPr>
          <w:p>
            <w:pPr>
              <w:spacing w:line="300" w:lineRule="exact"/>
              <w:jc w:val="left"/>
              <w:rPr>
                <w:rFonts w:ascii="仿宋_GB2312" w:hAnsi="Calibri" w:eastAsia="仿宋_GB2312" w:cs="Times New Roman"/>
                <w:b/>
              </w:rPr>
            </w:pPr>
            <w:r>
              <w:rPr>
                <w:rFonts w:hint="eastAsia" w:ascii="仿宋_GB2312" w:hAnsi="Calibri" w:eastAsia="仿宋_GB2312" w:cs="Times New Roman"/>
                <w:b/>
              </w:rPr>
              <w:t>　　3、军转干部管理</w:t>
            </w:r>
          </w:p>
        </w:tc>
        <w:tc>
          <w:tcPr>
            <w:tcW w:w="1618" w:type="dxa"/>
            <w:gridSpan w:val="2"/>
            <w:shd w:val="clear" w:color="auto" w:fill="auto"/>
            <w:vAlign w:val="center"/>
          </w:tcPr>
          <w:p>
            <w:pPr>
              <w:spacing w:line="300" w:lineRule="exact"/>
              <w:jc w:val="left"/>
              <w:rPr>
                <w:rFonts w:ascii="仿宋_GB2312" w:hAnsi="Calibri" w:eastAsia="仿宋_GB2312" w:cs="Times New Roman"/>
              </w:rPr>
            </w:pPr>
          </w:p>
        </w:tc>
        <w:tc>
          <w:tcPr>
            <w:tcW w:w="3775" w:type="dxa"/>
            <w:gridSpan w:val="2"/>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主动协调有关单位，根据工作需要对军转干部进行妥善安置。同时积极落实企业军转干部各项解困政策，主动协调有关部门做好思想和稳定工作。</w:t>
            </w:r>
          </w:p>
        </w:tc>
        <w:tc>
          <w:tcPr>
            <w:tcW w:w="3775" w:type="dxa"/>
            <w:gridSpan w:val="4"/>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事业单位一律实行合同管理，做到"应签尽签"；建立聘用合同登记制度。</w:t>
            </w:r>
          </w:p>
        </w:tc>
        <w:tc>
          <w:tcPr>
            <w:tcW w:w="1797" w:type="dxa"/>
            <w:gridSpan w:val="3"/>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军转干部解困到位率军转干部安置计划落实率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9" w:type="dxa"/>
            <w:gridSpan w:val="2"/>
            <w:shd w:val="clear" w:color="auto" w:fill="auto"/>
            <w:vAlign w:val="center"/>
          </w:tcPr>
          <w:p>
            <w:pPr>
              <w:spacing w:line="300" w:lineRule="exact"/>
              <w:jc w:val="left"/>
              <w:rPr>
                <w:rFonts w:ascii="仿宋_GB2312" w:hAnsi="Calibri" w:eastAsia="仿宋_GB2312" w:cs="Times New Roman"/>
                <w:b/>
              </w:rPr>
            </w:pPr>
            <w:r>
              <w:rPr>
                <w:rFonts w:hint="eastAsia" w:ascii="仿宋_GB2312" w:hAnsi="Calibri" w:eastAsia="仿宋_GB2312" w:cs="Times New Roman"/>
                <w:b/>
              </w:rPr>
              <w:t>四、人力资源信息管理</w:t>
            </w:r>
          </w:p>
        </w:tc>
        <w:tc>
          <w:tcPr>
            <w:tcW w:w="1618" w:type="dxa"/>
            <w:gridSpan w:val="2"/>
            <w:shd w:val="clear" w:color="auto" w:fill="auto"/>
            <w:vAlign w:val="center"/>
          </w:tcPr>
          <w:p>
            <w:pPr>
              <w:spacing w:line="300" w:lineRule="exact"/>
              <w:jc w:val="left"/>
              <w:rPr>
                <w:rFonts w:ascii="仿宋_GB2312" w:hAnsi="Calibri" w:eastAsia="仿宋_GB2312" w:cs="Times New Roman"/>
              </w:rPr>
            </w:pPr>
          </w:p>
        </w:tc>
        <w:tc>
          <w:tcPr>
            <w:tcW w:w="3775" w:type="dxa"/>
            <w:gridSpan w:val="2"/>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完善档案管理等基础性工作</w:t>
            </w:r>
          </w:p>
        </w:tc>
        <w:tc>
          <w:tcPr>
            <w:tcW w:w="3775" w:type="dxa"/>
            <w:gridSpan w:val="4"/>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认真做好档案的转接、保管和使用，为群众做好优质的档案服务。</w:t>
            </w:r>
          </w:p>
        </w:tc>
        <w:tc>
          <w:tcPr>
            <w:tcW w:w="1797" w:type="dxa"/>
            <w:gridSpan w:val="3"/>
            <w:shd w:val="clear" w:color="auto" w:fill="auto"/>
            <w:vAlign w:val="center"/>
          </w:tcPr>
          <w:p>
            <w:pPr>
              <w:spacing w:line="300" w:lineRule="exact"/>
              <w:jc w:val="left"/>
              <w:rPr>
                <w:rFonts w:ascii="仿宋_GB2312" w:hAnsi="Calibri"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9" w:type="dxa"/>
            <w:gridSpan w:val="2"/>
            <w:shd w:val="clear" w:color="auto" w:fill="auto"/>
            <w:vAlign w:val="center"/>
          </w:tcPr>
          <w:p>
            <w:pPr>
              <w:spacing w:line="300" w:lineRule="exact"/>
              <w:jc w:val="left"/>
              <w:rPr>
                <w:rFonts w:ascii="仿宋_GB2312" w:hAnsi="Calibri" w:eastAsia="仿宋_GB2312" w:cs="Times New Roman"/>
                <w:b/>
              </w:rPr>
            </w:pPr>
            <w:r>
              <w:rPr>
                <w:rFonts w:hint="eastAsia" w:ascii="仿宋_GB2312" w:hAnsi="Calibri" w:eastAsia="仿宋_GB2312" w:cs="Times New Roman"/>
                <w:b/>
              </w:rPr>
              <w:t>　　1、档案管理</w:t>
            </w:r>
          </w:p>
        </w:tc>
        <w:tc>
          <w:tcPr>
            <w:tcW w:w="1618" w:type="dxa"/>
            <w:gridSpan w:val="2"/>
            <w:shd w:val="clear" w:color="auto" w:fill="auto"/>
            <w:vAlign w:val="center"/>
          </w:tcPr>
          <w:p>
            <w:pPr>
              <w:spacing w:line="300" w:lineRule="exact"/>
              <w:jc w:val="left"/>
              <w:rPr>
                <w:rFonts w:ascii="仿宋_GB2312" w:hAnsi="Calibri" w:eastAsia="仿宋_GB2312" w:cs="Times New Roman"/>
              </w:rPr>
            </w:pPr>
          </w:p>
        </w:tc>
        <w:tc>
          <w:tcPr>
            <w:tcW w:w="3775" w:type="dxa"/>
            <w:gridSpan w:val="2"/>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管理并完善包括改制企业职工、自由职业者、机关事业单位工人、人事代理、大学生村官、社区协助员及协警、失业人员、退伍军人、下乡知青和退休人员等在内的各类人事档案，并做好档案的收存、查阅和审核等各项基础工作。</w:t>
            </w:r>
          </w:p>
        </w:tc>
        <w:tc>
          <w:tcPr>
            <w:tcW w:w="3775" w:type="dxa"/>
            <w:gridSpan w:val="4"/>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档案接转、保管、使用</w:t>
            </w:r>
          </w:p>
        </w:tc>
        <w:tc>
          <w:tcPr>
            <w:tcW w:w="1797" w:type="dxa"/>
            <w:gridSpan w:val="3"/>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档案保管完整率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9" w:type="dxa"/>
            <w:gridSpan w:val="2"/>
            <w:shd w:val="clear" w:color="auto" w:fill="auto"/>
            <w:vAlign w:val="center"/>
          </w:tcPr>
          <w:p>
            <w:pPr>
              <w:spacing w:line="300" w:lineRule="exact"/>
              <w:jc w:val="left"/>
              <w:rPr>
                <w:rFonts w:ascii="仿宋_GB2312" w:hAnsi="Calibri" w:eastAsia="仿宋_GB2312" w:cs="Times New Roman"/>
                <w:b/>
              </w:rPr>
            </w:pPr>
            <w:r>
              <w:rPr>
                <w:rFonts w:hint="eastAsia" w:ascii="仿宋_GB2312" w:hAnsi="Calibri" w:eastAsia="仿宋_GB2312" w:cs="Times New Roman"/>
                <w:b/>
              </w:rPr>
              <w:t>五、社会保险</w:t>
            </w:r>
          </w:p>
        </w:tc>
        <w:tc>
          <w:tcPr>
            <w:tcW w:w="1618" w:type="dxa"/>
            <w:gridSpan w:val="2"/>
            <w:shd w:val="clear" w:color="auto" w:fill="auto"/>
            <w:vAlign w:val="center"/>
          </w:tcPr>
          <w:p>
            <w:pPr>
              <w:spacing w:line="300" w:lineRule="exact"/>
              <w:jc w:val="left"/>
              <w:rPr>
                <w:rFonts w:ascii="仿宋_GB2312" w:hAnsi="Calibri" w:eastAsia="仿宋_GB2312" w:cs="Times New Roman"/>
              </w:rPr>
            </w:pPr>
          </w:p>
        </w:tc>
        <w:tc>
          <w:tcPr>
            <w:tcW w:w="3775" w:type="dxa"/>
            <w:gridSpan w:val="2"/>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负责社会保险费征收、支付和管理</w:t>
            </w:r>
          </w:p>
        </w:tc>
        <w:tc>
          <w:tcPr>
            <w:tcW w:w="3775" w:type="dxa"/>
            <w:gridSpan w:val="4"/>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参保单位和人员的登记，社会保险费的征收和支付，个人账户的管理，社会保险待遇审核，社保基金的管理</w:t>
            </w:r>
          </w:p>
        </w:tc>
        <w:tc>
          <w:tcPr>
            <w:tcW w:w="1797" w:type="dxa"/>
            <w:gridSpan w:val="3"/>
            <w:shd w:val="clear" w:color="auto" w:fill="auto"/>
            <w:vAlign w:val="center"/>
          </w:tcPr>
          <w:p>
            <w:pPr>
              <w:spacing w:line="300" w:lineRule="exact"/>
              <w:jc w:val="left"/>
              <w:rPr>
                <w:rFonts w:ascii="仿宋_GB2312" w:hAnsi="Calibri"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9" w:type="dxa"/>
            <w:gridSpan w:val="2"/>
            <w:shd w:val="clear" w:color="auto" w:fill="auto"/>
            <w:vAlign w:val="center"/>
          </w:tcPr>
          <w:p>
            <w:pPr>
              <w:spacing w:line="300" w:lineRule="exact"/>
              <w:jc w:val="left"/>
              <w:rPr>
                <w:rFonts w:ascii="仿宋_GB2312" w:hAnsi="Calibri" w:eastAsia="仿宋_GB2312" w:cs="Times New Roman"/>
                <w:b/>
              </w:rPr>
            </w:pPr>
            <w:r>
              <w:rPr>
                <w:rFonts w:hint="eastAsia" w:ascii="仿宋_GB2312" w:hAnsi="Calibri" w:eastAsia="仿宋_GB2312" w:cs="Times New Roman"/>
                <w:b/>
              </w:rPr>
              <w:t>　　1、企业职工基本养老保险</w:t>
            </w:r>
          </w:p>
        </w:tc>
        <w:tc>
          <w:tcPr>
            <w:tcW w:w="1618" w:type="dxa"/>
            <w:gridSpan w:val="2"/>
            <w:shd w:val="clear" w:color="auto" w:fill="auto"/>
            <w:vAlign w:val="center"/>
          </w:tcPr>
          <w:p>
            <w:pPr>
              <w:spacing w:line="300" w:lineRule="exact"/>
              <w:jc w:val="left"/>
              <w:rPr>
                <w:rFonts w:ascii="仿宋_GB2312" w:hAnsi="Calibri" w:eastAsia="仿宋_GB2312" w:cs="Times New Roman"/>
              </w:rPr>
            </w:pPr>
          </w:p>
        </w:tc>
        <w:tc>
          <w:tcPr>
            <w:tcW w:w="3775" w:type="dxa"/>
            <w:gridSpan w:val="2"/>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负责参保单位和人员的登记，养老保险费征收，个人账户的管理，养老保险待遇的审核和计发</w:t>
            </w:r>
          </w:p>
        </w:tc>
        <w:tc>
          <w:tcPr>
            <w:tcW w:w="3775" w:type="dxa"/>
            <w:gridSpan w:val="4"/>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逐步扩大养老保险覆盖面，养老保险待遇按时足额发放</w:t>
            </w:r>
          </w:p>
        </w:tc>
        <w:tc>
          <w:tcPr>
            <w:tcW w:w="1797" w:type="dxa"/>
            <w:gridSpan w:val="3"/>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养老保险覆盖面完成市达目标任务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9" w:type="dxa"/>
            <w:gridSpan w:val="2"/>
            <w:shd w:val="clear" w:color="auto" w:fill="auto"/>
            <w:vAlign w:val="center"/>
          </w:tcPr>
          <w:p>
            <w:pPr>
              <w:spacing w:line="300" w:lineRule="exact"/>
              <w:jc w:val="left"/>
              <w:rPr>
                <w:rFonts w:ascii="仿宋_GB2312" w:hAnsi="Calibri" w:eastAsia="仿宋_GB2312" w:cs="Times New Roman"/>
                <w:b/>
              </w:rPr>
            </w:pPr>
            <w:r>
              <w:rPr>
                <w:rFonts w:hint="eastAsia" w:ascii="仿宋_GB2312" w:hAnsi="Calibri" w:eastAsia="仿宋_GB2312" w:cs="Times New Roman"/>
                <w:b/>
              </w:rPr>
              <w:t>　　2、失业保险</w:t>
            </w:r>
          </w:p>
        </w:tc>
        <w:tc>
          <w:tcPr>
            <w:tcW w:w="1618" w:type="dxa"/>
            <w:gridSpan w:val="2"/>
            <w:shd w:val="clear" w:color="auto" w:fill="auto"/>
            <w:vAlign w:val="center"/>
          </w:tcPr>
          <w:p>
            <w:pPr>
              <w:spacing w:line="300" w:lineRule="exact"/>
              <w:jc w:val="left"/>
              <w:rPr>
                <w:rFonts w:ascii="仿宋_GB2312" w:hAnsi="Calibri" w:eastAsia="仿宋_GB2312" w:cs="Times New Roman"/>
              </w:rPr>
            </w:pPr>
          </w:p>
        </w:tc>
        <w:tc>
          <w:tcPr>
            <w:tcW w:w="3775" w:type="dxa"/>
            <w:gridSpan w:val="2"/>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负责失业保险费征收，失业保险待遇的审核和发放</w:t>
            </w:r>
          </w:p>
        </w:tc>
        <w:tc>
          <w:tcPr>
            <w:tcW w:w="3775" w:type="dxa"/>
            <w:gridSpan w:val="4"/>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逐步扩大失业保险覆盖面，失业保险待遇按时足额发放</w:t>
            </w:r>
          </w:p>
        </w:tc>
        <w:tc>
          <w:tcPr>
            <w:tcW w:w="1797" w:type="dxa"/>
            <w:gridSpan w:val="3"/>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失业保险覆盖面和征收完成市达目标任务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9" w:type="dxa"/>
            <w:gridSpan w:val="2"/>
            <w:shd w:val="clear" w:color="auto" w:fill="auto"/>
            <w:vAlign w:val="center"/>
          </w:tcPr>
          <w:p>
            <w:pPr>
              <w:spacing w:line="300" w:lineRule="exact"/>
              <w:jc w:val="left"/>
              <w:rPr>
                <w:rFonts w:ascii="仿宋_GB2312" w:hAnsi="Calibri" w:eastAsia="仿宋_GB2312" w:cs="Times New Roman"/>
                <w:b/>
              </w:rPr>
            </w:pPr>
            <w:r>
              <w:rPr>
                <w:rFonts w:hint="eastAsia" w:ascii="仿宋_GB2312" w:hAnsi="Calibri" w:eastAsia="仿宋_GB2312" w:cs="Times New Roman"/>
                <w:b/>
              </w:rPr>
              <w:t>　　3、工伤保险</w:t>
            </w:r>
          </w:p>
        </w:tc>
        <w:tc>
          <w:tcPr>
            <w:tcW w:w="1618" w:type="dxa"/>
            <w:gridSpan w:val="2"/>
            <w:shd w:val="clear" w:color="auto" w:fill="auto"/>
            <w:vAlign w:val="center"/>
          </w:tcPr>
          <w:p>
            <w:pPr>
              <w:spacing w:line="300" w:lineRule="exact"/>
              <w:jc w:val="left"/>
              <w:rPr>
                <w:rFonts w:ascii="仿宋_GB2312" w:hAnsi="Calibri" w:eastAsia="仿宋_GB2312" w:cs="Times New Roman"/>
              </w:rPr>
            </w:pPr>
          </w:p>
        </w:tc>
        <w:tc>
          <w:tcPr>
            <w:tcW w:w="3775" w:type="dxa"/>
            <w:gridSpan w:val="2"/>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负责工伤保险费征收，工伤保险待遇的审核和支付</w:t>
            </w:r>
          </w:p>
        </w:tc>
        <w:tc>
          <w:tcPr>
            <w:tcW w:w="3775" w:type="dxa"/>
            <w:gridSpan w:val="4"/>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逐步扩大工伤保险覆盖面，足额支付工伤保险待遇</w:t>
            </w:r>
          </w:p>
        </w:tc>
        <w:tc>
          <w:tcPr>
            <w:tcW w:w="1797" w:type="dxa"/>
            <w:gridSpan w:val="3"/>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工伤保险覆盖面和征收完成市达目标任务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9" w:type="dxa"/>
            <w:gridSpan w:val="2"/>
            <w:shd w:val="clear" w:color="auto" w:fill="auto"/>
            <w:vAlign w:val="center"/>
          </w:tcPr>
          <w:p>
            <w:pPr>
              <w:spacing w:line="300" w:lineRule="exact"/>
              <w:jc w:val="left"/>
              <w:rPr>
                <w:rFonts w:ascii="仿宋_GB2312" w:hAnsi="Calibri" w:eastAsia="仿宋_GB2312" w:cs="Times New Roman"/>
                <w:b/>
              </w:rPr>
            </w:pPr>
            <w:r>
              <w:rPr>
                <w:rFonts w:hint="eastAsia" w:ascii="仿宋_GB2312" w:hAnsi="Calibri" w:eastAsia="仿宋_GB2312" w:cs="Times New Roman"/>
                <w:b/>
              </w:rPr>
              <w:t>　　4、机关事业养老保险</w:t>
            </w:r>
          </w:p>
        </w:tc>
        <w:tc>
          <w:tcPr>
            <w:tcW w:w="1618" w:type="dxa"/>
            <w:gridSpan w:val="2"/>
            <w:shd w:val="clear" w:color="auto" w:fill="auto"/>
            <w:vAlign w:val="center"/>
          </w:tcPr>
          <w:p>
            <w:pPr>
              <w:spacing w:line="300" w:lineRule="exact"/>
              <w:jc w:val="left"/>
              <w:rPr>
                <w:rFonts w:ascii="仿宋_GB2312" w:hAnsi="Calibri" w:eastAsia="仿宋_GB2312" w:cs="Times New Roman"/>
              </w:rPr>
            </w:pPr>
          </w:p>
        </w:tc>
        <w:tc>
          <w:tcPr>
            <w:tcW w:w="3775" w:type="dxa"/>
            <w:gridSpan w:val="2"/>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负责参保单位的登记，养老保险费征收，个人账户的管理，养老保险待遇的审核和计发</w:t>
            </w:r>
          </w:p>
        </w:tc>
        <w:tc>
          <w:tcPr>
            <w:tcW w:w="3775" w:type="dxa"/>
            <w:gridSpan w:val="4"/>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足额征收养老保险费，养老保险待遇按时足额发放</w:t>
            </w:r>
          </w:p>
        </w:tc>
        <w:tc>
          <w:tcPr>
            <w:tcW w:w="1797" w:type="dxa"/>
            <w:gridSpan w:val="3"/>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参保、征缴、发放率到达100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9" w:type="dxa"/>
            <w:gridSpan w:val="2"/>
            <w:shd w:val="clear" w:color="auto" w:fill="auto"/>
            <w:vAlign w:val="center"/>
          </w:tcPr>
          <w:p>
            <w:pPr>
              <w:spacing w:line="300" w:lineRule="exact"/>
              <w:jc w:val="left"/>
              <w:rPr>
                <w:rFonts w:ascii="仿宋_GB2312" w:hAnsi="Calibri" w:eastAsia="仿宋_GB2312" w:cs="Times New Roman"/>
                <w:b/>
              </w:rPr>
            </w:pPr>
            <w:r>
              <w:rPr>
                <w:rFonts w:hint="eastAsia" w:ascii="仿宋_GB2312" w:hAnsi="Calibri" w:eastAsia="仿宋_GB2312" w:cs="Times New Roman"/>
                <w:b/>
              </w:rPr>
              <w:t>　　5、城乡居民养老保险</w:t>
            </w:r>
          </w:p>
        </w:tc>
        <w:tc>
          <w:tcPr>
            <w:tcW w:w="1618" w:type="dxa"/>
            <w:gridSpan w:val="2"/>
            <w:shd w:val="clear" w:color="auto" w:fill="auto"/>
            <w:vAlign w:val="center"/>
          </w:tcPr>
          <w:p>
            <w:pPr>
              <w:spacing w:line="300" w:lineRule="exact"/>
              <w:jc w:val="left"/>
              <w:rPr>
                <w:rFonts w:ascii="仿宋_GB2312" w:hAnsi="Calibri" w:eastAsia="仿宋_GB2312" w:cs="Times New Roman"/>
              </w:rPr>
            </w:pPr>
          </w:p>
        </w:tc>
        <w:tc>
          <w:tcPr>
            <w:tcW w:w="3775" w:type="dxa"/>
            <w:gridSpan w:val="2"/>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负责参保人员的登记，养老保险费征收，个人账户的管理，养老保险待遇的审核和计发</w:t>
            </w:r>
          </w:p>
        </w:tc>
        <w:tc>
          <w:tcPr>
            <w:tcW w:w="3775" w:type="dxa"/>
            <w:gridSpan w:val="4"/>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足额征收养老保险费，养老保险待遇按时足额发放</w:t>
            </w:r>
          </w:p>
        </w:tc>
        <w:tc>
          <w:tcPr>
            <w:tcW w:w="1797" w:type="dxa"/>
            <w:gridSpan w:val="3"/>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参保率达95%以上，按政策规定征收养老保险费，养老保险待遇按时发放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9" w:type="dxa"/>
            <w:gridSpan w:val="2"/>
            <w:shd w:val="clear" w:color="auto" w:fill="auto"/>
            <w:vAlign w:val="center"/>
          </w:tcPr>
          <w:p>
            <w:pPr>
              <w:spacing w:line="300" w:lineRule="exact"/>
              <w:jc w:val="left"/>
              <w:rPr>
                <w:rFonts w:ascii="仿宋_GB2312" w:hAnsi="Calibri" w:eastAsia="仿宋_GB2312" w:cs="Times New Roman"/>
                <w:b/>
              </w:rPr>
            </w:pPr>
            <w:r>
              <w:rPr>
                <w:rFonts w:hint="eastAsia" w:ascii="仿宋_GB2312" w:hAnsi="Calibri" w:eastAsia="仿宋_GB2312" w:cs="Times New Roman"/>
                <w:b/>
              </w:rPr>
              <w:t>　　6、企业退休人员社会化管理</w:t>
            </w:r>
          </w:p>
        </w:tc>
        <w:tc>
          <w:tcPr>
            <w:tcW w:w="1618" w:type="dxa"/>
            <w:gridSpan w:val="2"/>
            <w:shd w:val="clear" w:color="auto" w:fill="auto"/>
            <w:vAlign w:val="center"/>
          </w:tcPr>
          <w:p>
            <w:pPr>
              <w:spacing w:line="300" w:lineRule="exact"/>
              <w:jc w:val="left"/>
              <w:rPr>
                <w:rFonts w:ascii="仿宋_GB2312" w:hAnsi="Calibri" w:eastAsia="仿宋_GB2312" w:cs="Times New Roman"/>
              </w:rPr>
            </w:pPr>
          </w:p>
        </w:tc>
        <w:tc>
          <w:tcPr>
            <w:tcW w:w="3775" w:type="dxa"/>
            <w:gridSpan w:val="2"/>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企业退休人员由社区管理</w:t>
            </w:r>
          </w:p>
        </w:tc>
        <w:tc>
          <w:tcPr>
            <w:tcW w:w="3775" w:type="dxa"/>
            <w:gridSpan w:val="4"/>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活跃退休人员文化体育生活</w:t>
            </w:r>
          </w:p>
        </w:tc>
        <w:tc>
          <w:tcPr>
            <w:tcW w:w="1797" w:type="dxa"/>
            <w:gridSpan w:val="3"/>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社区管理达到90%以上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9" w:type="dxa"/>
            <w:gridSpan w:val="2"/>
            <w:shd w:val="clear" w:color="auto" w:fill="auto"/>
            <w:vAlign w:val="center"/>
          </w:tcPr>
          <w:p>
            <w:pPr>
              <w:spacing w:line="300" w:lineRule="exact"/>
              <w:jc w:val="left"/>
              <w:rPr>
                <w:rFonts w:ascii="仿宋_GB2312" w:hAnsi="Calibri" w:eastAsia="仿宋_GB2312" w:cs="Times New Roman"/>
                <w:b/>
              </w:rPr>
            </w:pPr>
            <w:r>
              <w:rPr>
                <w:rFonts w:hint="eastAsia" w:ascii="仿宋_GB2312" w:hAnsi="Calibri" w:eastAsia="仿宋_GB2312" w:cs="Times New Roman"/>
                <w:b/>
              </w:rPr>
              <w:t>　　7、社保经办体系建设</w:t>
            </w:r>
          </w:p>
        </w:tc>
        <w:tc>
          <w:tcPr>
            <w:tcW w:w="1618" w:type="dxa"/>
            <w:gridSpan w:val="2"/>
            <w:shd w:val="clear" w:color="auto" w:fill="auto"/>
            <w:vAlign w:val="center"/>
          </w:tcPr>
          <w:p>
            <w:pPr>
              <w:spacing w:line="300" w:lineRule="exact"/>
              <w:jc w:val="left"/>
              <w:rPr>
                <w:rFonts w:ascii="仿宋_GB2312" w:hAnsi="Calibri" w:eastAsia="仿宋_GB2312" w:cs="Times New Roman"/>
              </w:rPr>
            </w:pPr>
          </w:p>
        </w:tc>
        <w:tc>
          <w:tcPr>
            <w:tcW w:w="3775" w:type="dxa"/>
            <w:gridSpan w:val="2"/>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社会保险业务经办管理纳入省级统筹信息系统平台</w:t>
            </w:r>
          </w:p>
        </w:tc>
        <w:tc>
          <w:tcPr>
            <w:tcW w:w="3775" w:type="dxa"/>
            <w:gridSpan w:val="4"/>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社保业务平稳运行</w:t>
            </w:r>
          </w:p>
        </w:tc>
        <w:tc>
          <w:tcPr>
            <w:tcW w:w="1797" w:type="dxa"/>
            <w:gridSpan w:val="3"/>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公共业务统一经办，财务业务一体化操作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9" w:type="dxa"/>
            <w:gridSpan w:val="2"/>
            <w:shd w:val="clear" w:color="auto" w:fill="auto"/>
            <w:vAlign w:val="center"/>
          </w:tcPr>
          <w:p>
            <w:pPr>
              <w:spacing w:line="300" w:lineRule="exact"/>
              <w:jc w:val="left"/>
              <w:rPr>
                <w:rFonts w:ascii="仿宋_GB2312" w:hAnsi="Calibri" w:eastAsia="仿宋_GB2312" w:cs="Times New Roman"/>
                <w:b/>
              </w:rPr>
            </w:pPr>
            <w:r>
              <w:rPr>
                <w:rFonts w:hint="eastAsia" w:ascii="仿宋_GB2312" w:hAnsi="Calibri" w:eastAsia="仿宋_GB2312" w:cs="Times New Roman"/>
                <w:b/>
              </w:rPr>
              <w:t>六、人才队伍建设</w:t>
            </w:r>
          </w:p>
        </w:tc>
        <w:tc>
          <w:tcPr>
            <w:tcW w:w="1618" w:type="dxa"/>
            <w:gridSpan w:val="2"/>
            <w:shd w:val="clear" w:color="auto" w:fill="auto"/>
            <w:vAlign w:val="center"/>
          </w:tcPr>
          <w:p>
            <w:pPr>
              <w:spacing w:line="300" w:lineRule="exact"/>
              <w:jc w:val="left"/>
              <w:rPr>
                <w:rFonts w:ascii="仿宋_GB2312" w:hAnsi="Calibri" w:eastAsia="仿宋_GB2312" w:cs="Times New Roman"/>
              </w:rPr>
            </w:pPr>
          </w:p>
        </w:tc>
        <w:tc>
          <w:tcPr>
            <w:tcW w:w="3775" w:type="dxa"/>
            <w:gridSpan w:val="2"/>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管理职称工作</w:t>
            </w:r>
          </w:p>
        </w:tc>
        <w:tc>
          <w:tcPr>
            <w:tcW w:w="3775" w:type="dxa"/>
            <w:gridSpan w:val="4"/>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建立健全高层次专业技术人才队伍，落实各类人才待遇。规范基层单位职称申报推荐程序，认真组织申报推荐工作。</w:t>
            </w:r>
          </w:p>
        </w:tc>
        <w:tc>
          <w:tcPr>
            <w:tcW w:w="1797" w:type="dxa"/>
            <w:gridSpan w:val="3"/>
            <w:shd w:val="clear" w:color="auto" w:fill="auto"/>
            <w:vAlign w:val="center"/>
          </w:tcPr>
          <w:p>
            <w:pPr>
              <w:spacing w:line="300" w:lineRule="exact"/>
              <w:jc w:val="left"/>
              <w:rPr>
                <w:rFonts w:ascii="仿宋_GB2312" w:hAnsi="Calibri"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9" w:type="dxa"/>
            <w:gridSpan w:val="2"/>
            <w:shd w:val="clear" w:color="auto" w:fill="auto"/>
            <w:vAlign w:val="center"/>
          </w:tcPr>
          <w:p>
            <w:pPr>
              <w:spacing w:line="300" w:lineRule="exact"/>
              <w:jc w:val="left"/>
              <w:rPr>
                <w:rFonts w:ascii="仿宋_GB2312" w:hAnsi="Calibri" w:eastAsia="仿宋_GB2312" w:cs="Times New Roman"/>
                <w:b/>
              </w:rPr>
            </w:pPr>
            <w:r>
              <w:rPr>
                <w:rFonts w:hint="eastAsia" w:ascii="仿宋_GB2312" w:hAnsi="Calibri" w:eastAsia="仿宋_GB2312" w:cs="Times New Roman"/>
                <w:b/>
              </w:rPr>
              <w:t>　　1、专业技术人员管理</w:t>
            </w:r>
          </w:p>
        </w:tc>
        <w:tc>
          <w:tcPr>
            <w:tcW w:w="1618" w:type="dxa"/>
            <w:gridSpan w:val="2"/>
            <w:shd w:val="clear" w:color="auto" w:fill="auto"/>
            <w:vAlign w:val="center"/>
          </w:tcPr>
          <w:p>
            <w:pPr>
              <w:spacing w:line="300" w:lineRule="exact"/>
              <w:jc w:val="left"/>
              <w:rPr>
                <w:rFonts w:ascii="仿宋_GB2312" w:hAnsi="Calibri" w:eastAsia="仿宋_GB2312" w:cs="Times New Roman"/>
              </w:rPr>
            </w:pPr>
          </w:p>
        </w:tc>
        <w:tc>
          <w:tcPr>
            <w:tcW w:w="3775" w:type="dxa"/>
            <w:gridSpan w:val="2"/>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严格按照各单位岗位数量，结合市局下达的申报数额，结合主管部门，根据各单位岗位配置，合理安排推荐指标。</w:t>
            </w:r>
          </w:p>
        </w:tc>
        <w:tc>
          <w:tcPr>
            <w:tcW w:w="3775" w:type="dxa"/>
            <w:gridSpan w:val="4"/>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确保各基层单位推荐过程公平公正</w:t>
            </w:r>
          </w:p>
        </w:tc>
        <w:tc>
          <w:tcPr>
            <w:tcW w:w="1797" w:type="dxa"/>
            <w:gridSpan w:val="3"/>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专业技术人员调查满意率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9" w:type="dxa"/>
            <w:gridSpan w:val="2"/>
            <w:shd w:val="clear" w:color="auto" w:fill="auto"/>
            <w:vAlign w:val="center"/>
          </w:tcPr>
          <w:p>
            <w:pPr>
              <w:spacing w:line="300" w:lineRule="exact"/>
              <w:jc w:val="left"/>
              <w:rPr>
                <w:rFonts w:ascii="仿宋_GB2312" w:hAnsi="Calibri" w:eastAsia="仿宋_GB2312" w:cs="Times New Roman"/>
                <w:b/>
              </w:rPr>
            </w:pPr>
            <w:r>
              <w:rPr>
                <w:rFonts w:hint="eastAsia" w:ascii="仿宋_GB2312" w:hAnsi="Calibri" w:eastAsia="仿宋_GB2312" w:cs="Times New Roman"/>
                <w:b/>
              </w:rPr>
              <w:t>　　2、专业技术人员管理</w:t>
            </w:r>
          </w:p>
        </w:tc>
        <w:tc>
          <w:tcPr>
            <w:tcW w:w="1618" w:type="dxa"/>
            <w:gridSpan w:val="2"/>
            <w:shd w:val="clear" w:color="auto" w:fill="auto"/>
            <w:vAlign w:val="center"/>
          </w:tcPr>
          <w:p>
            <w:pPr>
              <w:spacing w:line="300" w:lineRule="exact"/>
              <w:jc w:val="left"/>
              <w:rPr>
                <w:rFonts w:ascii="仿宋_GB2312" w:hAnsi="Calibri" w:eastAsia="仿宋_GB2312" w:cs="Times New Roman"/>
              </w:rPr>
            </w:pPr>
          </w:p>
        </w:tc>
        <w:tc>
          <w:tcPr>
            <w:tcW w:w="3775" w:type="dxa"/>
            <w:gridSpan w:val="2"/>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多深入基层调研、宣传发动，积极主动为企业专业技术人员服务。</w:t>
            </w:r>
          </w:p>
        </w:tc>
        <w:tc>
          <w:tcPr>
            <w:tcW w:w="3775" w:type="dxa"/>
            <w:gridSpan w:val="4"/>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正确引导企业专业技术人员申报各类职称，调动其工作的积极性。</w:t>
            </w:r>
          </w:p>
        </w:tc>
        <w:tc>
          <w:tcPr>
            <w:tcW w:w="1797" w:type="dxa"/>
            <w:gridSpan w:val="3"/>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专业技术人员调查满意率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9" w:type="dxa"/>
            <w:gridSpan w:val="2"/>
            <w:shd w:val="clear" w:color="auto" w:fill="auto"/>
            <w:vAlign w:val="center"/>
          </w:tcPr>
          <w:p>
            <w:pPr>
              <w:spacing w:line="300" w:lineRule="exact"/>
              <w:jc w:val="left"/>
              <w:rPr>
                <w:rFonts w:ascii="仿宋_GB2312" w:hAnsi="Calibri" w:eastAsia="仿宋_GB2312" w:cs="Times New Roman"/>
                <w:b/>
              </w:rPr>
            </w:pPr>
            <w:r>
              <w:rPr>
                <w:rFonts w:hint="eastAsia" w:ascii="仿宋_GB2312" w:hAnsi="Calibri" w:eastAsia="仿宋_GB2312" w:cs="Times New Roman"/>
                <w:b/>
              </w:rPr>
              <w:t>七、仲裁院建设</w:t>
            </w:r>
          </w:p>
        </w:tc>
        <w:tc>
          <w:tcPr>
            <w:tcW w:w="1618" w:type="dxa"/>
            <w:gridSpan w:val="2"/>
            <w:shd w:val="clear" w:color="auto" w:fill="auto"/>
            <w:vAlign w:val="center"/>
          </w:tcPr>
          <w:p>
            <w:pPr>
              <w:spacing w:line="300" w:lineRule="exact"/>
              <w:jc w:val="left"/>
              <w:rPr>
                <w:rFonts w:ascii="仿宋_GB2312" w:hAnsi="Calibri" w:eastAsia="仿宋_GB2312" w:cs="Times New Roman"/>
              </w:rPr>
            </w:pPr>
          </w:p>
        </w:tc>
        <w:tc>
          <w:tcPr>
            <w:tcW w:w="3775" w:type="dxa"/>
            <w:gridSpan w:val="2"/>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加强劳动人事争议仲裁院建设</w:t>
            </w:r>
          </w:p>
        </w:tc>
        <w:tc>
          <w:tcPr>
            <w:tcW w:w="3775" w:type="dxa"/>
            <w:gridSpan w:val="4"/>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进一步提高人员素质，积极组织参加省市业务培训班；组织仲裁办案人员集中学习相关法律法规和文件；组织开展典型案例分析。进一步规范仲裁文书和程序，统一使用省厅仲裁文书样本；规范各项工作程序，与省市仲裁机构保持一致。抓好仲裁队伍管理，制定和完善具有可操作性的各项规章制度，用制度规范执法和办公行为，同时研究制定便民措施方便办事群众。建立和完善基层劳动争议调解组织，积极承担起对企业和基层调解组织的指导工作，尽量从源头上预防和化解矛盾，提高纠纷化解效率。</w:t>
            </w:r>
          </w:p>
        </w:tc>
        <w:tc>
          <w:tcPr>
            <w:tcW w:w="1797" w:type="dxa"/>
            <w:gridSpan w:val="3"/>
            <w:shd w:val="clear" w:color="auto" w:fill="auto"/>
            <w:vAlign w:val="center"/>
          </w:tcPr>
          <w:p>
            <w:pPr>
              <w:spacing w:line="300" w:lineRule="exact"/>
              <w:jc w:val="left"/>
              <w:rPr>
                <w:rFonts w:ascii="仿宋_GB2312" w:hAnsi="Calibri"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9" w:type="dxa"/>
            <w:gridSpan w:val="2"/>
            <w:shd w:val="clear" w:color="auto" w:fill="auto"/>
            <w:vAlign w:val="center"/>
          </w:tcPr>
          <w:p>
            <w:pPr>
              <w:spacing w:line="300" w:lineRule="exact"/>
              <w:jc w:val="left"/>
              <w:rPr>
                <w:rFonts w:ascii="仿宋_GB2312" w:hAnsi="Calibri" w:eastAsia="仿宋_GB2312" w:cs="Times New Roman"/>
                <w:b/>
              </w:rPr>
            </w:pPr>
            <w:r>
              <w:rPr>
                <w:rFonts w:hint="eastAsia" w:ascii="仿宋_GB2312" w:hAnsi="Calibri" w:eastAsia="仿宋_GB2312" w:cs="Times New Roman"/>
                <w:b/>
              </w:rPr>
              <w:t>　　1、进一步提高人员素质，积极组织参加省市业务培训班；组织仲裁办案人员集中学习相关法律法规和文件；组织开展典型案例分析。</w:t>
            </w:r>
          </w:p>
        </w:tc>
        <w:tc>
          <w:tcPr>
            <w:tcW w:w="1618" w:type="dxa"/>
            <w:gridSpan w:val="2"/>
            <w:shd w:val="clear" w:color="auto" w:fill="auto"/>
            <w:vAlign w:val="center"/>
          </w:tcPr>
          <w:p>
            <w:pPr>
              <w:spacing w:line="300" w:lineRule="exact"/>
              <w:jc w:val="left"/>
              <w:rPr>
                <w:rFonts w:ascii="仿宋_GB2312" w:hAnsi="Calibri" w:eastAsia="仿宋_GB2312" w:cs="Times New Roman"/>
              </w:rPr>
            </w:pPr>
          </w:p>
        </w:tc>
        <w:tc>
          <w:tcPr>
            <w:tcW w:w="3775" w:type="dxa"/>
            <w:gridSpan w:val="2"/>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积极参加省厅组织的仲裁员培训班，结合典型案例，每周一题，集中学习相关法律法规。</w:t>
            </w:r>
          </w:p>
        </w:tc>
        <w:tc>
          <w:tcPr>
            <w:tcW w:w="3775" w:type="dxa"/>
            <w:gridSpan w:val="4"/>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提高仲裁员业务素质</w:t>
            </w:r>
          </w:p>
        </w:tc>
        <w:tc>
          <w:tcPr>
            <w:tcW w:w="1797" w:type="dxa"/>
            <w:gridSpan w:val="3"/>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仲裁员持证上岗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9" w:type="dxa"/>
            <w:gridSpan w:val="2"/>
            <w:shd w:val="clear" w:color="auto" w:fill="auto"/>
            <w:vAlign w:val="center"/>
          </w:tcPr>
          <w:p>
            <w:pPr>
              <w:spacing w:line="300" w:lineRule="exact"/>
              <w:jc w:val="left"/>
              <w:rPr>
                <w:rFonts w:ascii="仿宋_GB2312" w:hAnsi="Calibri" w:eastAsia="仿宋_GB2312" w:cs="Times New Roman"/>
                <w:b/>
              </w:rPr>
            </w:pPr>
            <w:r>
              <w:rPr>
                <w:rFonts w:hint="eastAsia" w:ascii="仿宋_GB2312" w:hAnsi="Calibri" w:eastAsia="仿宋_GB2312" w:cs="Times New Roman"/>
                <w:b/>
              </w:rPr>
              <w:t>　　2、进一步规范仲裁文书和程序，统一使用省厅仲裁文书样本；规范各项工作程序，与省市仲裁机构保持一致。</w:t>
            </w:r>
          </w:p>
        </w:tc>
        <w:tc>
          <w:tcPr>
            <w:tcW w:w="1618" w:type="dxa"/>
            <w:gridSpan w:val="2"/>
            <w:shd w:val="clear" w:color="auto" w:fill="auto"/>
            <w:vAlign w:val="center"/>
          </w:tcPr>
          <w:p>
            <w:pPr>
              <w:spacing w:line="300" w:lineRule="exact"/>
              <w:jc w:val="left"/>
              <w:rPr>
                <w:rFonts w:ascii="仿宋_GB2312" w:hAnsi="Calibri" w:eastAsia="仿宋_GB2312" w:cs="Times New Roman"/>
              </w:rPr>
            </w:pPr>
          </w:p>
        </w:tc>
        <w:tc>
          <w:tcPr>
            <w:tcW w:w="3775" w:type="dxa"/>
            <w:gridSpan w:val="2"/>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依据《劳动人事争议仲裁文书样式》制作我区仲裁文书，依据《河北省劳动人事争议仲裁有关规则指导意见》，规范各项仲裁程序。</w:t>
            </w:r>
          </w:p>
        </w:tc>
        <w:tc>
          <w:tcPr>
            <w:tcW w:w="3775" w:type="dxa"/>
            <w:gridSpan w:val="4"/>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提高调解仲裁工作效率</w:t>
            </w:r>
          </w:p>
        </w:tc>
        <w:tc>
          <w:tcPr>
            <w:tcW w:w="1797" w:type="dxa"/>
            <w:gridSpan w:val="3"/>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采用省厅统一文书样式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9" w:type="dxa"/>
            <w:gridSpan w:val="2"/>
            <w:shd w:val="clear" w:color="auto" w:fill="auto"/>
            <w:vAlign w:val="center"/>
          </w:tcPr>
          <w:p>
            <w:pPr>
              <w:spacing w:line="300" w:lineRule="exact"/>
              <w:jc w:val="left"/>
              <w:rPr>
                <w:rFonts w:ascii="仿宋_GB2312" w:hAnsi="Calibri" w:eastAsia="仿宋_GB2312" w:cs="Times New Roman"/>
                <w:b/>
              </w:rPr>
            </w:pPr>
            <w:r>
              <w:rPr>
                <w:rFonts w:hint="eastAsia" w:ascii="仿宋_GB2312" w:hAnsi="Calibri" w:eastAsia="仿宋_GB2312" w:cs="Times New Roman"/>
                <w:b/>
              </w:rPr>
              <w:t>　　3、抓好仲裁队伍管理，制定和完善具有可操作性的各项规章制度，用制度规范执法和办公行为，同时研究制定便民措施方便办事群众。</w:t>
            </w:r>
          </w:p>
        </w:tc>
        <w:tc>
          <w:tcPr>
            <w:tcW w:w="1618" w:type="dxa"/>
            <w:gridSpan w:val="2"/>
            <w:shd w:val="clear" w:color="auto" w:fill="auto"/>
            <w:vAlign w:val="center"/>
          </w:tcPr>
          <w:p>
            <w:pPr>
              <w:spacing w:line="300" w:lineRule="exact"/>
              <w:jc w:val="left"/>
              <w:rPr>
                <w:rFonts w:ascii="仿宋_GB2312" w:hAnsi="Calibri" w:eastAsia="仿宋_GB2312" w:cs="Times New Roman"/>
              </w:rPr>
            </w:pPr>
          </w:p>
        </w:tc>
        <w:tc>
          <w:tcPr>
            <w:tcW w:w="3775" w:type="dxa"/>
            <w:gridSpan w:val="2"/>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组织制定《仲裁员工作制度》、《仲裁庭纪律》等，制作《申请仲裁须知》、《风险告知书》、《案件处理时限告知书》等便民卡。</w:t>
            </w:r>
          </w:p>
        </w:tc>
        <w:tc>
          <w:tcPr>
            <w:tcW w:w="3775" w:type="dxa"/>
            <w:gridSpan w:val="4"/>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加强制度建设</w:t>
            </w:r>
          </w:p>
        </w:tc>
        <w:tc>
          <w:tcPr>
            <w:tcW w:w="1797" w:type="dxa"/>
            <w:gridSpan w:val="3"/>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实体化建设达标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9" w:type="dxa"/>
            <w:gridSpan w:val="2"/>
            <w:shd w:val="clear" w:color="auto" w:fill="auto"/>
            <w:vAlign w:val="center"/>
          </w:tcPr>
          <w:p>
            <w:pPr>
              <w:spacing w:line="300" w:lineRule="exact"/>
              <w:jc w:val="left"/>
              <w:rPr>
                <w:rFonts w:ascii="仿宋_GB2312" w:hAnsi="Calibri" w:eastAsia="仿宋_GB2312" w:cs="Times New Roman"/>
                <w:b/>
              </w:rPr>
            </w:pPr>
            <w:r>
              <w:rPr>
                <w:rFonts w:hint="eastAsia" w:ascii="仿宋_GB2312" w:hAnsi="Calibri" w:eastAsia="仿宋_GB2312" w:cs="Times New Roman"/>
                <w:b/>
              </w:rPr>
              <w:t>　　4、建立和完善基层劳动争议调解组织，积极承担起对企业和基层调解组织的指导工作，尽量从源头上预防和化解矛盾，提高纠纷化解效率。</w:t>
            </w:r>
          </w:p>
        </w:tc>
        <w:tc>
          <w:tcPr>
            <w:tcW w:w="1618" w:type="dxa"/>
            <w:gridSpan w:val="2"/>
            <w:shd w:val="clear" w:color="auto" w:fill="auto"/>
            <w:vAlign w:val="center"/>
          </w:tcPr>
          <w:p>
            <w:pPr>
              <w:spacing w:line="300" w:lineRule="exact"/>
              <w:jc w:val="left"/>
              <w:rPr>
                <w:rFonts w:ascii="仿宋_GB2312" w:hAnsi="Calibri" w:eastAsia="仿宋_GB2312" w:cs="Times New Roman"/>
              </w:rPr>
            </w:pPr>
          </w:p>
        </w:tc>
        <w:tc>
          <w:tcPr>
            <w:tcW w:w="3775" w:type="dxa"/>
            <w:gridSpan w:val="2"/>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依据《人力资源和社会保障部关于印发基层劳动人事争议调解标识的通知》我区在各镇办事处建立基层劳动人事争议调解组织及服务场所，明确职责。</w:t>
            </w:r>
          </w:p>
        </w:tc>
        <w:tc>
          <w:tcPr>
            <w:tcW w:w="3775" w:type="dxa"/>
            <w:gridSpan w:val="4"/>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将劳动争议化解在基层，同时，加大调解在处理劳动争议工作中的作用。</w:t>
            </w:r>
          </w:p>
        </w:tc>
        <w:tc>
          <w:tcPr>
            <w:tcW w:w="1797" w:type="dxa"/>
            <w:gridSpan w:val="3"/>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规范调节组织名称、标识、工作程序、工作职责、调解员行为。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9" w:type="dxa"/>
            <w:gridSpan w:val="2"/>
            <w:shd w:val="clear" w:color="auto" w:fill="auto"/>
            <w:vAlign w:val="center"/>
          </w:tcPr>
          <w:p>
            <w:pPr>
              <w:spacing w:line="300" w:lineRule="exact"/>
              <w:jc w:val="left"/>
              <w:rPr>
                <w:rFonts w:ascii="仿宋_GB2312" w:hAnsi="Calibri" w:eastAsia="仿宋_GB2312" w:cs="Times New Roman"/>
                <w:b/>
              </w:rPr>
            </w:pPr>
            <w:r>
              <w:rPr>
                <w:rFonts w:hint="eastAsia" w:ascii="仿宋_GB2312" w:hAnsi="Calibri" w:eastAsia="仿宋_GB2312" w:cs="Times New Roman"/>
                <w:b/>
              </w:rPr>
              <w:t>八、促进就业再就业管理</w:t>
            </w:r>
          </w:p>
        </w:tc>
        <w:tc>
          <w:tcPr>
            <w:tcW w:w="1618" w:type="dxa"/>
            <w:gridSpan w:val="2"/>
            <w:shd w:val="clear" w:color="auto" w:fill="auto"/>
            <w:vAlign w:val="center"/>
          </w:tcPr>
          <w:p>
            <w:pPr>
              <w:spacing w:line="300" w:lineRule="exact"/>
              <w:jc w:val="left"/>
              <w:rPr>
                <w:rFonts w:ascii="仿宋_GB2312" w:hAnsi="Calibri" w:eastAsia="仿宋_GB2312" w:cs="Times New Roman"/>
              </w:rPr>
            </w:pPr>
          </w:p>
        </w:tc>
        <w:tc>
          <w:tcPr>
            <w:tcW w:w="3775" w:type="dxa"/>
            <w:gridSpan w:val="2"/>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负责促进就业工作，促进社会就业。1.负责落实企业及就业困难人员就业帮扶政策落实。2.负责就业技能培训与创业促就业工作。3负责岗位开发、职业介绍与农村劳动力转移就业工作。</w:t>
            </w:r>
          </w:p>
        </w:tc>
        <w:tc>
          <w:tcPr>
            <w:tcW w:w="3775" w:type="dxa"/>
            <w:gridSpan w:val="4"/>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1.帮助符合条件企业享受就业帮扶政策。2.组织失业人员参加就业技能培训与创业培训，大力实施创业促就业工程。3.帮助企业招工，转移农村富余劳动力，帮助有就业意愿人员找到工作岗位。</w:t>
            </w:r>
          </w:p>
        </w:tc>
        <w:tc>
          <w:tcPr>
            <w:tcW w:w="1797" w:type="dxa"/>
            <w:gridSpan w:val="3"/>
            <w:shd w:val="clear" w:color="auto" w:fill="auto"/>
            <w:vAlign w:val="center"/>
          </w:tcPr>
          <w:p>
            <w:pPr>
              <w:spacing w:line="300" w:lineRule="exact"/>
              <w:jc w:val="left"/>
              <w:rPr>
                <w:rFonts w:ascii="仿宋_GB2312" w:hAnsi="Calibri"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9" w:type="dxa"/>
            <w:gridSpan w:val="2"/>
            <w:shd w:val="clear" w:color="auto" w:fill="auto"/>
            <w:vAlign w:val="center"/>
          </w:tcPr>
          <w:p>
            <w:pPr>
              <w:spacing w:line="300" w:lineRule="exact"/>
              <w:jc w:val="left"/>
              <w:rPr>
                <w:rFonts w:ascii="仿宋_GB2312" w:hAnsi="Calibri" w:eastAsia="仿宋_GB2312" w:cs="Times New Roman"/>
                <w:b/>
              </w:rPr>
            </w:pPr>
            <w:r>
              <w:rPr>
                <w:rFonts w:hint="eastAsia" w:ascii="仿宋_GB2312" w:hAnsi="Calibri" w:eastAsia="仿宋_GB2312" w:cs="Times New Roman"/>
                <w:b/>
              </w:rPr>
              <w:t>　　1、企业吸纳符合条件人员的补贴政策、就业困难人员实现灵活就业补贴政策以及使用失业保险金援企稳岗政策的宣传落实</w:t>
            </w:r>
          </w:p>
        </w:tc>
        <w:tc>
          <w:tcPr>
            <w:tcW w:w="1618" w:type="dxa"/>
            <w:gridSpan w:val="2"/>
            <w:shd w:val="clear" w:color="auto" w:fill="auto"/>
            <w:vAlign w:val="center"/>
          </w:tcPr>
          <w:p>
            <w:pPr>
              <w:spacing w:line="300" w:lineRule="exact"/>
              <w:jc w:val="left"/>
              <w:rPr>
                <w:rFonts w:ascii="仿宋_GB2312" w:hAnsi="Calibri" w:eastAsia="仿宋_GB2312" w:cs="Times New Roman"/>
              </w:rPr>
            </w:pPr>
          </w:p>
        </w:tc>
        <w:tc>
          <w:tcPr>
            <w:tcW w:w="3775" w:type="dxa"/>
            <w:gridSpan w:val="2"/>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深入辖区企业进行政策宣传，帮助符合条件企业享受就业困难人员及两年择业期内高校毕业生的社会保险补贴及岗位补贴政策。积极宣传落实使用失业保险金援企稳岗的政策措施。</w:t>
            </w:r>
          </w:p>
        </w:tc>
        <w:tc>
          <w:tcPr>
            <w:tcW w:w="3775" w:type="dxa"/>
            <w:gridSpan w:val="4"/>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结合企业实际需求，及时提供就业政策服务。</w:t>
            </w:r>
          </w:p>
        </w:tc>
        <w:tc>
          <w:tcPr>
            <w:tcW w:w="1797" w:type="dxa"/>
            <w:gridSpan w:val="3"/>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享受社会保险及岗位补贴政策企业。享受援企稳岗政策企业达到  家。落实灵活就业人员社会保险补贴资金  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9" w:type="dxa"/>
            <w:gridSpan w:val="2"/>
            <w:shd w:val="clear" w:color="auto" w:fill="auto"/>
            <w:vAlign w:val="center"/>
          </w:tcPr>
          <w:p>
            <w:pPr>
              <w:spacing w:line="300" w:lineRule="exact"/>
              <w:jc w:val="left"/>
              <w:rPr>
                <w:rFonts w:ascii="仿宋_GB2312" w:hAnsi="Calibri" w:eastAsia="仿宋_GB2312" w:cs="Times New Roman"/>
                <w:b/>
              </w:rPr>
            </w:pPr>
            <w:r>
              <w:rPr>
                <w:rFonts w:hint="eastAsia" w:ascii="仿宋_GB2312" w:hAnsi="Calibri" w:eastAsia="仿宋_GB2312" w:cs="Times New Roman"/>
                <w:b/>
              </w:rPr>
              <w:t>　　2、就业培训能力建设、创业孵化基地建设以及免费就业技能培训政策、创业扶持政策的宣传落实</w:t>
            </w:r>
          </w:p>
        </w:tc>
        <w:tc>
          <w:tcPr>
            <w:tcW w:w="1618" w:type="dxa"/>
            <w:gridSpan w:val="2"/>
            <w:shd w:val="clear" w:color="auto" w:fill="auto"/>
            <w:vAlign w:val="center"/>
          </w:tcPr>
          <w:p>
            <w:pPr>
              <w:spacing w:line="300" w:lineRule="exact"/>
              <w:jc w:val="left"/>
              <w:rPr>
                <w:rFonts w:ascii="仿宋_GB2312" w:hAnsi="Calibri" w:eastAsia="仿宋_GB2312" w:cs="Times New Roman"/>
              </w:rPr>
            </w:pPr>
          </w:p>
        </w:tc>
        <w:tc>
          <w:tcPr>
            <w:tcW w:w="3775" w:type="dxa"/>
            <w:gridSpan w:val="2"/>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积极宣传国家免费技能培训政策，组织失业人员参加就业技能培训。深入贯彻“大众创业”的部署安排，组织开展“创业服务乡下行”系列活动，积极落实各项创业帮扶政策措施。</w:t>
            </w:r>
          </w:p>
        </w:tc>
        <w:tc>
          <w:tcPr>
            <w:tcW w:w="3775" w:type="dxa"/>
            <w:gridSpan w:val="4"/>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提高失业人员自主创业意识，提高创业成功率。提高劳动者素质，打造职业技术工人队伍，实现稳定就业。</w:t>
            </w:r>
          </w:p>
        </w:tc>
        <w:tc>
          <w:tcPr>
            <w:tcW w:w="1797" w:type="dxa"/>
            <w:gridSpan w:val="3"/>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创业培训、技能培训完成市达任务目标 %，完成创业帮扶任务  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9" w:type="dxa"/>
            <w:gridSpan w:val="2"/>
            <w:shd w:val="clear" w:color="auto" w:fill="auto"/>
            <w:vAlign w:val="center"/>
          </w:tcPr>
          <w:p>
            <w:pPr>
              <w:spacing w:line="300" w:lineRule="exact"/>
              <w:jc w:val="left"/>
              <w:rPr>
                <w:rFonts w:ascii="仿宋_GB2312" w:hAnsi="Calibri" w:eastAsia="仿宋_GB2312" w:cs="Times New Roman"/>
                <w:b/>
              </w:rPr>
            </w:pPr>
            <w:r>
              <w:rPr>
                <w:rFonts w:hint="eastAsia" w:ascii="仿宋_GB2312" w:hAnsi="Calibri" w:eastAsia="仿宋_GB2312" w:cs="Times New Roman"/>
                <w:b/>
              </w:rPr>
              <w:t>　　3、用工企业及有求职意愿劳动者对接服务体系建设</w:t>
            </w:r>
          </w:p>
        </w:tc>
        <w:tc>
          <w:tcPr>
            <w:tcW w:w="1618" w:type="dxa"/>
            <w:gridSpan w:val="2"/>
            <w:shd w:val="clear" w:color="auto" w:fill="auto"/>
            <w:vAlign w:val="center"/>
          </w:tcPr>
          <w:p>
            <w:pPr>
              <w:spacing w:line="300" w:lineRule="exact"/>
              <w:jc w:val="left"/>
              <w:rPr>
                <w:rFonts w:ascii="仿宋_GB2312" w:hAnsi="Calibri" w:eastAsia="仿宋_GB2312" w:cs="Times New Roman"/>
              </w:rPr>
            </w:pPr>
          </w:p>
        </w:tc>
        <w:tc>
          <w:tcPr>
            <w:tcW w:w="3775" w:type="dxa"/>
            <w:gridSpan w:val="2"/>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深入辖区企业，挖掘岗位需求信息。利用报纸、大屏、网络等多种形式，面向失业人员发布企业用工信息。按照不同时期失业人员的就业需求，适时在局大门口举办人企对接招聘会。对登记求职人员随时开展职介服务工作。</w:t>
            </w:r>
          </w:p>
        </w:tc>
        <w:tc>
          <w:tcPr>
            <w:tcW w:w="3775" w:type="dxa"/>
            <w:gridSpan w:val="4"/>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为农村富余劳动力、下岗失业人员等各类失业人员求职以及用人单位招用合格人员提供全方位服务。</w:t>
            </w:r>
          </w:p>
        </w:tc>
        <w:tc>
          <w:tcPr>
            <w:tcW w:w="1797" w:type="dxa"/>
            <w:gridSpan w:val="3"/>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 xml:space="preserve">农村劳动力转移完成市达任务目标的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9" w:type="dxa"/>
            <w:gridSpan w:val="2"/>
            <w:shd w:val="clear" w:color="auto" w:fill="auto"/>
            <w:vAlign w:val="center"/>
          </w:tcPr>
          <w:p>
            <w:pPr>
              <w:spacing w:line="300" w:lineRule="exact"/>
              <w:jc w:val="left"/>
              <w:rPr>
                <w:rFonts w:ascii="仿宋_GB2312" w:hAnsi="Calibri" w:eastAsia="仿宋_GB2312" w:cs="Times New Roman"/>
                <w:b/>
              </w:rPr>
            </w:pPr>
            <w:r>
              <w:rPr>
                <w:rFonts w:hint="eastAsia" w:ascii="仿宋_GB2312" w:hAnsi="Calibri" w:eastAsia="仿宋_GB2312" w:cs="Times New Roman"/>
                <w:b/>
              </w:rPr>
              <w:t>九、劳动关系协调和劳动保障监察工作</w:t>
            </w:r>
          </w:p>
        </w:tc>
        <w:tc>
          <w:tcPr>
            <w:tcW w:w="1618" w:type="dxa"/>
            <w:gridSpan w:val="2"/>
            <w:shd w:val="clear" w:color="auto" w:fill="auto"/>
            <w:vAlign w:val="center"/>
          </w:tcPr>
          <w:p>
            <w:pPr>
              <w:spacing w:line="300" w:lineRule="exact"/>
              <w:jc w:val="left"/>
              <w:rPr>
                <w:rFonts w:ascii="仿宋_GB2312" w:hAnsi="Calibri" w:eastAsia="仿宋_GB2312" w:cs="Times New Roman"/>
              </w:rPr>
            </w:pPr>
          </w:p>
        </w:tc>
        <w:tc>
          <w:tcPr>
            <w:tcW w:w="3775" w:type="dxa"/>
            <w:gridSpan w:val="2"/>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完善劳动关系协调机制，制定消除非法使用童工政策和女工、未成年工的特殊劳动保护政策，组织实施劳动监察，协调劳动者维权工作，依法查处重大案件。</w:t>
            </w:r>
          </w:p>
        </w:tc>
        <w:tc>
          <w:tcPr>
            <w:tcW w:w="3775" w:type="dxa"/>
            <w:gridSpan w:val="4"/>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加强劳动关系协调机制建设，提升社会和谐水平。继续深化劳动合同制度和集体合同制度，深入推进已签订劳动合同为基础的劳动用工备案制度，完善集体协商制度，提高合同签订率和履约质量。依法规范劳务派遣用工，加强小微企业实行劳动合同制度的指导和监督。加强基层劳动关系工作机构和队伍建设，加快完善三方会议机构，保障全区劳动关系总体和谐。深入开展清理整顿人力资源市场秩序、用人单位遵守劳动用工和劳动保障法律法规行为。继续推进“两网化”建设，积极发挥网络监察办案作用。</w:t>
            </w:r>
          </w:p>
        </w:tc>
        <w:tc>
          <w:tcPr>
            <w:tcW w:w="1797" w:type="dxa"/>
            <w:gridSpan w:val="3"/>
            <w:shd w:val="clear" w:color="auto" w:fill="auto"/>
            <w:vAlign w:val="center"/>
          </w:tcPr>
          <w:p>
            <w:pPr>
              <w:spacing w:line="300" w:lineRule="exact"/>
              <w:jc w:val="left"/>
              <w:rPr>
                <w:rFonts w:ascii="仿宋_GB2312" w:hAnsi="Calibri"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9" w:type="dxa"/>
            <w:gridSpan w:val="2"/>
            <w:shd w:val="clear" w:color="auto" w:fill="auto"/>
            <w:vAlign w:val="center"/>
          </w:tcPr>
          <w:p>
            <w:pPr>
              <w:spacing w:line="300" w:lineRule="exact"/>
              <w:jc w:val="left"/>
              <w:rPr>
                <w:rFonts w:ascii="仿宋_GB2312" w:hAnsi="Calibri" w:eastAsia="仿宋_GB2312" w:cs="Times New Roman"/>
                <w:b/>
              </w:rPr>
            </w:pPr>
            <w:r>
              <w:rPr>
                <w:rFonts w:hint="eastAsia" w:ascii="仿宋_GB2312" w:hAnsi="Calibri" w:eastAsia="仿宋_GB2312" w:cs="Times New Roman"/>
                <w:b/>
              </w:rPr>
              <w:t>　　1、劳动关系政策制定和落实。</w:t>
            </w:r>
          </w:p>
        </w:tc>
        <w:tc>
          <w:tcPr>
            <w:tcW w:w="1618" w:type="dxa"/>
            <w:gridSpan w:val="2"/>
            <w:shd w:val="clear" w:color="auto" w:fill="auto"/>
            <w:vAlign w:val="center"/>
          </w:tcPr>
          <w:p>
            <w:pPr>
              <w:spacing w:line="300" w:lineRule="exact"/>
              <w:jc w:val="left"/>
              <w:rPr>
                <w:rFonts w:ascii="仿宋_GB2312" w:hAnsi="Calibri" w:eastAsia="仿宋_GB2312" w:cs="Times New Roman"/>
              </w:rPr>
            </w:pPr>
          </w:p>
        </w:tc>
        <w:tc>
          <w:tcPr>
            <w:tcW w:w="3775" w:type="dxa"/>
            <w:gridSpan w:val="2"/>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落实劳动关系政策，建立完善劳动关系协调机制。1.深入用人单位，加大宣传、培训、督导力度，进一步完善劳动合同签订与解除备案、工资集体协商制度。2.加强劳务派遣企业管理，积极开展劳务派遣企业年审工作。3.认真开展劳动监察年审工作，搞好农民工工资支付情况专项检查。4.加强两网化平台软硬件管理，充分发挥平台作用。</w:t>
            </w:r>
          </w:p>
        </w:tc>
        <w:tc>
          <w:tcPr>
            <w:tcW w:w="3775" w:type="dxa"/>
            <w:gridSpan w:val="4"/>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提高劳动合同签订率，建立和谐劳动关系。</w:t>
            </w:r>
          </w:p>
        </w:tc>
        <w:tc>
          <w:tcPr>
            <w:tcW w:w="1797" w:type="dxa"/>
            <w:gridSpan w:val="3"/>
            <w:shd w:val="clear" w:color="auto" w:fill="auto"/>
            <w:vAlign w:val="center"/>
          </w:tcPr>
          <w:p>
            <w:pPr>
              <w:spacing w:line="300" w:lineRule="exact"/>
              <w:jc w:val="left"/>
              <w:rPr>
                <w:rFonts w:ascii="仿宋_GB2312" w:hAnsi="Calibri" w:eastAsia="仿宋_GB2312" w:cs="Times New Roman"/>
              </w:rPr>
            </w:pPr>
            <w:r>
              <w:rPr>
                <w:rFonts w:hint="eastAsia" w:ascii="仿宋_GB2312" w:hAnsi="Calibri" w:eastAsia="仿宋_GB2312" w:cs="Times New Roman"/>
              </w:rPr>
              <w:t>规模以上企业劳动合同签订率</w:t>
            </w:r>
          </w:p>
        </w:tc>
      </w:tr>
    </w:tbl>
    <w:p>
      <w:pPr>
        <w:jc w:val="center"/>
        <w:outlineLvl w:val="0"/>
        <w:rPr>
          <w:rFonts w:ascii="方正小标宋_GBK" w:eastAsia="方正小标宋_GBK"/>
          <w:sz w:val="32"/>
        </w:rPr>
      </w:pPr>
    </w:p>
    <w:p>
      <w:pPr>
        <w:spacing w:line="300" w:lineRule="exact"/>
        <w:jc w:val="left"/>
        <w:outlineLvl w:val="0"/>
        <w:sectPr>
          <w:pgSz w:w="16839" w:h="11907" w:orient="landscape"/>
          <w:pgMar w:top="1020" w:right="1361" w:bottom="1020" w:left="1361" w:header="851" w:footer="992" w:gutter="0"/>
          <w:cols w:space="425" w:num="1"/>
          <w:docGrid w:type="lines" w:linePitch="312" w:charSpace="0"/>
        </w:sectPr>
      </w:pPr>
    </w:p>
    <w:p>
      <w:pPr>
        <w:jc w:val="center"/>
        <w:outlineLvl w:val="0"/>
        <w:rPr>
          <w:rFonts w:ascii="方正小标宋_GBK" w:eastAsia="方正小标宋_GBK"/>
          <w:sz w:val="32"/>
        </w:rPr>
      </w:pPr>
    </w:p>
    <w:p>
      <w:pPr>
        <w:outlineLvl w:val="0"/>
      </w:pPr>
      <w:bookmarkStart w:id="1" w:name="_Toc471398468"/>
      <w:r>
        <w:rPr>
          <w:rFonts w:ascii="仿宋_GB2312" w:hAnsi="仿宋_GB2312" w:eastAsia="仿宋_GB2312" w:cs="仿宋_GB2312"/>
          <w:sz w:val="32"/>
          <w:szCs w:val="32"/>
        </w:rPr>
        <w:t xml:space="preserve"> </w:t>
      </w:r>
      <w:bookmarkEnd w:id="1"/>
    </w:p>
    <w:p>
      <w:pPr>
        <w:ind w:firstLine="643" w:firstLineChars="200"/>
        <w:rPr>
          <w:rFonts w:ascii="Times New Roman" w:hAnsi="Times New Roman" w:eastAsia="仿宋" w:cs="Times New Roman"/>
          <w:b/>
          <w:sz w:val="32"/>
          <w:szCs w:val="32"/>
        </w:rPr>
      </w:pPr>
    </w:p>
    <w:p>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三、绩效评价组织情况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次绩效评价项目18个，占部门项目总数的100%，涉及金额31762.65万元。采取成立本部门绩效自评工作组的形式，本着客观、公正、公开的原则开展自评工作，所有项目的绩效自评均设计了合理、明晰、可考核的、关键性产出指标和效果指标。自评结果真实可靠。</w:t>
      </w:r>
    </w:p>
    <w:p>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四、绩效实现情况分析</w:t>
      </w:r>
    </w:p>
    <w:p>
      <w:pPr>
        <w:widowControl/>
        <w:shd w:val="clear" w:color="auto" w:fill="FFFFFF"/>
        <w:spacing w:line="580" w:lineRule="exact"/>
        <w:ind w:firstLine="640"/>
        <w:jc w:val="left"/>
        <w:rPr>
          <w:rFonts w:ascii="仿宋_GB2312" w:hAnsi="仿宋" w:eastAsia="仿宋_GB2312" w:cs="宋体"/>
          <w:color w:val="545454"/>
          <w:sz w:val="32"/>
          <w:szCs w:val="32"/>
        </w:rPr>
      </w:pPr>
      <w:r>
        <w:rPr>
          <w:rFonts w:hint="eastAsia" w:ascii="仿宋_GB2312" w:hAnsi="仿宋" w:eastAsia="仿宋_GB2312" w:cs="宋体"/>
          <w:color w:val="222222"/>
          <w:sz w:val="32"/>
          <w:szCs w:val="32"/>
        </w:rPr>
        <w:t>高度重视预算支出绩效评价工作，成立了以于</w:t>
      </w:r>
      <w:r>
        <w:rPr>
          <w:rFonts w:hint="eastAsia" w:ascii="仿宋_GB2312" w:hAnsi="宋体" w:eastAsia="仿宋_GB2312" w:cs="宋体"/>
          <w:color w:val="222222"/>
          <w:sz w:val="32"/>
          <w:szCs w:val="32"/>
        </w:rPr>
        <w:t>敬武</w:t>
      </w:r>
      <w:r>
        <w:rPr>
          <w:rFonts w:hint="eastAsia" w:ascii="仿宋_GB2312" w:hAnsi="仿宋" w:eastAsia="仿宋_GB2312" w:cs="宋体"/>
          <w:color w:val="222222"/>
          <w:sz w:val="32"/>
          <w:szCs w:val="32"/>
        </w:rPr>
        <w:t>局长为组长，其他班子成员为副组长，办公室人员为成员的预算支出绩效评价领导小组，明确各职能部室的评价责任，进一步强化各部室室对财政预算支出管理意识。</w:t>
      </w:r>
    </w:p>
    <w:p>
      <w:pPr>
        <w:widowControl/>
        <w:shd w:val="clear" w:color="auto" w:fill="FFFFFF"/>
        <w:spacing w:line="580" w:lineRule="exact"/>
        <w:ind w:firstLine="640"/>
        <w:jc w:val="left"/>
        <w:rPr>
          <w:rFonts w:ascii="仿宋_GB2312" w:hAnsi="仿宋" w:eastAsia="仿宋_GB2312" w:cs="宋体"/>
          <w:color w:val="545454"/>
          <w:sz w:val="32"/>
          <w:szCs w:val="32"/>
        </w:rPr>
      </w:pPr>
      <w:r>
        <w:rPr>
          <w:rFonts w:hint="eastAsia" w:ascii="仿宋_GB2312" w:hAnsi="仿宋" w:eastAsia="仿宋_GB2312" w:cs="宋体"/>
          <w:color w:val="222222"/>
          <w:sz w:val="32"/>
          <w:szCs w:val="32"/>
        </w:rPr>
        <w:t>2. 加强对国家、省级财政预算资金管理方面制度的学习培训，不断提高各部室的业务工作能力。及时组织我局员工学习了上级下发的培训费、会议费、外事接待、因公出差差旅费、财务管理、办公用品购置、公务接待等制度。</w:t>
      </w:r>
    </w:p>
    <w:p>
      <w:pPr>
        <w:widowControl/>
        <w:shd w:val="clear" w:color="auto" w:fill="FFFFFF"/>
        <w:spacing w:line="580" w:lineRule="exact"/>
        <w:ind w:firstLine="640"/>
        <w:jc w:val="left"/>
        <w:rPr>
          <w:rFonts w:ascii="仿宋_GB2312" w:hAnsi="仿宋" w:eastAsia="仿宋_GB2312" w:cs="宋体"/>
          <w:color w:val="545454"/>
          <w:sz w:val="32"/>
          <w:szCs w:val="32"/>
        </w:rPr>
      </w:pPr>
      <w:r>
        <w:rPr>
          <w:rFonts w:hint="eastAsia" w:ascii="仿宋_GB2312" w:hAnsi="仿宋" w:eastAsia="仿宋_GB2312" w:cs="宋体"/>
          <w:color w:val="222222"/>
          <w:sz w:val="32"/>
          <w:szCs w:val="32"/>
        </w:rPr>
        <w:t>3. 建立了机关整体支出管理方面的内控制度，并不断进行完善和修订。如：制定了《公务用车管理办法》、《资金管理制度》、《财务管理制度》、《预算管理制度》。</w:t>
      </w:r>
    </w:p>
    <w:p>
      <w:pPr>
        <w:widowControl/>
        <w:shd w:val="clear" w:color="auto" w:fill="FFFFFF"/>
        <w:spacing w:line="580" w:lineRule="exact"/>
        <w:ind w:firstLine="640"/>
        <w:jc w:val="left"/>
        <w:rPr>
          <w:rFonts w:ascii="仿宋_GB2312" w:hAnsi="仿宋" w:eastAsia="仿宋_GB2312" w:cs="宋体"/>
          <w:color w:val="545454"/>
          <w:sz w:val="32"/>
          <w:szCs w:val="32"/>
        </w:rPr>
      </w:pPr>
      <w:r>
        <w:rPr>
          <w:rFonts w:hint="eastAsia" w:ascii="仿宋_GB2312" w:hAnsi="仿宋" w:eastAsia="仿宋_GB2312" w:cs="宋体"/>
          <w:color w:val="222222"/>
          <w:sz w:val="32"/>
          <w:szCs w:val="32"/>
        </w:rPr>
        <w:t>4. 严格制度执行，特别是“三公”经费的预算控制。加强对公务用车的管理，严格招待费用审核审批程序，“三公”经费较好地控制在预算范围之内。</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总体绩效目标：深入贯彻落实党的二十大精神，按照“稳中求进、改革发展”为主题，以建设节约型机关为主线，以制度体系建设为抓手，进一步巩固扩大党的群众路线教育实践活动成果，更加注重问题导向，着力推进机关事务改革创新，着力提高管理能力，着力提升服务水平，着力优化保障质量，努力为建设廉洁务实高效党政机关、为依法全面履行政府职能</w:t>
      </w:r>
      <w:r>
        <w:rPr>
          <w:rFonts w:hint="eastAsia" w:ascii="仿宋_GB2312" w:hAnsi="仿宋_GB2312" w:eastAsia="仿宋_GB2312" w:cs="仿宋_GB2312"/>
          <w:sz w:val="32"/>
          <w:szCs w:val="32"/>
          <w:lang w:eastAsia="zh-CN"/>
        </w:rPr>
        <w:t>作出</w:t>
      </w:r>
      <w:r>
        <w:rPr>
          <w:rFonts w:hint="eastAsia" w:ascii="仿宋_GB2312" w:hAnsi="仿宋_GB2312" w:eastAsia="仿宋_GB2312" w:cs="仿宋_GB2312"/>
          <w:sz w:val="32"/>
          <w:szCs w:val="32"/>
        </w:rPr>
        <w:t>贡献。</w:t>
      </w:r>
    </w:p>
    <w:p>
      <w:pPr>
        <w:adjustRightInd w:val="0"/>
        <w:snapToGrid w:val="0"/>
        <w:spacing w:line="580" w:lineRule="exact"/>
        <w:rPr>
          <w:rFonts w:ascii="仿宋_GB2312" w:eastAsia="仿宋_GB2312" w:cs="DengXian-Regular"/>
          <w:sz w:val="32"/>
          <w:szCs w:val="32"/>
        </w:rPr>
      </w:pPr>
      <w:r>
        <w:rPr>
          <w:rFonts w:hint="eastAsia" w:ascii="仿宋_GB2312" w:eastAsia="仿宋_GB2312" w:cs="DengXian-Regular"/>
          <w:sz w:val="32"/>
          <w:szCs w:val="32"/>
        </w:rPr>
        <w:t>（二）预算项目绩效评价开展情况</w:t>
      </w:r>
    </w:p>
    <w:p>
      <w:pPr>
        <w:pStyle w:val="6"/>
        <w:widowControl/>
        <w:spacing w:beforeAutospacing="0" w:afterAutospacing="0" w:line="600" w:lineRule="atLeast"/>
        <w:ind w:firstLine="640" w:firstLineChars="200"/>
        <w:jc w:val="both"/>
        <w:rPr>
          <w:rFonts w:ascii="仿宋_GB2312" w:hAnsi="仿宋" w:eastAsia="仿宋_GB2312" w:cs="仿宋_GB2312"/>
          <w:color w:val="000000" w:themeColor="text1"/>
          <w:sz w:val="32"/>
          <w:szCs w:val="32"/>
        </w:rPr>
      </w:pPr>
      <w:r>
        <w:rPr>
          <w:rFonts w:hint="eastAsia" w:ascii="仿宋_GB2312" w:hAnsi="仿宋" w:eastAsia="仿宋_GB2312"/>
          <w:sz w:val="32"/>
          <w:szCs w:val="32"/>
        </w:rPr>
        <w:t>202</w:t>
      </w:r>
      <w:r>
        <w:rPr>
          <w:rFonts w:hint="eastAsia" w:ascii="仿宋_GB2312" w:hAnsi="仿宋" w:eastAsia="仿宋_GB2312" w:cs="宋体"/>
          <w:color w:val="222222"/>
          <w:kern w:val="2"/>
          <w:sz w:val="32"/>
          <w:szCs w:val="32"/>
        </w:rPr>
        <w:t>3年项目支出预算42586万元</w:t>
      </w:r>
      <w:r>
        <w:rPr>
          <w:rFonts w:hint="eastAsia" w:ascii="仿宋_GB2312" w:hAnsi="仿宋" w:eastAsia="仿宋_GB2312" w:cs="仿宋_GB2312"/>
          <w:sz w:val="32"/>
          <w:szCs w:val="32"/>
        </w:rPr>
        <w:t>，其中：</w:t>
      </w:r>
      <w:r>
        <w:rPr>
          <w:rFonts w:hint="eastAsia" w:ascii="仿宋_GB2312" w:hAnsi="仿宋" w:eastAsia="仿宋_GB2312"/>
          <w:color w:val="000000" w:themeColor="text1"/>
          <w:sz w:val="32"/>
          <w:szCs w:val="32"/>
        </w:rPr>
        <w:t xml:space="preserve"> 1.本级机关养老及退休中人补缺口18200万元；2.本级建档立卡贫困劳动力就业补助资金60万元；3.本级就业、涉军公益性岗补贴及管理费2900万元；4.本级企业退休人员生活费170万元；5.本级企业养老保险补缺口（风险储备金）800万元；6.</w:t>
      </w:r>
      <w:r>
        <w:rPr>
          <w:rFonts w:hint="eastAsia" w:ascii="仿宋_GB2312" w:hAnsi="仿宋" w:eastAsia="仿宋_GB2312" w:cs="黑体"/>
          <w:bCs/>
          <w:color w:val="000000" w:themeColor="text1"/>
          <w:sz w:val="32"/>
          <w:szCs w:val="32"/>
        </w:rPr>
        <w:t xml:space="preserve"> 本级社区、劳务派遣人员工资及保险12000万元</w:t>
      </w:r>
      <w:r>
        <w:rPr>
          <w:rFonts w:hint="eastAsia" w:ascii="仿宋_GB2312" w:hAnsi="仿宋" w:eastAsia="仿宋_GB2312"/>
          <w:color w:val="000000" w:themeColor="text1"/>
          <w:sz w:val="32"/>
          <w:szCs w:val="32"/>
        </w:rPr>
        <w:t>；7.本级政府代管15家医保费及管理费555万元；8.本级就业见习岗资金100万元；9.</w:t>
      </w:r>
      <w:r>
        <w:rPr>
          <w:rFonts w:hint="eastAsia" w:ascii="仿宋_GB2312" w:hAnsi="仿宋" w:eastAsia="仿宋_GB2312" w:cs="黑体"/>
          <w:bCs/>
          <w:color w:val="000000" w:themeColor="text1"/>
          <w:sz w:val="32"/>
          <w:szCs w:val="32"/>
        </w:rPr>
        <w:t>本级人力资源招聘费130万元；</w:t>
      </w:r>
      <w:r>
        <w:rPr>
          <w:rFonts w:hint="eastAsia" w:ascii="仿宋_GB2312" w:hAnsi="仿宋" w:eastAsia="仿宋_GB2312"/>
          <w:color w:val="000000" w:themeColor="text1"/>
          <w:sz w:val="32"/>
          <w:szCs w:val="32"/>
        </w:rPr>
        <w:t xml:space="preserve"> 10.本级</w:t>
      </w:r>
      <w:r>
        <w:rPr>
          <w:rFonts w:hint="eastAsia" w:ascii="仿宋_GB2312" w:hAnsi="仿宋" w:eastAsia="仿宋_GB2312" w:cs="黑体"/>
          <w:bCs/>
          <w:color w:val="000000" w:themeColor="text1"/>
          <w:sz w:val="32"/>
          <w:szCs w:val="32"/>
        </w:rPr>
        <w:t>三保城乡养老补贴及丧葬费845万元；11.本级社保网报系统退费和使用项目23万元；12.本级设施改造及网络标准化建设20</w:t>
      </w:r>
      <w:r>
        <w:rPr>
          <w:rFonts w:hint="eastAsia" w:ascii="仿宋_GB2312" w:hAnsi="仿宋" w:eastAsia="仿宋_GB2312"/>
          <w:color w:val="000000" w:themeColor="text1"/>
          <w:sz w:val="32"/>
          <w:szCs w:val="32"/>
        </w:rPr>
        <w:t>万元；13.唐财社【2022】76号中央2023年机关养老保险改革补助2417</w:t>
      </w:r>
      <w:r>
        <w:rPr>
          <w:rFonts w:hint="eastAsia" w:ascii="仿宋_GB2312" w:hAnsi="仿宋" w:eastAsia="仿宋_GB2312" w:cs="黑体"/>
          <w:bCs/>
          <w:color w:val="000000" w:themeColor="text1"/>
          <w:sz w:val="32"/>
          <w:szCs w:val="32"/>
        </w:rPr>
        <w:t>万元；14.</w:t>
      </w:r>
      <w:r>
        <w:rPr>
          <w:rFonts w:hint="eastAsia" w:ascii="仿宋_GB2312" w:hAnsi="仿宋" w:eastAsia="仿宋_GB2312"/>
          <w:color w:val="000000" w:themeColor="text1"/>
          <w:sz w:val="32"/>
          <w:szCs w:val="32"/>
        </w:rPr>
        <w:t>唐财社【2022】111号省级关于提前下达2023省级城乡养老补助资金</w:t>
      </w:r>
      <w:r>
        <w:rPr>
          <w:rFonts w:hint="eastAsia" w:ascii="仿宋_GB2312" w:hAnsi="仿宋" w:eastAsia="仿宋_GB2312" w:cs="黑体"/>
          <w:bCs/>
          <w:color w:val="000000" w:themeColor="text1"/>
          <w:sz w:val="32"/>
          <w:szCs w:val="32"/>
        </w:rPr>
        <w:t>6万元；15.</w:t>
      </w:r>
      <w:r>
        <w:rPr>
          <w:rFonts w:hint="eastAsia" w:ascii="仿宋_GB2312" w:hAnsi="仿宋" w:eastAsia="仿宋_GB2312"/>
          <w:color w:val="000000" w:themeColor="text1"/>
          <w:sz w:val="32"/>
          <w:szCs w:val="32"/>
        </w:rPr>
        <w:t>唐财社【2022】111号省级</w:t>
      </w:r>
      <w:r>
        <w:rPr>
          <w:rFonts w:hint="eastAsia" w:ascii="仿宋_GB2312" w:hAnsi="仿宋" w:eastAsia="仿宋_GB2312" w:cs="黑体"/>
          <w:bCs/>
          <w:color w:val="000000" w:themeColor="text1"/>
          <w:sz w:val="32"/>
          <w:szCs w:val="32"/>
        </w:rPr>
        <w:t>提前下达2023城乡养老保险补助943万元；16.唐财社</w:t>
      </w:r>
      <w:r>
        <w:rPr>
          <w:rFonts w:hint="eastAsia" w:ascii="仿宋_GB2312" w:hAnsi="仿宋" w:eastAsia="仿宋_GB2312"/>
          <w:color w:val="000000" w:themeColor="text1"/>
          <w:sz w:val="32"/>
          <w:szCs w:val="32"/>
        </w:rPr>
        <w:t>【2022】126号省级提前下达2023年城乡保险代办员补助资金2</w:t>
      </w:r>
      <w:r>
        <w:rPr>
          <w:rFonts w:hint="eastAsia" w:ascii="仿宋_GB2312" w:hAnsi="仿宋" w:eastAsia="仿宋_GB2312" w:cs="黑体"/>
          <w:bCs/>
          <w:color w:val="000000" w:themeColor="text1"/>
          <w:sz w:val="32"/>
          <w:szCs w:val="32"/>
        </w:rPr>
        <w:t>万元；17. 唐财社</w:t>
      </w:r>
      <w:r>
        <w:rPr>
          <w:rFonts w:hint="eastAsia" w:ascii="仿宋_GB2312" w:hAnsi="仿宋" w:eastAsia="仿宋_GB2312"/>
          <w:color w:val="000000" w:themeColor="text1"/>
          <w:sz w:val="32"/>
          <w:szCs w:val="32"/>
        </w:rPr>
        <w:t>【2022】91号中央提前下达2023年城乡居民养老保险补助3411</w:t>
      </w:r>
      <w:r>
        <w:rPr>
          <w:rFonts w:hint="eastAsia" w:ascii="仿宋_GB2312" w:hAnsi="仿宋" w:eastAsia="仿宋_GB2312" w:cs="黑体"/>
          <w:bCs/>
          <w:color w:val="000000" w:themeColor="text1"/>
          <w:sz w:val="32"/>
          <w:szCs w:val="32"/>
        </w:rPr>
        <w:t>万元；18.唐财社（2021）136号提前下达2022年省级财政城乡居民养老就业公共服务村级代办员补助资金4万元。</w:t>
      </w:r>
    </w:p>
    <w:p>
      <w:pPr>
        <w:pStyle w:val="6"/>
        <w:widowControl/>
        <w:spacing w:beforeAutospacing="0" w:afterAutospacing="0" w:line="600" w:lineRule="atLeast"/>
        <w:jc w:val="both"/>
        <w:rPr>
          <w:rFonts w:ascii="仿宋_GB2312" w:eastAsia="仿宋_GB2312"/>
          <w:color w:val="000000"/>
          <w:sz w:val="21"/>
          <w:szCs w:val="21"/>
        </w:rPr>
      </w:pPr>
      <w:r>
        <w:rPr>
          <w:rFonts w:hint="eastAsia" w:ascii="仿宋_GB2312" w:eastAsia="仿宋_GB2312"/>
          <w:color w:val="000000"/>
          <w:spacing w:val="-2"/>
          <w:sz w:val="32"/>
          <w:szCs w:val="32"/>
        </w:rPr>
        <w:t>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pacing w:val="-2"/>
          <w:sz w:val="32"/>
          <w:szCs w:val="32"/>
        </w:rPr>
        <w:t>项目资金本年实际发生额31762.65万元，均按专款特定用途列支专款，确保专款专用。</w:t>
      </w:r>
    </w:p>
    <w:p>
      <w:pPr>
        <w:pStyle w:val="6"/>
        <w:widowControl/>
        <w:spacing w:beforeAutospacing="0" w:afterAutospacing="0" w:line="600" w:lineRule="atLeast"/>
        <w:jc w:val="both"/>
        <w:rPr>
          <w:rFonts w:ascii="仿宋_GB2312" w:eastAsia="仿宋_GB2312" w:cs="DengXian-Regular"/>
          <w:sz w:val="32"/>
          <w:szCs w:val="32"/>
        </w:rPr>
      </w:pPr>
      <w:r>
        <w:rPr>
          <w:rFonts w:hint="eastAsia" w:ascii="仿宋_GB2312" w:eastAsia="仿宋_GB2312"/>
          <w:color w:val="000000"/>
          <w:spacing w:val="-2"/>
          <w:sz w:val="32"/>
          <w:szCs w:val="32"/>
        </w:rPr>
        <w:t>3</w:t>
      </w:r>
      <w:r>
        <w:rPr>
          <w:rFonts w:hint="eastAsia" w:ascii="仿宋_GB2312" w:hAnsi="仿宋_GB2312" w:eastAsia="仿宋_GB2312" w:cs="仿宋_GB2312"/>
          <w:color w:val="000000"/>
          <w:sz w:val="32"/>
          <w:szCs w:val="32"/>
        </w:rPr>
        <w:t>．制定</w:t>
      </w:r>
      <w:r>
        <w:rPr>
          <w:rFonts w:hint="eastAsia" w:ascii="仿宋_GB2312" w:hAnsi="仿宋_GB2312" w:eastAsia="仿宋_GB2312" w:cs="仿宋_GB2312"/>
          <w:color w:val="000000"/>
          <w:spacing w:val="-2"/>
          <w:sz w:val="32"/>
          <w:szCs w:val="32"/>
        </w:rPr>
        <w:t>《唐山市开平区人力资源和社会保障局机关财务管理实施细则》，按财政要求从严管理项目资金，严把报账审核关，确保项目资金专款专用。</w:t>
      </w:r>
    </w:p>
    <w:p>
      <w:pPr>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财政评价项目绩效评价结果。</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稳中求进、改革发展”为主题，以建设节约型机关为主线，以制度体系建设为抓手，进一步巩固扩大党的群众路线教育实践活动成果，更加注重问题导向，着力推进机关事务改革创新，着力提高管理能力，着力提升服务水平，着力优化保障质量，努力为建设廉洁务实高效党政机关、为依法全面履行政府职能</w:t>
      </w:r>
      <w:r>
        <w:rPr>
          <w:rFonts w:hint="eastAsia" w:ascii="仿宋_GB2312" w:hAnsi="仿宋_GB2312" w:eastAsia="仿宋_GB2312" w:cs="仿宋_GB2312"/>
          <w:sz w:val="32"/>
          <w:szCs w:val="32"/>
          <w:lang w:eastAsia="zh-CN"/>
        </w:rPr>
        <w:t>作出</w:t>
      </w:r>
      <w:r>
        <w:rPr>
          <w:rFonts w:hint="eastAsia" w:ascii="仿宋_GB2312" w:hAnsi="仿宋_GB2312" w:eastAsia="仿宋_GB2312" w:cs="仿宋_GB2312"/>
          <w:sz w:val="32"/>
          <w:szCs w:val="32"/>
        </w:rPr>
        <w:t>贡献。</w:t>
      </w:r>
    </w:p>
    <w:p>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五、存在的问题和建议</w:t>
      </w:r>
    </w:p>
    <w:p>
      <w:pPr>
        <w:ind w:firstLine="640" w:firstLineChars="200"/>
        <w:rPr>
          <w:rFonts w:ascii="Times New Roman" w:hAnsi="Times New Roman" w:eastAsia="黑体" w:cs="Times New Roman"/>
          <w:b/>
          <w:sz w:val="32"/>
          <w:szCs w:val="32"/>
        </w:rPr>
      </w:pPr>
      <w:r>
        <w:rPr>
          <w:rFonts w:hint="eastAsia" w:ascii="仿宋_GB2312" w:hAnsi="仿宋_GB2312" w:eastAsia="仿宋_GB2312" w:cs="仿宋_GB2312"/>
          <w:sz w:val="32"/>
          <w:szCs w:val="32"/>
        </w:rPr>
        <w:t>深入贯彻落实党的十九大精神，按照“稳中求进、改革发展”为主题，以建设节约型机关为主线，以制度体系建设为抓手，进一步巩固扩大党的群众路线教育实践活动成果，更加注重问题导向，着力推进机关事务改革创新，着力提高管理能力，着力提升服务水平，着力优化保障质量，努力为建设廉洁务实高效党政机关、为依法全面履行政府职能</w:t>
      </w:r>
      <w:r>
        <w:rPr>
          <w:rFonts w:hint="eastAsia" w:ascii="仿宋_GB2312" w:hAnsi="仿宋_GB2312" w:eastAsia="仿宋_GB2312" w:cs="仿宋_GB2312"/>
          <w:sz w:val="32"/>
          <w:szCs w:val="32"/>
          <w:lang w:eastAsia="zh-CN"/>
        </w:rPr>
        <w:t>作出</w:t>
      </w:r>
      <w:r>
        <w:rPr>
          <w:rFonts w:hint="eastAsia" w:ascii="仿宋_GB2312" w:hAnsi="仿宋_GB2312" w:eastAsia="仿宋_GB2312" w:cs="仿宋_GB2312"/>
          <w:sz w:val="32"/>
          <w:szCs w:val="32"/>
        </w:rPr>
        <w:t>贡献。</w:t>
      </w:r>
    </w:p>
    <w:p>
      <w:pPr>
        <w:rPr>
          <w:rFonts w:ascii="Times New Roman" w:hAnsi="Times New Roman" w:cs="Times New Roman"/>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DengXian-Regular">
    <w:altName w:val="宋体"/>
    <w:panose1 w:val="00000000000000000000"/>
    <w:charset w:val="86"/>
    <w:family w:val="auto"/>
    <w:pitch w:val="default"/>
    <w:sig w:usb0="00000000" w:usb1="00000000" w:usb2="00000010" w:usb3="00000000" w:csb0="00040001" w:csb1="00000000"/>
  </w:font>
  <w:font w:name="方正小标宋_GBK">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6493D"/>
    <w:rsid w:val="00005328"/>
    <w:rsid w:val="00010B23"/>
    <w:rsid w:val="00027AE6"/>
    <w:rsid w:val="00067144"/>
    <w:rsid w:val="00075FA4"/>
    <w:rsid w:val="0008093C"/>
    <w:rsid w:val="000862E6"/>
    <w:rsid w:val="000A68F0"/>
    <w:rsid w:val="000A740A"/>
    <w:rsid w:val="000B10D7"/>
    <w:rsid w:val="000C049D"/>
    <w:rsid w:val="000E7104"/>
    <w:rsid w:val="000F2758"/>
    <w:rsid w:val="00107A98"/>
    <w:rsid w:val="00110F03"/>
    <w:rsid w:val="00111A51"/>
    <w:rsid w:val="0011490E"/>
    <w:rsid w:val="00116C9D"/>
    <w:rsid w:val="00121CE0"/>
    <w:rsid w:val="00126BA4"/>
    <w:rsid w:val="00130639"/>
    <w:rsid w:val="00132C4A"/>
    <w:rsid w:val="001358C7"/>
    <w:rsid w:val="00140A89"/>
    <w:rsid w:val="001575F5"/>
    <w:rsid w:val="00164E16"/>
    <w:rsid w:val="00166CE3"/>
    <w:rsid w:val="00173201"/>
    <w:rsid w:val="001745FA"/>
    <w:rsid w:val="001A2672"/>
    <w:rsid w:val="001B25D4"/>
    <w:rsid w:val="001B5CBF"/>
    <w:rsid w:val="001B664B"/>
    <w:rsid w:val="001B6D40"/>
    <w:rsid w:val="001B789C"/>
    <w:rsid w:val="001D3218"/>
    <w:rsid w:val="001D74C2"/>
    <w:rsid w:val="001E4DE8"/>
    <w:rsid w:val="001E54BD"/>
    <w:rsid w:val="00200311"/>
    <w:rsid w:val="00200A43"/>
    <w:rsid w:val="00203E52"/>
    <w:rsid w:val="0020428E"/>
    <w:rsid w:val="00212913"/>
    <w:rsid w:val="00222585"/>
    <w:rsid w:val="00230589"/>
    <w:rsid w:val="002319C7"/>
    <w:rsid w:val="0024508D"/>
    <w:rsid w:val="002464E9"/>
    <w:rsid w:val="002478E8"/>
    <w:rsid w:val="002541FD"/>
    <w:rsid w:val="002633F7"/>
    <w:rsid w:val="00266AD5"/>
    <w:rsid w:val="0027171A"/>
    <w:rsid w:val="00271D38"/>
    <w:rsid w:val="00280530"/>
    <w:rsid w:val="002812F8"/>
    <w:rsid w:val="002862C6"/>
    <w:rsid w:val="00287961"/>
    <w:rsid w:val="002A0D21"/>
    <w:rsid w:val="002A1E42"/>
    <w:rsid w:val="002A288A"/>
    <w:rsid w:val="002B451B"/>
    <w:rsid w:val="002B4E63"/>
    <w:rsid w:val="002C3C04"/>
    <w:rsid w:val="002C6117"/>
    <w:rsid w:val="002C6B84"/>
    <w:rsid w:val="002D2A70"/>
    <w:rsid w:val="002E17B3"/>
    <w:rsid w:val="002E35C5"/>
    <w:rsid w:val="002F5533"/>
    <w:rsid w:val="00300417"/>
    <w:rsid w:val="00300E20"/>
    <w:rsid w:val="003015F1"/>
    <w:rsid w:val="003057BC"/>
    <w:rsid w:val="00325602"/>
    <w:rsid w:val="00326F0A"/>
    <w:rsid w:val="00327511"/>
    <w:rsid w:val="00327F73"/>
    <w:rsid w:val="00337974"/>
    <w:rsid w:val="003446E0"/>
    <w:rsid w:val="00346699"/>
    <w:rsid w:val="003552A2"/>
    <w:rsid w:val="00356752"/>
    <w:rsid w:val="0036652D"/>
    <w:rsid w:val="00366F10"/>
    <w:rsid w:val="003704BE"/>
    <w:rsid w:val="00384029"/>
    <w:rsid w:val="0038556F"/>
    <w:rsid w:val="00387278"/>
    <w:rsid w:val="003A54DE"/>
    <w:rsid w:val="003A7E16"/>
    <w:rsid w:val="003B7A24"/>
    <w:rsid w:val="003C477D"/>
    <w:rsid w:val="003D0975"/>
    <w:rsid w:val="003F17CD"/>
    <w:rsid w:val="003F7251"/>
    <w:rsid w:val="00406567"/>
    <w:rsid w:val="004116D1"/>
    <w:rsid w:val="00414EC2"/>
    <w:rsid w:val="00417732"/>
    <w:rsid w:val="00424B31"/>
    <w:rsid w:val="00436413"/>
    <w:rsid w:val="00436708"/>
    <w:rsid w:val="00447C62"/>
    <w:rsid w:val="00451D8B"/>
    <w:rsid w:val="004712AC"/>
    <w:rsid w:val="00474EFA"/>
    <w:rsid w:val="0047729E"/>
    <w:rsid w:val="00480A62"/>
    <w:rsid w:val="0049192A"/>
    <w:rsid w:val="004A59A6"/>
    <w:rsid w:val="004A768C"/>
    <w:rsid w:val="004B376A"/>
    <w:rsid w:val="004B53BA"/>
    <w:rsid w:val="004B673C"/>
    <w:rsid w:val="004E10F6"/>
    <w:rsid w:val="004E2006"/>
    <w:rsid w:val="004F032F"/>
    <w:rsid w:val="004F206A"/>
    <w:rsid w:val="004F2B20"/>
    <w:rsid w:val="004F4B37"/>
    <w:rsid w:val="00502314"/>
    <w:rsid w:val="00520A93"/>
    <w:rsid w:val="005265F1"/>
    <w:rsid w:val="0054486C"/>
    <w:rsid w:val="00550DE7"/>
    <w:rsid w:val="005515B5"/>
    <w:rsid w:val="00552456"/>
    <w:rsid w:val="00554743"/>
    <w:rsid w:val="0055521B"/>
    <w:rsid w:val="005562F0"/>
    <w:rsid w:val="0056373C"/>
    <w:rsid w:val="005663EF"/>
    <w:rsid w:val="00571418"/>
    <w:rsid w:val="0058244F"/>
    <w:rsid w:val="00591B54"/>
    <w:rsid w:val="005B2A6B"/>
    <w:rsid w:val="005B332D"/>
    <w:rsid w:val="005C2D92"/>
    <w:rsid w:val="005D1BFB"/>
    <w:rsid w:val="005D6E19"/>
    <w:rsid w:val="005E0261"/>
    <w:rsid w:val="005E054D"/>
    <w:rsid w:val="005F30D6"/>
    <w:rsid w:val="005F77E7"/>
    <w:rsid w:val="00605FE4"/>
    <w:rsid w:val="0062361D"/>
    <w:rsid w:val="00640AEA"/>
    <w:rsid w:val="00642933"/>
    <w:rsid w:val="00645CC4"/>
    <w:rsid w:val="00662591"/>
    <w:rsid w:val="00663FCE"/>
    <w:rsid w:val="006772FC"/>
    <w:rsid w:val="00683D14"/>
    <w:rsid w:val="006850AA"/>
    <w:rsid w:val="006A6A3B"/>
    <w:rsid w:val="006B32FD"/>
    <w:rsid w:val="006B4C63"/>
    <w:rsid w:val="006C0DB9"/>
    <w:rsid w:val="006C691E"/>
    <w:rsid w:val="006D0808"/>
    <w:rsid w:val="006D7962"/>
    <w:rsid w:val="006E2A46"/>
    <w:rsid w:val="006E6EA6"/>
    <w:rsid w:val="006F5C32"/>
    <w:rsid w:val="006F73F0"/>
    <w:rsid w:val="00707A15"/>
    <w:rsid w:val="00707F4F"/>
    <w:rsid w:val="0071326A"/>
    <w:rsid w:val="007143E7"/>
    <w:rsid w:val="00714D4F"/>
    <w:rsid w:val="00715E46"/>
    <w:rsid w:val="00721985"/>
    <w:rsid w:val="007240A3"/>
    <w:rsid w:val="00732515"/>
    <w:rsid w:val="00732A47"/>
    <w:rsid w:val="00750ABB"/>
    <w:rsid w:val="00750DE7"/>
    <w:rsid w:val="00751040"/>
    <w:rsid w:val="00755AA3"/>
    <w:rsid w:val="00763B37"/>
    <w:rsid w:val="00763E27"/>
    <w:rsid w:val="00772209"/>
    <w:rsid w:val="00790756"/>
    <w:rsid w:val="00796528"/>
    <w:rsid w:val="007A4ADC"/>
    <w:rsid w:val="007B0393"/>
    <w:rsid w:val="007B4A7A"/>
    <w:rsid w:val="007B5F61"/>
    <w:rsid w:val="007C7290"/>
    <w:rsid w:val="007D0DAC"/>
    <w:rsid w:val="007D0DE9"/>
    <w:rsid w:val="007D479D"/>
    <w:rsid w:val="007F3296"/>
    <w:rsid w:val="007F343B"/>
    <w:rsid w:val="00811B14"/>
    <w:rsid w:val="00817274"/>
    <w:rsid w:val="00820D53"/>
    <w:rsid w:val="00822FB9"/>
    <w:rsid w:val="0082380C"/>
    <w:rsid w:val="008245DD"/>
    <w:rsid w:val="008516D5"/>
    <w:rsid w:val="00891075"/>
    <w:rsid w:val="00892AA3"/>
    <w:rsid w:val="00892DEC"/>
    <w:rsid w:val="008A523D"/>
    <w:rsid w:val="008A5E8C"/>
    <w:rsid w:val="008A612B"/>
    <w:rsid w:val="008A6ED1"/>
    <w:rsid w:val="008B50A0"/>
    <w:rsid w:val="008B632A"/>
    <w:rsid w:val="008C3D07"/>
    <w:rsid w:val="008D26CD"/>
    <w:rsid w:val="008D3E40"/>
    <w:rsid w:val="008D5B31"/>
    <w:rsid w:val="008D7F1E"/>
    <w:rsid w:val="008F0494"/>
    <w:rsid w:val="008F0DB4"/>
    <w:rsid w:val="008F5E35"/>
    <w:rsid w:val="00905FEB"/>
    <w:rsid w:val="00921898"/>
    <w:rsid w:val="00922F47"/>
    <w:rsid w:val="0093562D"/>
    <w:rsid w:val="00936261"/>
    <w:rsid w:val="00937A7D"/>
    <w:rsid w:val="00951AF6"/>
    <w:rsid w:val="009524C3"/>
    <w:rsid w:val="00962D51"/>
    <w:rsid w:val="00963CFE"/>
    <w:rsid w:val="0096493D"/>
    <w:rsid w:val="00967B1D"/>
    <w:rsid w:val="00971E03"/>
    <w:rsid w:val="00983E22"/>
    <w:rsid w:val="00987590"/>
    <w:rsid w:val="009B4F7E"/>
    <w:rsid w:val="009B527F"/>
    <w:rsid w:val="009C7846"/>
    <w:rsid w:val="009D0FDC"/>
    <w:rsid w:val="009E7258"/>
    <w:rsid w:val="009E79D4"/>
    <w:rsid w:val="00A0243F"/>
    <w:rsid w:val="00A05212"/>
    <w:rsid w:val="00A116E8"/>
    <w:rsid w:val="00A15DFD"/>
    <w:rsid w:val="00A2675F"/>
    <w:rsid w:val="00A33401"/>
    <w:rsid w:val="00A54C4A"/>
    <w:rsid w:val="00A561DC"/>
    <w:rsid w:val="00A62435"/>
    <w:rsid w:val="00A675D2"/>
    <w:rsid w:val="00A74B44"/>
    <w:rsid w:val="00A75973"/>
    <w:rsid w:val="00A760B0"/>
    <w:rsid w:val="00A80934"/>
    <w:rsid w:val="00A849CC"/>
    <w:rsid w:val="00A91703"/>
    <w:rsid w:val="00AA1287"/>
    <w:rsid w:val="00AB1814"/>
    <w:rsid w:val="00AB19F5"/>
    <w:rsid w:val="00AB36F7"/>
    <w:rsid w:val="00AB66B4"/>
    <w:rsid w:val="00AC0762"/>
    <w:rsid w:val="00AE01FF"/>
    <w:rsid w:val="00AE2D07"/>
    <w:rsid w:val="00AE5B06"/>
    <w:rsid w:val="00AE7C6C"/>
    <w:rsid w:val="00AF36F2"/>
    <w:rsid w:val="00AF7631"/>
    <w:rsid w:val="00B05643"/>
    <w:rsid w:val="00B06FC9"/>
    <w:rsid w:val="00B10C63"/>
    <w:rsid w:val="00B16FA2"/>
    <w:rsid w:val="00B17405"/>
    <w:rsid w:val="00B23BE6"/>
    <w:rsid w:val="00B25031"/>
    <w:rsid w:val="00B427F5"/>
    <w:rsid w:val="00B5423F"/>
    <w:rsid w:val="00B6634C"/>
    <w:rsid w:val="00B92159"/>
    <w:rsid w:val="00B96AA7"/>
    <w:rsid w:val="00BA617A"/>
    <w:rsid w:val="00BA7796"/>
    <w:rsid w:val="00BB4195"/>
    <w:rsid w:val="00BB4B7B"/>
    <w:rsid w:val="00BB53DC"/>
    <w:rsid w:val="00BC2245"/>
    <w:rsid w:val="00BC724C"/>
    <w:rsid w:val="00BD031B"/>
    <w:rsid w:val="00BD0897"/>
    <w:rsid w:val="00BD47B5"/>
    <w:rsid w:val="00BE227F"/>
    <w:rsid w:val="00BF3406"/>
    <w:rsid w:val="00BF4BD9"/>
    <w:rsid w:val="00C02BF7"/>
    <w:rsid w:val="00C06CA0"/>
    <w:rsid w:val="00C06F32"/>
    <w:rsid w:val="00C20FDD"/>
    <w:rsid w:val="00C2469C"/>
    <w:rsid w:val="00C2716C"/>
    <w:rsid w:val="00C33099"/>
    <w:rsid w:val="00C34FC7"/>
    <w:rsid w:val="00C37B3A"/>
    <w:rsid w:val="00C46A14"/>
    <w:rsid w:val="00C53F88"/>
    <w:rsid w:val="00C53F8F"/>
    <w:rsid w:val="00C57E76"/>
    <w:rsid w:val="00C639BF"/>
    <w:rsid w:val="00C65C11"/>
    <w:rsid w:val="00C70A32"/>
    <w:rsid w:val="00C71161"/>
    <w:rsid w:val="00C92D47"/>
    <w:rsid w:val="00C96B09"/>
    <w:rsid w:val="00CB68B9"/>
    <w:rsid w:val="00CC0354"/>
    <w:rsid w:val="00CC0871"/>
    <w:rsid w:val="00CD473F"/>
    <w:rsid w:val="00D0106E"/>
    <w:rsid w:val="00D11089"/>
    <w:rsid w:val="00D20515"/>
    <w:rsid w:val="00D24077"/>
    <w:rsid w:val="00D27FFE"/>
    <w:rsid w:val="00D30A65"/>
    <w:rsid w:val="00D45AED"/>
    <w:rsid w:val="00D5376D"/>
    <w:rsid w:val="00D57B08"/>
    <w:rsid w:val="00D61439"/>
    <w:rsid w:val="00D66789"/>
    <w:rsid w:val="00D846C4"/>
    <w:rsid w:val="00D87767"/>
    <w:rsid w:val="00D936E7"/>
    <w:rsid w:val="00DC584E"/>
    <w:rsid w:val="00DD1E85"/>
    <w:rsid w:val="00DD38AB"/>
    <w:rsid w:val="00DD6D93"/>
    <w:rsid w:val="00DE26B2"/>
    <w:rsid w:val="00DE3BC5"/>
    <w:rsid w:val="00DF240D"/>
    <w:rsid w:val="00E03DF9"/>
    <w:rsid w:val="00E10D5F"/>
    <w:rsid w:val="00E15156"/>
    <w:rsid w:val="00E20C92"/>
    <w:rsid w:val="00E235EF"/>
    <w:rsid w:val="00E26DC6"/>
    <w:rsid w:val="00E426DE"/>
    <w:rsid w:val="00E61311"/>
    <w:rsid w:val="00E71BB8"/>
    <w:rsid w:val="00E820CE"/>
    <w:rsid w:val="00E8697C"/>
    <w:rsid w:val="00E91EC5"/>
    <w:rsid w:val="00EB06B4"/>
    <w:rsid w:val="00EB202F"/>
    <w:rsid w:val="00EC55B4"/>
    <w:rsid w:val="00EC7103"/>
    <w:rsid w:val="00EE26ED"/>
    <w:rsid w:val="00EE5475"/>
    <w:rsid w:val="00EF1C74"/>
    <w:rsid w:val="00F03904"/>
    <w:rsid w:val="00F071C2"/>
    <w:rsid w:val="00F1117B"/>
    <w:rsid w:val="00F147B0"/>
    <w:rsid w:val="00F147CF"/>
    <w:rsid w:val="00F22399"/>
    <w:rsid w:val="00F32DBB"/>
    <w:rsid w:val="00F347C6"/>
    <w:rsid w:val="00F4026B"/>
    <w:rsid w:val="00F47474"/>
    <w:rsid w:val="00F52C51"/>
    <w:rsid w:val="00F537D1"/>
    <w:rsid w:val="00F6067C"/>
    <w:rsid w:val="00F72937"/>
    <w:rsid w:val="00F72963"/>
    <w:rsid w:val="00F807BE"/>
    <w:rsid w:val="00F96EA6"/>
    <w:rsid w:val="00FB05E2"/>
    <w:rsid w:val="00FC7C7D"/>
    <w:rsid w:val="00FD665A"/>
    <w:rsid w:val="00FF6055"/>
    <w:rsid w:val="3D2E1997"/>
    <w:rsid w:val="46D418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unhideWhenUsed/>
    <w:qFormat/>
    <w:uiPriority w:val="99"/>
    <w:pPr>
      <w:spacing w:after="120"/>
      <w:ind w:left="420" w:leftChars="200"/>
    </w:pPr>
  </w:style>
  <w:style w:type="paragraph" w:styleId="3">
    <w:name w:val="Balloon Text"/>
    <w:basedOn w:val="1"/>
    <w:link w:val="12"/>
    <w:semiHidden/>
    <w:unhideWhenUsed/>
    <w:qFormat/>
    <w:uiPriority w:val="99"/>
    <w:rPr>
      <w:sz w:val="18"/>
      <w:szCs w:val="18"/>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160" w:afterAutospacing="1" w:line="480" w:lineRule="auto"/>
      <w:jc w:val="left"/>
    </w:pPr>
    <w:rPr>
      <w:rFonts w:ascii="Times New Roman" w:hAnsi="Times New Roman" w:eastAsia="宋体" w:cs="Times New Roman"/>
      <w:kern w:val="0"/>
      <w:sz w:val="24"/>
      <w:szCs w:val="24"/>
    </w:rPr>
  </w:style>
  <w:style w:type="character" w:customStyle="1" w:styleId="9">
    <w:name w:val="页眉 Char"/>
    <w:basedOn w:val="8"/>
    <w:link w:val="5"/>
    <w:semiHidden/>
    <w:uiPriority w:val="99"/>
    <w:rPr>
      <w:kern w:val="2"/>
      <w:sz w:val="18"/>
      <w:szCs w:val="18"/>
    </w:rPr>
  </w:style>
  <w:style w:type="character" w:customStyle="1" w:styleId="10">
    <w:name w:val="页脚 Char"/>
    <w:basedOn w:val="8"/>
    <w:link w:val="4"/>
    <w:semiHidden/>
    <w:uiPriority w:val="99"/>
    <w:rPr>
      <w:kern w:val="2"/>
      <w:sz w:val="18"/>
      <w:szCs w:val="18"/>
    </w:rPr>
  </w:style>
  <w:style w:type="character" w:customStyle="1" w:styleId="11">
    <w:name w:val="正文文本缩进 Char"/>
    <w:basedOn w:val="8"/>
    <w:link w:val="2"/>
    <w:uiPriority w:val="99"/>
    <w:rPr>
      <w:kern w:val="2"/>
      <w:sz w:val="21"/>
      <w:szCs w:val="22"/>
    </w:rPr>
  </w:style>
  <w:style w:type="character" w:customStyle="1" w:styleId="12">
    <w:name w:val="批注框文本 Char"/>
    <w:basedOn w:val="8"/>
    <w:link w:val="3"/>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90EACA-8008-46AC-8F26-1661ED474CD0}">
  <ds:schemaRefs/>
</ds:datastoreItem>
</file>

<file path=docProps/app.xml><?xml version="1.0" encoding="utf-8"?>
<Properties xmlns="http://schemas.openxmlformats.org/officeDocument/2006/extended-properties" xmlns:vt="http://schemas.openxmlformats.org/officeDocument/2006/docPropsVTypes">
  <Template>Normal</Template>
  <Pages>18</Pages>
  <Words>1663</Words>
  <Characters>9480</Characters>
  <Lines>79</Lines>
  <Paragraphs>22</Paragraphs>
  <TotalTime>169</TotalTime>
  <ScaleCrop>false</ScaleCrop>
  <LinksUpToDate>false</LinksUpToDate>
  <CharactersWithSpaces>11121</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2020-08-27T08:17:00Z</dcterms:created>
  <dc:creator>panbo</dc:creator>
  <cp:lastModifiedBy>學飞De蝈蝈</cp:lastModifiedBy>
  <cp:lastPrinted>2024-02-26T08:32:00Z</cp:lastPrinted>
  <dcterms:modified xsi:type="dcterms:W3CDTF">2025-01-14T01:59:38Z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