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宋体" w:hAnsi="宋体" w:cs="宋体"/>
          <w:b/>
          <w:sz w:val="44"/>
          <w:szCs w:val="44"/>
        </w:rPr>
      </w:pPr>
      <w:r>
        <w:rPr>
          <w:rFonts w:hint="eastAsia" w:ascii="宋体" w:hAnsi="宋体" w:cs="宋体"/>
          <w:b/>
          <w:sz w:val="44"/>
          <w:szCs w:val="44"/>
        </w:rPr>
        <w:t>唐山市开平区人大20</w:t>
      </w:r>
      <w:r>
        <w:rPr>
          <w:rFonts w:hint="eastAsia" w:ascii="宋体" w:hAnsi="宋体" w:cs="宋体"/>
          <w:b/>
          <w:sz w:val="44"/>
          <w:szCs w:val="44"/>
          <w:lang w:val="en-US" w:eastAsia="zh-CN"/>
        </w:rPr>
        <w:t>21</w:t>
      </w:r>
      <w:r>
        <w:rPr>
          <w:rFonts w:hint="eastAsia" w:ascii="宋体" w:hAnsi="宋体" w:cs="宋体"/>
          <w:b/>
          <w:sz w:val="44"/>
          <w:szCs w:val="44"/>
        </w:rPr>
        <w:t>年部门预算信息公开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按照《预算法》、《地方预决算公开操作规程》规定，现将20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年部门预算公开如下：</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一、部门职责及机构设置情况</w:t>
      </w:r>
    </w:p>
    <w:p>
      <w:pPr>
        <w:pStyle w:val="6"/>
        <w:shd w:val="clear" w:color="auto" w:fill="FFFFFF"/>
        <w:spacing w:before="0" w:beforeAutospacing="0" w:after="0" w:afterAutospacing="0" w:line="336" w:lineRule="atLeast"/>
        <w:ind w:firstLine="570"/>
        <w:rPr>
          <w:rFonts w:ascii="仿宋_GB2312" w:eastAsia="仿宋_GB2312"/>
          <w:sz w:val="32"/>
          <w:szCs w:val="32"/>
        </w:rPr>
      </w:pPr>
      <w:r>
        <w:rPr>
          <w:rFonts w:hint="eastAsia" w:ascii="黑体" w:hAnsi="黑体" w:eastAsia="黑体" w:cs="黑体"/>
          <w:sz w:val="32"/>
          <w:szCs w:val="32"/>
        </w:rPr>
        <w:t>部门职责：</w:t>
      </w:r>
      <w:r>
        <w:rPr>
          <w:rFonts w:hint="eastAsia" w:ascii="仿宋_GB2312" w:eastAsia="仿宋_GB2312"/>
          <w:sz w:val="32"/>
          <w:szCs w:val="32"/>
        </w:rPr>
        <w:t>承担代表大会会议、常委会会议、主任会议和常委会党组会议以及办公室召开的有关会议的筹备和会务工作，负责省、市、区人大代表视察的有关具体工作，受常委会主任会议委托，拟订有关议案草案，协助做好人大代表提出的议案、建议、批评、意见的整理、转办和督办工作，负责区人大及其常委会文电、档案、保密、文印工作，负责区人大常委会同上级人大常委会以及各街道人大街工委的联系，负责区人大机关来信来访的登记、接待、接转、办理和督办工作，负责区人大机关离退休人员的统一管理和服务工作，负责人大常委会及办公室宣传工作，负责完成区人大常委会交办的其他工作。</w:t>
      </w:r>
    </w:p>
    <w:p>
      <w:pPr>
        <w:ind w:firstLine="640"/>
        <w:rPr>
          <w:rFonts w:ascii="仿宋_GB2312" w:hAnsi="仿宋_GB2312" w:eastAsia="仿宋_GB2312" w:cs="仿宋_GB2312"/>
          <w:sz w:val="32"/>
          <w:szCs w:val="32"/>
        </w:rPr>
      </w:pPr>
      <w:r>
        <w:rPr>
          <w:rFonts w:hint="eastAsia" w:ascii="黑体" w:hAnsi="黑体" w:eastAsia="黑体" w:cs="黑体"/>
          <w:sz w:val="32"/>
          <w:szCs w:val="32"/>
        </w:rPr>
        <w:t>机构设置：</w:t>
      </w:r>
      <w:r>
        <w:rPr>
          <w:rFonts w:hint="eastAsia" w:ascii="仿宋_GB2312" w:hAnsi="仿宋_GB2312" w:eastAsia="仿宋_GB2312" w:cs="仿宋_GB2312"/>
          <w:sz w:val="32"/>
          <w:szCs w:val="32"/>
        </w:rPr>
        <w:t>单位内设5个</w:t>
      </w:r>
      <w:r>
        <w:rPr>
          <w:rFonts w:hint="eastAsia" w:ascii="仿宋_GB2312" w:hAnsi="仿宋_GB2312" w:eastAsia="仿宋_GB2312" w:cs="仿宋_GB2312"/>
          <w:sz w:val="32"/>
          <w:szCs w:val="32"/>
          <w:lang w:eastAsia="zh-CN"/>
        </w:rPr>
        <w:t>委室</w:t>
      </w:r>
      <w:r>
        <w:rPr>
          <w:rFonts w:hint="eastAsia" w:ascii="仿宋_GB2312" w:hAnsi="仿宋_GB2312" w:eastAsia="仿宋_GB2312" w:cs="仿宋_GB2312"/>
          <w:sz w:val="32"/>
          <w:szCs w:val="32"/>
        </w:rPr>
        <w:t>，具体科室如下：</w:t>
      </w:r>
    </w:p>
    <w:p>
      <w:pPr>
        <w:jc w:val="center"/>
        <w:outlineLvl w:val="0"/>
        <w:rPr>
          <w:rFonts w:ascii="宋体" w:hAnsi="宋体" w:cs="宋体"/>
          <w:sz w:val="32"/>
          <w:szCs w:val="32"/>
        </w:rPr>
      </w:pPr>
      <w:r>
        <w:rPr>
          <w:rFonts w:hint="eastAsia" w:ascii="宋体" w:hAnsi="宋体" w:cs="宋体"/>
          <w:sz w:val="32"/>
          <w:szCs w:val="32"/>
        </w:rPr>
        <w:t>部门机构设置情况</w:t>
      </w:r>
    </w:p>
    <w:tbl>
      <w:tblPr>
        <w:tblStyle w:val="7"/>
        <w:tblW w:w="0" w:type="auto"/>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53"/>
        <w:gridCol w:w="1559"/>
        <w:gridCol w:w="1984"/>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单位名称</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单位性质</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单位规格</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办公室</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行政</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科级</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法制工作委员会</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行政</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科级</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选举任免代表工作委员会</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行政</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科级</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财政经济工作委员会</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行政</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科级</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253" w:type="dxa"/>
          </w:tcPr>
          <w:p>
            <w:pPr>
              <w:jc w:val="center"/>
              <w:outlineLvl w:val="0"/>
              <w:rPr>
                <w:rFonts w:ascii="方正小标宋_GBK" w:eastAsia="方正小标宋_GBK"/>
                <w:sz w:val="30"/>
                <w:szCs w:val="30"/>
              </w:rPr>
            </w:pPr>
            <w:r>
              <w:rPr>
                <w:rFonts w:hint="eastAsia" w:ascii="方正小标宋_GBK" w:eastAsia="方正小标宋_GBK"/>
                <w:sz w:val="30"/>
                <w:szCs w:val="30"/>
              </w:rPr>
              <w:t>教育科技文化卫生工作委员会</w:t>
            </w:r>
          </w:p>
        </w:tc>
        <w:tc>
          <w:tcPr>
            <w:tcW w:w="1559" w:type="dxa"/>
          </w:tcPr>
          <w:p>
            <w:pPr>
              <w:jc w:val="center"/>
              <w:outlineLvl w:val="0"/>
              <w:rPr>
                <w:rFonts w:ascii="方正小标宋_GBK" w:eastAsia="方正小标宋_GBK"/>
                <w:sz w:val="30"/>
                <w:szCs w:val="30"/>
              </w:rPr>
            </w:pPr>
            <w:r>
              <w:rPr>
                <w:rFonts w:hint="eastAsia" w:ascii="方正小标宋_GBK" w:eastAsia="方正小标宋_GBK"/>
                <w:sz w:val="30"/>
                <w:szCs w:val="30"/>
              </w:rPr>
              <w:t>行政</w:t>
            </w:r>
          </w:p>
        </w:tc>
        <w:tc>
          <w:tcPr>
            <w:tcW w:w="1984" w:type="dxa"/>
          </w:tcPr>
          <w:p>
            <w:pPr>
              <w:jc w:val="center"/>
              <w:outlineLvl w:val="0"/>
              <w:rPr>
                <w:rFonts w:ascii="方正小标宋_GBK" w:eastAsia="方正小标宋_GBK"/>
                <w:sz w:val="30"/>
                <w:szCs w:val="30"/>
              </w:rPr>
            </w:pPr>
            <w:r>
              <w:rPr>
                <w:rFonts w:hint="eastAsia" w:ascii="方正小标宋_GBK" w:eastAsia="方正小标宋_GBK"/>
                <w:sz w:val="30"/>
                <w:szCs w:val="30"/>
              </w:rPr>
              <w:t>科级</w:t>
            </w:r>
          </w:p>
        </w:tc>
        <w:tc>
          <w:tcPr>
            <w:tcW w:w="2977" w:type="dxa"/>
          </w:tcPr>
          <w:p>
            <w:pPr>
              <w:jc w:val="center"/>
              <w:outlineLvl w:val="0"/>
              <w:rPr>
                <w:rFonts w:ascii="方正小标宋_GBK" w:eastAsia="方正小标宋_GBK"/>
                <w:sz w:val="30"/>
                <w:szCs w:val="30"/>
              </w:rPr>
            </w:pPr>
            <w:r>
              <w:rPr>
                <w:rFonts w:hint="eastAsia" w:ascii="方正小标宋_GBK" w:eastAsia="方正小标宋_GBK"/>
                <w:sz w:val="30"/>
                <w:szCs w:val="30"/>
              </w:rPr>
              <w:t>财政拨款</w:t>
            </w:r>
          </w:p>
        </w:tc>
      </w:tr>
    </w:tbl>
    <w:p>
      <w:pPr>
        <w:rPr>
          <w:rFonts w:ascii="仿宋" w:hAnsi="仿宋" w:eastAsia="仿宋"/>
          <w:sz w:val="32"/>
          <w:szCs w:val="32"/>
        </w:rPr>
      </w:pPr>
    </w:p>
    <w:p>
      <w:pPr>
        <w:ind w:firstLine="640"/>
        <w:rPr>
          <w:rFonts w:ascii="黑体" w:hAnsi="黑体" w:eastAsia="黑体" w:cs="黑体"/>
          <w:sz w:val="32"/>
          <w:szCs w:val="32"/>
        </w:rPr>
      </w:pPr>
      <w:r>
        <w:rPr>
          <w:rFonts w:hint="eastAsia" w:ascii="黑体" w:hAnsi="黑体" w:eastAsia="黑体" w:cs="黑体"/>
          <w:sz w:val="32"/>
          <w:szCs w:val="32"/>
        </w:rPr>
        <w:t>二、部门预算安排的总体情况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按照预算管理有关规定，目前我单位预算的编制实行综合预算制度。</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年收入预算共计</w:t>
      </w:r>
      <w:r>
        <w:rPr>
          <w:rFonts w:hint="eastAsia" w:ascii="方正书宋_GBK" w:eastAsia="方正书宋_GBK"/>
          <w:b/>
          <w:sz w:val="32"/>
          <w:szCs w:val="32"/>
          <w:lang w:val="en-US" w:eastAsia="zh-CN"/>
        </w:rPr>
        <w:t>488.84</w:t>
      </w:r>
      <w:r>
        <w:rPr>
          <w:rFonts w:hint="eastAsia" w:ascii="仿宋_GB2312" w:hAnsi="仿宋_GB2312" w:eastAsia="仿宋_GB2312" w:cs="仿宋_GB2312"/>
          <w:sz w:val="32"/>
          <w:szCs w:val="32"/>
        </w:rPr>
        <w:t>万元。</w:t>
      </w:r>
      <w:r>
        <w:rPr>
          <w:rFonts w:hint="eastAsia" w:ascii="Times New Roman" w:hAnsi="Times New Roman" w:eastAsia="仿宋"/>
          <w:color w:val="000000" w:themeColor="text1"/>
          <w:sz w:val="32"/>
          <w:szCs w:val="32"/>
        </w:rPr>
        <w:t>其中：一般公共预算收入</w:t>
      </w:r>
      <w:r>
        <w:rPr>
          <w:rFonts w:hint="eastAsia" w:ascii="Times New Roman" w:hAnsi="Times New Roman" w:eastAsia="仿宋"/>
          <w:color w:val="000000" w:themeColor="text1"/>
          <w:sz w:val="32"/>
          <w:szCs w:val="32"/>
          <w:lang w:val="en-US" w:eastAsia="zh-CN"/>
        </w:rPr>
        <w:t>488.84</w:t>
      </w:r>
      <w:r>
        <w:rPr>
          <w:rFonts w:hint="eastAsia" w:ascii="Times New Roman" w:hAnsi="Times New Roman" w:eastAsia="仿宋"/>
          <w:color w:val="000000" w:themeColor="text1"/>
          <w:sz w:val="32"/>
          <w:szCs w:val="32"/>
        </w:rPr>
        <w:t>万元，基金预算收入0万元，其他来源收入0万元。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2、支出说明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年支出预算共计</w:t>
      </w:r>
      <w:r>
        <w:rPr>
          <w:rFonts w:hint="eastAsia" w:ascii="仿宋_GB2312" w:hAnsi="仿宋_GB2312" w:eastAsia="仿宋_GB2312" w:cs="仿宋_GB2312"/>
          <w:sz w:val="32"/>
          <w:szCs w:val="32"/>
          <w:lang w:val="en-US" w:eastAsia="zh-CN"/>
        </w:rPr>
        <w:t>488.84</w:t>
      </w:r>
      <w:r>
        <w:rPr>
          <w:rFonts w:hint="eastAsia" w:ascii="仿宋_GB2312" w:hAnsi="仿宋_GB2312" w:eastAsia="仿宋_GB2312" w:cs="仿宋_GB2312"/>
          <w:sz w:val="32"/>
          <w:szCs w:val="32"/>
        </w:rPr>
        <w:t>万元，</w:t>
      </w:r>
      <w:r>
        <w:rPr>
          <w:rFonts w:hint="eastAsia" w:ascii="Times New Roman" w:hAnsi="Times New Roman" w:eastAsia="仿宋"/>
          <w:sz w:val="32"/>
          <w:szCs w:val="32"/>
        </w:rPr>
        <w:t>其中</w:t>
      </w:r>
      <w:r>
        <w:rPr>
          <w:rFonts w:hint="eastAsia" w:ascii="Times New Roman" w:hAnsi="Times New Roman" w:eastAsia="仿宋"/>
          <w:color w:val="000000" w:themeColor="text1"/>
          <w:sz w:val="32"/>
          <w:szCs w:val="32"/>
        </w:rPr>
        <w:t>基本支出</w:t>
      </w:r>
      <w:r>
        <w:rPr>
          <w:rFonts w:hint="eastAsia" w:ascii="Times New Roman" w:hAnsi="Times New Roman" w:eastAsia="仿宋"/>
          <w:color w:val="000000" w:themeColor="text1"/>
          <w:sz w:val="32"/>
          <w:szCs w:val="32"/>
          <w:lang w:val="en-US" w:eastAsia="zh-CN"/>
        </w:rPr>
        <w:t>392.84</w:t>
      </w:r>
      <w:r>
        <w:rPr>
          <w:rFonts w:hint="eastAsia" w:ascii="Times New Roman" w:hAnsi="Times New Roman" w:eastAsia="仿宋"/>
          <w:color w:val="000000" w:themeColor="text1"/>
          <w:sz w:val="32"/>
          <w:szCs w:val="32"/>
        </w:rPr>
        <w:t>万元，</w:t>
      </w:r>
      <w:r>
        <w:rPr>
          <w:rFonts w:hint="eastAsia" w:ascii="仿宋_GB2312" w:hAnsi="仿宋_GB2312" w:eastAsia="仿宋_GB2312" w:cs="仿宋_GB2312"/>
          <w:sz w:val="32"/>
          <w:szCs w:val="32"/>
        </w:rPr>
        <w:t>人员经费支出预算</w:t>
      </w:r>
      <w:r>
        <w:rPr>
          <w:rFonts w:hint="eastAsia" w:ascii="仿宋_GB2312" w:hAnsi="仿宋_GB2312" w:eastAsia="仿宋_GB2312" w:cs="仿宋_GB2312"/>
          <w:sz w:val="32"/>
          <w:szCs w:val="32"/>
          <w:lang w:val="en-US" w:eastAsia="zh-CN"/>
        </w:rPr>
        <w:t>351.27</w:t>
      </w:r>
      <w:r>
        <w:rPr>
          <w:rFonts w:hint="eastAsia" w:ascii="仿宋_GB2312" w:hAnsi="仿宋_GB2312" w:eastAsia="仿宋_GB2312" w:cs="仿宋_GB2312"/>
          <w:sz w:val="32"/>
          <w:szCs w:val="32"/>
        </w:rPr>
        <w:t>万元，日常公用经费支出预算</w:t>
      </w:r>
      <w:r>
        <w:rPr>
          <w:rFonts w:hint="eastAsia" w:ascii="仿宋_GB2312" w:hAnsi="仿宋_GB2312" w:eastAsia="仿宋_GB2312" w:cs="仿宋_GB2312"/>
          <w:sz w:val="32"/>
          <w:szCs w:val="32"/>
          <w:lang w:val="en-US" w:eastAsia="zh-CN"/>
        </w:rPr>
        <w:t>41.57</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万元。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3、比上年增减情况</w:t>
      </w:r>
    </w:p>
    <w:p>
      <w:pPr>
        <w:ind w:firstLine="640"/>
        <w:rPr>
          <w:rFonts w:ascii="仿宋" w:hAnsi="仿宋" w:eastAsia="仿宋"/>
          <w:sz w:val="32"/>
          <w:szCs w:val="32"/>
        </w:rPr>
      </w:pPr>
      <w:r>
        <w:rPr>
          <w:rFonts w:hint="eastAsia" w:ascii="仿宋_GB2312" w:hAnsi="仿宋_GB2312" w:eastAsia="仿宋_GB2312" w:cs="仿宋_GB2312"/>
          <w:sz w:val="32"/>
          <w:szCs w:val="32"/>
        </w:rPr>
        <w:t>经过对比，</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年财政拨款预算比20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年减少</w:t>
      </w:r>
      <w:r>
        <w:rPr>
          <w:rFonts w:hint="eastAsia" w:ascii="仿宋_GB2312" w:hAnsi="仿宋_GB2312" w:eastAsia="仿宋_GB2312" w:cs="仿宋_GB2312"/>
          <w:sz w:val="32"/>
          <w:szCs w:val="32"/>
          <w:lang w:val="en-US" w:eastAsia="zh-CN"/>
        </w:rPr>
        <w:t>37.84</w:t>
      </w:r>
      <w:r>
        <w:rPr>
          <w:rFonts w:hint="eastAsia" w:ascii="仿宋_GB2312" w:hAnsi="仿宋_GB2312" w:eastAsia="仿宋_GB2312" w:cs="仿宋_GB2312"/>
          <w:sz w:val="32"/>
          <w:szCs w:val="32"/>
        </w:rPr>
        <w:t xml:space="preserve">万元 </w:t>
      </w:r>
      <w:r>
        <w:rPr>
          <w:rFonts w:hint="eastAsia" w:ascii="仿宋_GB2312" w:hAnsi="仿宋_GB2312" w:eastAsia="仿宋_GB2312" w:cs="仿宋_GB2312"/>
          <w:sz w:val="32"/>
          <w:szCs w:val="32"/>
          <w:lang w:eastAsia="zh-CN"/>
        </w:rPr>
        <w:t>，各项保险费用减少</w:t>
      </w:r>
      <w:r>
        <w:rPr>
          <w:rFonts w:hint="eastAsia" w:ascii="仿宋_GB2312" w:hAnsi="仿宋_GB2312" w:eastAsia="仿宋_GB2312" w:cs="仿宋_GB2312"/>
          <w:sz w:val="32"/>
          <w:szCs w:val="32"/>
        </w:rPr>
        <w:t>。</w:t>
      </w: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三、机关运行经费安排情况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41.57</w:t>
      </w:r>
      <w:r>
        <w:rPr>
          <w:rFonts w:hint="eastAsia" w:ascii="仿宋_GB2312" w:hAnsi="仿宋_GB2312" w:eastAsia="仿宋_GB2312" w:cs="仿宋_GB2312"/>
          <w:sz w:val="32"/>
          <w:szCs w:val="32"/>
        </w:rPr>
        <w:t>万元，主要用于保证正常办公的基本需要和维持单位日常业务运转，包括：办公费、水电费、邮电费、取暖费、交通费、差旅费、公务用车运行维护费和其他费。</w:t>
      </w:r>
    </w:p>
    <w:p>
      <w:pPr>
        <w:autoSpaceDE w:val="0"/>
        <w:autoSpaceDN w:val="0"/>
        <w:adjustRightInd w:val="0"/>
        <w:ind w:firstLine="627" w:firstLineChars="196"/>
        <w:jc w:val="left"/>
        <w:rPr>
          <w:rFonts w:ascii="黑体" w:hAnsi="黑体" w:eastAsia="黑体"/>
          <w:sz w:val="32"/>
          <w:szCs w:val="32"/>
        </w:rPr>
      </w:pPr>
      <w:r>
        <w:rPr>
          <w:rFonts w:hint="eastAsia" w:ascii="黑体" w:hAnsi="黑体" w:eastAsia="黑体"/>
          <w:sz w:val="32"/>
          <w:szCs w:val="32"/>
        </w:rPr>
        <w:t>四、财政拨款“三公”经费预算情况及增减变化原因</w:t>
      </w:r>
    </w:p>
    <w:p>
      <w:pPr>
        <w:spacing w:line="600" w:lineRule="exact"/>
        <w:ind w:firstLine="640" w:firstLineChars="200"/>
        <w:rPr>
          <w:rFonts w:ascii="仿宋" w:hAnsi="宋体" w:eastAsia="仿宋" w:cs="Arial"/>
          <w:color w:val="000000"/>
          <w:kern w:val="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年，我部门“三公”经费预算安排9万元</w:t>
      </w:r>
      <w:r>
        <w:rPr>
          <w:rFonts w:hint="eastAsia" w:ascii="仿宋" w:hAnsi="宋体" w:eastAsia="仿宋" w:cs="Arial"/>
          <w:color w:val="000000"/>
          <w:kern w:val="0"/>
          <w:sz w:val="32"/>
          <w:szCs w:val="32"/>
        </w:rPr>
        <w:t xml:space="preserve"> ，</w:t>
      </w:r>
      <w:r>
        <w:rPr>
          <w:rFonts w:hint="eastAsia" w:ascii="仿宋_GB2312" w:hAnsi="仿宋_GB2312" w:eastAsia="仿宋_GB2312" w:cs="仿宋_GB2312"/>
          <w:sz w:val="32"/>
          <w:szCs w:val="32"/>
        </w:rPr>
        <w:t>与上年预算持平,无增减变化</w:t>
      </w:r>
      <w:r>
        <w:rPr>
          <w:rFonts w:hint="eastAsia" w:ascii="仿宋" w:hAnsi="宋体" w:eastAsia="仿宋" w:cs="Arial"/>
          <w:color w:val="000000"/>
          <w:kern w:val="0"/>
          <w:sz w:val="32"/>
          <w:szCs w:val="32"/>
        </w:rPr>
        <w:t>。具体安排情况为：</w:t>
      </w:r>
    </w:p>
    <w:p>
      <w:pPr>
        <w:numPr>
          <w:ilvl w:val="0"/>
          <w:numId w:val="1"/>
        </w:numPr>
        <w:rPr>
          <w:rFonts w:ascii="仿宋_GB2312" w:hAnsi="仿宋_GB2312" w:eastAsia="仿宋_GB2312" w:cs="仿宋_GB2312"/>
          <w:sz w:val="32"/>
          <w:szCs w:val="32"/>
        </w:rPr>
      </w:pPr>
      <w:r>
        <w:rPr>
          <w:rFonts w:hint="eastAsia" w:ascii="仿宋" w:hAnsi="宋体" w:eastAsia="仿宋" w:cs="Arial"/>
          <w:color w:val="000000"/>
          <w:kern w:val="0"/>
          <w:sz w:val="32"/>
          <w:szCs w:val="32"/>
        </w:rPr>
        <w:t>1、公务用车购置及运行维护费。共计安排9万元，</w:t>
      </w:r>
      <w:r>
        <w:rPr>
          <w:rFonts w:hint="eastAsia" w:ascii="仿宋_GB2312" w:hAnsi="仿宋_GB2312" w:eastAsia="仿宋_GB2312" w:cs="仿宋_GB2312"/>
          <w:sz w:val="32"/>
          <w:szCs w:val="32"/>
        </w:rPr>
        <w:t>与上年预算持平</w:t>
      </w:r>
      <w:r>
        <w:rPr>
          <w:rFonts w:hint="eastAsia" w:ascii="仿宋" w:hAnsi="宋体" w:eastAsia="仿宋" w:cs="Arial"/>
          <w:color w:val="000000"/>
          <w:kern w:val="0"/>
          <w:sz w:val="32"/>
          <w:szCs w:val="32"/>
        </w:rPr>
        <w:t>。</w:t>
      </w:r>
      <w:r>
        <w:rPr>
          <w:rFonts w:hint="eastAsia" w:ascii="仿宋" w:hAnsi="仿宋" w:eastAsia="仿宋" w:cs="Arial"/>
          <w:color w:val="000000"/>
          <w:kern w:val="0"/>
          <w:sz w:val="32"/>
          <w:szCs w:val="32"/>
        </w:rPr>
        <w:t>①公务用车购置安排0万元，与上年持平。②公车运行维护经费安排9万元，</w:t>
      </w:r>
      <w:r>
        <w:rPr>
          <w:rFonts w:hint="eastAsia" w:ascii="仿宋_GB2312" w:hAnsi="仿宋_GB2312" w:eastAsia="仿宋_GB2312" w:cs="仿宋_GB2312"/>
          <w:sz w:val="32"/>
          <w:szCs w:val="32"/>
        </w:rPr>
        <w:t>与上年预算持平</w:t>
      </w:r>
      <w:r>
        <w:rPr>
          <w:rFonts w:hint="eastAsia" w:ascii="仿宋" w:hAnsi="宋体" w:eastAsia="仿宋" w:cs="Arial"/>
          <w:color w:val="000000"/>
          <w:kern w:val="0"/>
          <w:sz w:val="32"/>
          <w:szCs w:val="32"/>
        </w:rPr>
        <w:t>。（</w:t>
      </w:r>
      <w:r>
        <w:rPr>
          <w:rFonts w:hint="eastAsia" w:ascii="仿宋_GB2312" w:hAnsi="仿宋_GB2312" w:eastAsia="仿宋_GB2312" w:cs="仿宋_GB2312"/>
          <w:sz w:val="32"/>
          <w:szCs w:val="32"/>
        </w:rPr>
        <w:t>持平原因:因人大有四辆公车，车辆每年的保养、维修、保险等支出</w:t>
      </w:r>
      <w:r>
        <w:rPr>
          <w:rFonts w:hint="eastAsia" w:ascii="仿宋" w:hAnsi="宋体" w:eastAsia="仿宋" w:cs="Arial"/>
          <w:color w:val="000000"/>
          <w:kern w:val="0"/>
          <w:sz w:val="32"/>
          <w:szCs w:val="32"/>
        </w:rPr>
        <w:t>）。</w:t>
      </w:r>
    </w:p>
    <w:p>
      <w:pPr>
        <w:spacing w:line="600" w:lineRule="exact"/>
        <w:ind w:firstLine="640" w:firstLineChars="200"/>
        <w:rPr>
          <w:rFonts w:ascii="仿宋" w:hAnsi="宋体" w:eastAsia="仿宋" w:cs="Arial"/>
          <w:color w:val="000000"/>
          <w:kern w:val="0"/>
          <w:sz w:val="32"/>
          <w:szCs w:val="32"/>
        </w:rPr>
      </w:pPr>
      <w:r>
        <w:rPr>
          <w:rFonts w:hint="eastAsia" w:ascii="仿宋" w:hAnsi="宋体" w:eastAsia="仿宋" w:cs="Arial"/>
          <w:color w:val="000000"/>
          <w:kern w:val="0"/>
          <w:sz w:val="32"/>
          <w:szCs w:val="32"/>
        </w:rPr>
        <w:t>2、公务接待费。安排0元，与上年持平,无增减变化。</w:t>
      </w:r>
    </w:p>
    <w:p>
      <w:pPr>
        <w:spacing w:line="600" w:lineRule="exact"/>
        <w:ind w:firstLine="640" w:firstLineChars="200"/>
        <w:rPr>
          <w:rFonts w:ascii="仿宋" w:hAnsi="宋体" w:eastAsia="仿宋" w:cs="Arial"/>
          <w:color w:val="000000"/>
          <w:kern w:val="0"/>
          <w:sz w:val="32"/>
          <w:szCs w:val="32"/>
        </w:rPr>
      </w:pPr>
      <w:r>
        <w:rPr>
          <w:rFonts w:hint="eastAsia" w:ascii="仿宋" w:hAnsi="宋体" w:eastAsia="仿宋" w:cs="Arial"/>
          <w:color w:val="000000"/>
          <w:kern w:val="0"/>
          <w:sz w:val="32"/>
          <w:szCs w:val="32"/>
        </w:rPr>
        <w:t>3、因公出国(境)费。安排0元，与上年持平，无增减变化。</w:t>
      </w:r>
    </w:p>
    <w:p>
      <w:pPr>
        <w:autoSpaceDE w:val="0"/>
        <w:autoSpaceDN w:val="0"/>
        <w:adjustRightInd w:val="0"/>
        <w:ind w:firstLine="627" w:firstLineChars="196"/>
        <w:jc w:val="left"/>
        <w:rPr>
          <w:rFonts w:ascii="黑体" w:hAnsi="黑体" w:eastAsia="黑体"/>
          <w:sz w:val="32"/>
          <w:szCs w:val="32"/>
        </w:rPr>
      </w:pPr>
      <w:r>
        <w:rPr>
          <w:rFonts w:hint="eastAsia" w:ascii="黑体" w:hAnsi="黑体" w:eastAsia="黑体"/>
          <w:sz w:val="32"/>
          <w:szCs w:val="32"/>
        </w:rPr>
        <w:t>五、绩效预算信息</w:t>
      </w:r>
    </w:p>
    <w:p>
      <w:pPr>
        <w:ind w:firstLine="640"/>
        <w:rPr>
          <w:rFonts w:hint="eastAsia" w:ascii="仿宋_GB2312" w:hAnsi="仿宋_GB2312" w:eastAsia="仿宋_GB2312" w:cs="仿宋_GB2312"/>
          <w:sz w:val="32"/>
          <w:szCs w:val="32"/>
        </w:rPr>
      </w:pPr>
      <w:bookmarkStart w:id="0" w:name="_Toc471398463"/>
      <w:r>
        <w:rPr>
          <w:rFonts w:hint="eastAsia" w:ascii="仿宋_GB2312" w:hAnsi="仿宋_GB2312" w:eastAsia="仿宋_GB2312" w:cs="仿宋_GB2312"/>
          <w:sz w:val="32"/>
          <w:szCs w:val="32"/>
        </w:rPr>
        <w:t>总体绩效目标：</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深入贯彻落实党的十九大精神，以建设节约型机关为主线，以制度体系建设为抓手，更加注重问题导向，着力推进机关事务改革创新，着力提高管理能力，着力提升服务水平，着力优化保障质量，努力为建设廉洁务实高效机关、依法全面履行人大职能</w:t>
      </w:r>
      <w:r>
        <w:rPr>
          <w:rFonts w:hint="eastAsia" w:ascii="仿宋_GB2312" w:hAnsi="仿宋_GB2312" w:eastAsia="仿宋_GB2312" w:cs="仿宋_GB2312"/>
          <w:sz w:val="32"/>
          <w:szCs w:val="32"/>
          <w:lang w:eastAsia="zh-CN"/>
        </w:rPr>
        <w:t>作</w:t>
      </w:r>
      <w:bookmarkStart w:id="4" w:name="_GoBack"/>
      <w:bookmarkEnd w:id="4"/>
      <w:r>
        <w:rPr>
          <w:rFonts w:hint="eastAsia" w:ascii="仿宋_GB2312" w:hAnsi="仿宋_GB2312" w:eastAsia="仿宋_GB2312" w:cs="仿宋_GB2312"/>
          <w:sz w:val="32"/>
          <w:szCs w:val="32"/>
        </w:rPr>
        <w:t>出贡献。</w:t>
      </w:r>
    </w:p>
    <w:p>
      <w:pPr>
        <w:jc w:val="center"/>
        <w:outlineLvl w:val="0"/>
        <w:rPr>
          <w:rFonts w:ascii="方正小标宋_GBK" w:eastAsia="方正小标宋_GBK"/>
          <w:sz w:val="32"/>
        </w:rPr>
      </w:pPr>
      <w:bookmarkStart w:id="1" w:name="_Toc534794298"/>
      <w:r>
        <w:rPr>
          <w:rFonts w:hint="eastAsia" w:ascii="方正小标宋_GBK" w:eastAsia="方正小标宋_GBK"/>
          <w:sz w:val="32"/>
        </w:rPr>
        <w:t>部门职责-工作活动绩效目标</w:t>
      </w:r>
      <w:bookmarkEnd w:id="1"/>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101</w:t>
            </w:r>
            <w:r>
              <w:rPr>
                <w:rFonts w:hint="eastAsia" w:ascii="方正小标宋_GBK" w:eastAsia="方正小标宋_GBK"/>
                <w:sz w:val="24"/>
              </w:rPr>
              <w:t>唐山市开平区人大</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一、人大监督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rPr>
              <w:t>“</w:t>
            </w:r>
            <w:r>
              <w:rPr>
                <w:rFonts w:hint="eastAsia" w:ascii="方正书宋_GBK" w:eastAsia="方正书宋_GBK"/>
              </w:rPr>
              <w:t>一府两院</w:t>
            </w:r>
            <w:r>
              <w:rPr>
                <w:rFonts w:hint="cs" w:ascii="方正书宋_GBK" w:eastAsia="方正书宋_GBK"/>
              </w:rPr>
              <w:t>”</w:t>
            </w:r>
            <w:r>
              <w:rPr>
                <w:rFonts w:hint="eastAsia" w:ascii="方正书宋_GBK" w:eastAsia="方正书宋_GBK"/>
              </w:rPr>
              <w:t>进行监督。</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、监督宪法和法律在我区行政区域内正确实施。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、监督区本级预算按照区人代会通过的预算有效实施。</w:t>
            </w:r>
            <w:r>
              <w:rPr>
                <w:rFonts w:ascii="方正书宋_GBK" w:eastAsia="方正书宋_GBK"/>
              </w:rPr>
              <w:t>4</w:t>
            </w:r>
            <w:r>
              <w:rPr>
                <w:rFonts w:hint="eastAsia" w:ascii="方正书宋_GBK" w:eastAsia="方正书宋_GBK"/>
              </w:rPr>
              <w:t>、监督经济和社会发展计划有效实施。</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、专门委员会、常委及人大代表活动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组织专门委员会委员对法律实施情况进行检查；组织区人大常委会委员及人大代表进行执法检查和集中视察；开展代表建议督办；组织对常委会委员及代表培训。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执法检查和集中视察完成率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二、人大会议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、在人大代表和区人大常委</w:t>
            </w:r>
            <w:r>
              <w:rPr>
                <w:rFonts w:hint="eastAsia" w:ascii="方正书宋_GBK" w:eastAsia="方正书宋_GBK"/>
                <w:lang w:eastAsia="zh-CN"/>
              </w:rPr>
              <w:t>会委员</w:t>
            </w:r>
            <w:r>
              <w:rPr>
                <w:rFonts w:hint="eastAsia" w:ascii="方正书宋_GBK" w:eastAsia="方正书宋_GBK"/>
              </w:rPr>
              <w:t>充分发表审议意见的基础上，作出我区经济社会发展计划、区总预算和区本级预算等决议。</w:t>
            </w:r>
            <w:r>
              <w:rPr>
                <w:rFonts w:ascii="方正书宋_GBK" w:eastAsia="方正书宋_GBK"/>
              </w:rPr>
              <w:t>2</w:t>
            </w:r>
            <w:r>
              <w:rPr>
                <w:rFonts w:hint="eastAsia" w:ascii="方正书宋_GBK" w:eastAsia="方正书宋_GBK"/>
              </w:rPr>
              <w:t>、通过听取和审议一府两院等工作报告，作出有关报告的决议。</w:t>
            </w:r>
            <w:r>
              <w:rPr>
                <w:rFonts w:ascii="方正书宋_GBK" w:eastAsia="方正书宋_GBK"/>
              </w:rPr>
              <w:t>3</w:t>
            </w:r>
            <w:r>
              <w:rPr>
                <w:rFonts w:hint="eastAsia" w:ascii="方正书宋_GBK" w:eastAsia="方正书宋_GBK"/>
              </w:rPr>
              <w:t>、通过质询、专题询问和工作评议的方式就一府两院的工作进行监督。</w:t>
            </w:r>
            <w:r>
              <w:rPr>
                <w:rFonts w:ascii="方正书宋_GBK" w:eastAsia="方正书宋_GBK"/>
              </w:rPr>
              <w:t>4</w:t>
            </w:r>
            <w:r>
              <w:rPr>
                <w:rFonts w:hint="eastAsia" w:ascii="方正书宋_GBK" w:eastAsia="方正书宋_GBK"/>
              </w:rPr>
              <w:t>、为保证我区重大决策的科学性和法定性，实施作出有关我区重大问题的决定。</w:t>
            </w:r>
            <w:r>
              <w:rPr>
                <w:rFonts w:ascii="方正书宋_GBK" w:eastAsia="方正书宋_GBK"/>
              </w:rPr>
              <w:t>5</w:t>
            </w:r>
            <w:r>
              <w:rPr>
                <w:rFonts w:hint="eastAsia" w:ascii="方正书宋_GBK" w:eastAsia="方正书宋_GBK"/>
              </w:rPr>
              <w:t>、高效、精细的筹备区人大会。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、人大会议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承担区人民代表大会和常务委员会各种会议的筹备、会务工作，负责常委会文件起草、审核把关常委会会议、主任会议及常委会党组会议决定事项、工作部署、重要文件及领导批示的传达和督办。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保障会议顺利召开，完成会议议程</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会议活动完成率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三、选举和任免</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检查监督代表法、选举法及其实施办法的贯彻实施；承担人大换届选举及人事任免服务工作；负责对区人民政府组成人员和区级人民法院、人民检察院主要负责人的目标责任书、述职报告的督办工作。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、根据一府两院的工作需要和区委的建议，在充分酝酿和审议的基础上，选举产生一府两院的领导成员，确保选出能力突出、责任心强、有开拓精神的同志担任一府两院的领导同志。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、结合实际，确保有关选举的法律法规正确实施。</w:t>
            </w:r>
            <w:r>
              <w:rPr>
                <w:rFonts w:ascii="方正书宋_GBK" w:eastAsia="方正书宋_GBK"/>
              </w:rPr>
              <w:t>3</w:t>
            </w:r>
            <w:r>
              <w:rPr>
                <w:rFonts w:hint="eastAsia" w:ascii="方正书宋_GBK" w:eastAsia="方正书宋_GBK"/>
              </w:rPr>
              <w:t>、对区政府组成人员和区人民法院、区人民检察院主要负责人进行目标责任监督，确保依法履行职责，完成目标任务。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、换届选举及人事任免</w:t>
            </w:r>
          </w:p>
        </w:tc>
        <w:tc>
          <w:tcPr>
            <w:tcW w:w="1276" w:type="dxa"/>
            <w:shd w:val="clear" w:color="auto" w:fill="auto"/>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承担区人大换届选举、区领导人的选举和常委会人事任免的服务工作；指导镇人大换届选举工作；负责对区人民政府组成人员和区人民法院、区人民检察院主要负责人的目标责任书、述职报告的督办工作。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调研及计划完成率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四、人大事务管理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510000.00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新闻宣传和机关信息化建设与维护；人代会及常委会机关基础设施建设与维护；区人大机关日常管理事务；信访工作。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510000.00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办理来信来访，区人大日常活动，代表大会和常委会会议公报、人大工作年鉴；负责与外县（区）、市人大常委会联系。</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确保机关工作有效运转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新闻宣传任务完成率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&lt;70%</w:t>
            </w:r>
          </w:p>
        </w:tc>
      </w:tr>
    </w:tbl>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p>
    <w:bookmarkEnd w:id="0"/>
    <w:p>
      <w:pPr>
        <w:autoSpaceDE w:val="0"/>
        <w:autoSpaceDN w:val="0"/>
        <w:adjustRightInd w:val="0"/>
        <w:ind w:firstLine="627" w:firstLineChars="196"/>
        <w:jc w:val="left"/>
        <w:rPr>
          <w:rFonts w:ascii="黑体" w:hAnsi="黑体" w:eastAsia="黑体" w:cs="黑体"/>
          <w:sz w:val="32"/>
          <w:szCs w:val="32"/>
        </w:rPr>
      </w:pPr>
      <w:r>
        <w:rPr>
          <w:rFonts w:hint="eastAsia" w:ascii="黑体" w:hAnsi="黑体" w:eastAsia="黑体" w:cs="黑体"/>
          <w:sz w:val="32"/>
          <w:szCs w:val="32"/>
        </w:rPr>
        <w:t>六、政府采购预算情况</w:t>
      </w:r>
    </w:p>
    <w:p>
      <w:pPr>
        <w:outlineLvl w:val="0"/>
        <w:rPr>
          <w:rFonts w:ascii="仿宋_GB2312" w:hAnsi="仿宋_GB2312" w:eastAsia="仿宋_GB2312" w:cs="仿宋_GB2312"/>
          <w:sz w:val="32"/>
          <w:szCs w:val="32"/>
        </w:rPr>
      </w:pPr>
      <w:bookmarkStart w:id="2" w:name="_Toc471398468"/>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年，安排政府采购预算2.</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万元。具体内容见下表。</w:t>
      </w:r>
    </w:p>
    <w:p>
      <w:pPr>
        <w:outlineLvl w:val="0"/>
        <w:rPr>
          <w:rFonts w:ascii="仿宋_GB2312" w:hAnsi="仿宋_GB2312" w:eastAsia="仿宋_GB2312" w:cs="仿宋_GB2312"/>
          <w:sz w:val="32"/>
          <w:szCs w:val="32"/>
        </w:rPr>
      </w:pPr>
    </w:p>
    <w:p>
      <w:pPr>
        <w:jc w:val="center"/>
        <w:outlineLvl w:val="0"/>
        <w:rPr>
          <w:rFonts w:ascii="方正小标宋_GBK" w:eastAsia="方正小标宋_GBK"/>
          <w:sz w:val="32"/>
        </w:rPr>
      </w:pPr>
      <w:bookmarkStart w:id="3" w:name="_Toc534794304"/>
      <w:r>
        <w:rPr>
          <w:rFonts w:hint="eastAsia" w:ascii="方正小标宋_GBK" w:eastAsia="方正小标宋_GBK"/>
          <w:sz w:val="32"/>
        </w:rPr>
        <w:t>部门政府采购预算</w:t>
      </w:r>
      <w:bookmarkEnd w:id="3"/>
    </w:p>
    <w:tbl>
      <w:tblPr>
        <w:tblStyle w:val="7"/>
        <w:tblW w:w="505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2"/>
        <w:gridCol w:w="2188"/>
        <w:gridCol w:w="1057"/>
        <w:gridCol w:w="1485"/>
        <w:gridCol w:w="1371"/>
        <w:gridCol w:w="668"/>
        <w:gridCol w:w="665"/>
        <w:gridCol w:w="389"/>
        <w:gridCol w:w="577"/>
        <w:gridCol w:w="1093"/>
        <w:gridCol w:w="1087"/>
        <w:gridCol w:w="1093"/>
        <w:gridCol w:w="1087"/>
        <w:gridCol w:w="1105"/>
        <w:gridCol w:w="711"/>
        <w:gridCol w:w="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70" w:type="pct"/>
          <w:wAfter w:w="128" w:type="pct"/>
          <w:tblHeader/>
          <w:jc w:val="center"/>
        </w:trPr>
        <w:tc>
          <w:tcPr>
            <w:tcW w:w="2576"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101</w:t>
            </w:r>
            <w:r>
              <w:rPr>
                <w:rFonts w:hint="eastAsia" w:ascii="方正小标宋_GBK" w:eastAsia="方正小标宋_GBK"/>
                <w:sz w:val="24"/>
              </w:rPr>
              <w:t>唐山市开平区人大</w:t>
            </w:r>
          </w:p>
        </w:tc>
        <w:tc>
          <w:tcPr>
            <w:tcW w:w="222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w:t>
            </w:r>
            <w:r>
              <w:rPr>
                <w:rFonts w:hint="eastAsia" w:ascii="方正书宋_GBK" w:eastAsia="方正书宋_GBK"/>
                <w:sz w:val="24"/>
                <w:lang w:eastAsia="zh-CN"/>
              </w:rPr>
              <w:t>万</w:t>
            </w:r>
            <w:r>
              <w:rPr>
                <w:rFonts w:hint="eastAsia"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39" w:type="pct"/>
            <w:gridSpan w:val="3"/>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489"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451"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20"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219" w:type="pct"/>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318" w:type="pct"/>
            <w:gridSpan w:val="2"/>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162" w:type="pct"/>
            <w:gridSpan w:val="7"/>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1" w:type="pct"/>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4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489" w:type="pct"/>
            <w:vMerge w:val="continue"/>
            <w:shd w:val="clear" w:color="auto" w:fill="auto"/>
            <w:noWrap w:val="0"/>
            <w:vAlign w:val="center"/>
          </w:tcPr>
          <w:p>
            <w:pPr>
              <w:spacing w:line="300" w:lineRule="exact"/>
              <w:jc w:val="left"/>
              <w:outlineLvl w:val="0"/>
              <w:rPr>
                <w:rFonts w:eastAsia="方正仿宋_GBK"/>
                <w:sz w:val="28"/>
              </w:rPr>
            </w:pPr>
          </w:p>
        </w:tc>
        <w:tc>
          <w:tcPr>
            <w:tcW w:w="451" w:type="pct"/>
            <w:vMerge w:val="continue"/>
            <w:shd w:val="clear" w:color="auto" w:fill="auto"/>
            <w:noWrap w:val="0"/>
            <w:vAlign w:val="center"/>
          </w:tcPr>
          <w:p>
            <w:pPr>
              <w:spacing w:line="300" w:lineRule="exact"/>
              <w:jc w:val="left"/>
              <w:outlineLvl w:val="0"/>
              <w:rPr>
                <w:rFonts w:eastAsia="方正仿宋_GBK"/>
                <w:sz w:val="28"/>
              </w:rPr>
            </w:pPr>
          </w:p>
        </w:tc>
        <w:tc>
          <w:tcPr>
            <w:tcW w:w="220" w:type="pct"/>
            <w:vMerge w:val="continue"/>
            <w:shd w:val="clear" w:color="auto" w:fill="auto"/>
            <w:noWrap w:val="0"/>
            <w:vAlign w:val="center"/>
          </w:tcPr>
          <w:p>
            <w:pPr>
              <w:spacing w:line="300" w:lineRule="exact"/>
              <w:jc w:val="left"/>
              <w:outlineLvl w:val="0"/>
              <w:rPr>
                <w:rFonts w:eastAsia="方正仿宋_GBK"/>
                <w:sz w:val="28"/>
              </w:rPr>
            </w:pPr>
          </w:p>
        </w:tc>
        <w:tc>
          <w:tcPr>
            <w:tcW w:w="219" w:type="pct"/>
            <w:vMerge w:val="continue"/>
            <w:shd w:val="clear" w:color="auto" w:fill="auto"/>
            <w:noWrap w:val="0"/>
            <w:vAlign w:val="center"/>
          </w:tcPr>
          <w:p>
            <w:pPr>
              <w:spacing w:line="300" w:lineRule="exact"/>
              <w:jc w:val="left"/>
              <w:outlineLvl w:val="0"/>
              <w:rPr>
                <w:rFonts w:eastAsia="方正仿宋_GBK"/>
                <w:sz w:val="28"/>
              </w:rPr>
            </w:pPr>
          </w:p>
        </w:tc>
        <w:tc>
          <w:tcPr>
            <w:tcW w:w="318" w:type="pct"/>
            <w:gridSpan w:val="2"/>
            <w:vMerge w:val="continue"/>
            <w:shd w:val="clear" w:color="auto" w:fill="auto"/>
            <w:noWrap w:val="0"/>
            <w:vAlign w:val="center"/>
          </w:tcPr>
          <w:p>
            <w:pPr>
              <w:spacing w:line="300" w:lineRule="exact"/>
              <w:jc w:val="left"/>
              <w:outlineLvl w:val="0"/>
              <w:rPr>
                <w:rFonts w:eastAsia="方正仿宋_GBK"/>
                <w:sz w:val="28"/>
              </w:rPr>
            </w:pPr>
          </w:p>
        </w:tc>
        <w:tc>
          <w:tcPr>
            <w:tcW w:w="360"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5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60"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58"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364" w:type="pc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62" w:type="pct"/>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1" w:type="pct"/>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唐山市开平区人大小计</w:t>
            </w:r>
          </w:p>
        </w:tc>
        <w:tc>
          <w:tcPr>
            <w:tcW w:w="348" w:type="pct"/>
            <w:shd w:val="clear" w:color="auto" w:fill="auto"/>
            <w:noWrap w:val="0"/>
            <w:vAlign w:val="center"/>
          </w:tcPr>
          <w:p>
            <w:pPr>
              <w:spacing w:line="300" w:lineRule="exact"/>
              <w:jc w:val="right"/>
              <w:rPr>
                <w:rFonts w:ascii="方正书宋_GBK" w:eastAsia="方正书宋_GBK"/>
                <w:b/>
              </w:rPr>
            </w:pPr>
          </w:p>
        </w:tc>
        <w:tc>
          <w:tcPr>
            <w:tcW w:w="489" w:type="pct"/>
            <w:shd w:val="clear" w:color="auto" w:fill="auto"/>
            <w:noWrap w:val="0"/>
            <w:vAlign w:val="center"/>
          </w:tcPr>
          <w:p>
            <w:pPr>
              <w:spacing w:line="300" w:lineRule="exact"/>
              <w:jc w:val="left"/>
              <w:rPr>
                <w:rFonts w:ascii="方正书宋_GBK" w:eastAsia="方正书宋_GBK"/>
                <w:b/>
              </w:rPr>
            </w:pPr>
          </w:p>
        </w:tc>
        <w:tc>
          <w:tcPr>
            <w:tcW w:w="451" w:type="pct"/>
            <w:shd w:val="clear" w:color="auto" w:fill="auto"/>
            <w:noWrap w:val="0"/>
            <w:vAlign w:val="center"/>
          </w:tcPr>
          <w:p>
            <w:pPr>
              <w:spacing w:line="300" w:lineRule="exact"/>
              <w:jc w:val="left"/>
              <w:rPr>
                <w:rFonts w:ascii="方正书宋_GBK" w:eastAsia="方正书宋_GBK"/>
                <w:b/>
              </w:rPr>
            </w:pPr>
          </w:p>
        </w:tc>
        <w:tc>
          <w:tcPr>
            <w:tcW w:w="220" w:type="pct"/>
            <w:shd w:val="clear" w:color="auto" w:fill="auto"/>
            <w:noWrap w:val="0"/>
            <w:vAlign w:val="center"/>
          </w:tcPr>
          <w:p>
            <w:pPr>
              <w:spacing w:line="300" w:lineRule="exact"/>
              <w:jc w:val="left"/>
              <w:rPr>
                <w:rFonts w:ascii="方正书宋_GBK" w:eastAsia="方正书宋_GBK"/>
                <w:b/>
              </w:rPr>
            </w:pPr>
          </w:p>
        </w:tc>
        <w:tc>
          <w:tcPr>
            <w:tcW w:w="219" w:type="pct"/>
            <w:shd w:val="clear" w:color="auto" w:fill="auto"/>
            <w:noWrap w:val="0"/>
            <w:vAlign w:val="center"/>
          </w:tcPr>
          <w:p>
            <w:pPr>
              <w:spacing w:line="300" w:lineRule="exact"/>
              <w:jc w:val="right"/>
              <w:rPr>
                <w:rFonts w:ascii="方正书宋_GBK" w:eastAsia="方正书宋_GBK"/>
                <w:b/>
              </w:rPr>
            </w:pPr>
          </w:p>
        </w:tc>
        <w:tc>
          <w:tcPr>
            <w:tcW w:w="318" w:type="pct"/>
            <w:gridSpan w:val="2"/>
            <w:shd w:val="clear" w:color="auto" w:fill="auto"/>
            <w:noWrap w:val="0"/>
            <w:vAlign w:val="center"/>
          </w:tcPr>
          <w:p>
            <w:pPr>
              <w:spacing w:line="300" w:lineRule="exact"/>
              <w:jc w:val="right"/>
              <w:rPr>
                <w:rFonts w:ascii="方正书宋_GBK" w:eastAsia="方正书宋_GBK"/>
                <w:b/>
              </w:rPr>
            </w:pPr>
          </w:p>
        </w:tc>
        <w:tc>
          <w:tcPr>
            <w:tcW w:w="360" w:type="pct"/>
            <w:shd w:val="clear" w:color="auto" w:fill="auto"/>
            <w:noWrap w:val="0"/>
            <w:vAlign w:val="center"/>
          </w:tcPr>
          <w:p>
            <w:pPr>
              <w:spacing w:line="300" w:lineRule="exact"/>
              <w:jc w:val="right"/>
              <w:rPr>
                <w:rFonts w:ascii="方正书宋_GBK" w:eastAsia="方正书宋_GBK"/>
                <w:b/>
              </w:rPr>
            </w:pPr>
            <w:r>
              <w:rPr>
                <w:rFonts w:hint="eastAsia" w:ascii="方正书宋_GBK" w:eastAsia="方正书宋_GBK"/>
                <w:b/>
                <w:lang w:val="en-US" w:eastAsia="zh-CN"/>
              </w:rPr>
              <w:t>2.47</w:t>
            </w:r>
          </w:p>
        </w:tc>
        <w:tc>
          <w:tcPr>
            <w:tcW w:w="358" w:type="pct"/>
            <w:shd w:val="clear" w:color="auto" w:fill="auto"/>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2.47</w:t>
            </w:r>
          </w:p>
        </w:tc>
        <w:tc>
          <w:tcPr>
            <w:tcW w:w="360" w:type="pct"/>
            <w:shd w:val="clear" w:color="auto" w:fill="auto"/>
            <w:noWrap w:val="0"/>
            <w:vAlign w:val="center"/>
          </w:tcPr>
          <w:p>
            <w:pPr>
              <w:spacing w:line="300" w:lineRule="exact"/>
              <w:jc w:val="right"/>
              <w:rPr>
                <w:rFonts w:ascii="方正书宋_GBK" w:eastAsia="方正书宋_GBK"/>
                <w:b/>
              </w:rPr>
            </w:pPr>
          </w:p>
        </w:tc>
        <w:tc>
          <w:tcPr>
            <w:tcW w:w="358" w:type="pct"/>
            <w:shd w:val="clear" w:color="auto" w:fill="auto"/>
            <w:noWrap w:val="0"/>
            <w:vAlign w:val="center"/>
          </w:tcPr>
          <w:p>
            <w:pPr>
              <w:spacing w:line="300" w:lineRule="exact"/>
              <w:jc w:val="right"/>
              <w:rPr>
                <w:rFonts w:ascii="方正书宋_GBK" w:eastAsia="方正书宋_GBK"/>
                <w:b/>
              </w:rPr>
            </w:pPr>
          </w:p>
        </w:tc>
        <w:tc>
          <w:tcPr>
            <w:tcW w:w="364" w:type="pct"/>
            <w:shd w:val="clear" w:color="auto" w:fill="auto"/>
            <w:noWrap w:val="0"/>
            <w:vAlign w:val="center"/>
          </w:tcPr>
          <w:p>
            <w:pPr>
              <w:spacing w:line="300" w:lineRule="exact"/>
              <w:jc w:val="right"/>
              <w:rPr>
                <w:rFonts w:ascii="方正书宋_GBK" w:eastAsia="方正书宋_GBK"/>
                <w:b/>
              </w:rPr>
            </w:pPr>
          </w:p>
        </w:tc>
        <w:tc>
          <w:tcPr>
            <w:tcW w:w="362" w:type="pct"/>
            <w:gridSpan w:val="2"/>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1" w:type="pct"/>
            <w:gridSpan w:val="2"/>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信息化建设区级</w:t>
            </w:r>
          </w:p>
        </w:tc>
        <w:tc>
          <w:tcPr>
            <w:tcW w:w="34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13.50</w:t>
            </w:r>
          </w:p>
        </w:tc>
        <w:tc>
          <w:tcPr>
            <w:tcW w:w="489" w:type="pct"/>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451"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220" w:type="pc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21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p>
        </w:tc>
        <w:tc>
          <w:tcPr>
            <w:tcW w:w="318" w:type="pct"/>
            <w:gridSpan w:val="2"/>
            <w:shd w:val="clear" w:color="auto" w:fill="auto"/>
            <w:noWrap w:val="0"/>
            <w:vAlign w:val="center"/>
          </w:tcPr>
          <w:p>
            <w:pPr>
              <w:spacing w:line="300" w:lineRule="exact"/>
              <w:jc w:val="right"/>
              <w:rPr>
                <w:rFonts w:ascii="方正书宋_GBK" w:eastAsia="方正书宋_GBK"/>
              </w:rPr>
            </w:pPr>
            <w:r>
              <w:rPr>
                <w:rFonts w:ascii="方正书宋_GBK" w:eastAsia="方正书宋_GBK"/>
              </w:rPr>
              <w:t>0.45</w:t>
            </w:r>
          </w:p>
        </w:tc>
        <w:tc>
          <w:tcPr>
            <w:tcW w:w="360"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0.90</w:t>
            </w:r>
          </w:p>
        </w:tc>
        <w:tc>
          <w:tcPr>
            <w:tcW w:w="35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0.90</w:t>
            </w:r>
          </w:p>
        </w:tc>
        <w:tc>
          <w:tcPr>
            <w:tcW w:w="360" w:type="pct"/>
            <w:shd w:val="clear" w:color="auto" w:fill="auto"/>
            <w:noWrap w:val="0"/>
            <w:vAlign w:val="center"/>
          </w:tcPr>
          <w:p>
            <w:pPr>
              <w:spacing w:line="300" w:lineRule="exact"/>
              <w:jc w:val="right"/>
              <w:rPr>
                <w:rFonts w:ascii="方正书宋_GBK" w:eastAsia="方正书宋_GBK"/>
              </w:rPr>
            </w:pPr>
          </w:p>
        </w:tc>
        <w:tc>
          <w:tcPr>
            <w:tcW w:w="358" w:type="pct"/>
            <w:shd w:val="clear" w:color="auto" w:fill="auto"/>
            <w:noWrap w:val="0"/>
            <w:vAlign w:val="center"/>
          </w:tcPr>
          <w:p>
            <w:pPr>
              <w:spacing w:line="300" w:lineRule="exact"/>
              <w:jc w:val="right"/>
              <w:rPr>
                <w:rFonts w:ascii="方正书宋_GBK" w:eastAsia="方正书宋_GBK"/>
              </w:rPr>
            </w:pPr>
          </w:p>
        </w:tc>
        <w:tc>
          <w:tcPr>
            <w:tcW w:w="364" w:type="pct"/>
            <w:shd w:val="clear" w:color="auto" w:fill="auto"/>
            <w:noWrap w:val="0"/>
            <w:vAlign w:val="center"/>
          </w:tcPr>
          <w:p>
            <w:pPr>
              <w:spacing w:line="300" w:lineRule="exact"/>
              <w:jc w:val="right"/>
              <w:rPr>
                <w:rFonts w:ascii="方正书宋_GBK" w:eastAsia="方正书宋_GBK"/>
              </w:rPr>
            </w:pPr>
          </w:p>
        </w:tc>
        <w:tc>
          <w:tcPr>
            <w:tcW w:w="362" w:type="pct"/>
            <w:gridSpan w:val="2"/>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1" w:type="pct"/>
            <w:gridSpan w:val="2"/>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信息化建设区级</w:t>
            </w:r>
          </w:p>
        </w:tc>
        <w:tc>
          <w:tcPr>
            <w:tcW w:w="34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13.50</w:t>
            </w:r>
          </w:p>
        </w:tc>
        <w:tc>
          <w:tcPr>
            <w:tcW w:w="489"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451"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A0201060102</w:t>
            </w:r>
          </w:p>
        </w:tc>
        <w:tc>
          <w:tcPr>
            <w:tcW w:w="220" w:type="pc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21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w:t>
            </w:r>
          </w:p>
        </w:tc>
        <w:tc>
          <w:tcPr>
            <w:tcW w:w="318" w:type="pct"/>
            <w:gridSpan w:val="2"/>
            <w:shd w:val="clear" w:color="auto" w:fill="auto"/>
            <w:noWrap w:val="0"/>
            <w:vAlign w:val="center"/>
          </w:tcPr>
          <w:p>
            <w:pPr>
              <w:spacing w:line="300" w:lineRule="exact"/>
              <w:jc w:val="right"/>
              <w:rPr>
                <w:rFonts w:ascii="方正书宋_GBK" w:eastAsia="方正书宋_GBK"/>
              </w:rPr>
            </w:pPr>
            <w:r>
              <w:rPr>
                <w:rFonts w:ascii="方正书宋_GBK" w:eastAsia="方正书宋_GBK"/>
              </w:rPr>
              <w:t>0.12</w:t>
            </w:r>
          </w:p>
        </w:tc>
        <w:tc>
          <w:tcPr>
            <w:tcW w:w="360"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0.12</w:t>
            </w:r>
          </w:p>
        </w:tc>
        <w:tc>
          <w:tcPr>
            <w:tcW w:w="35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0.12</w:t>
            </w:r>
          </w:p>
        </w:tc>
        <w:tc>
          <w:tcPr>
            <w:tcW w:w="360" w:type="pct"/>
            <w:shd w:val="clear" w:color="auto" w:fill="auto"/>
            <w:noWrap w:val="0"/>
            <w:vAlign w:val="center"/>
          </w:tcPr>
          <w:p>
            <w:pPr>
              <w:spacing w:line="300" w:lineRule="exact"/>
              <w:jc w:val="right"/>
              <w:rPr>
                <w:rFonts w:ascii="方正书宋_GBK" w:eastAsia="方正书宋_GBK"/>
              </w:rPr>
            </w:pPr>
          </w:p>
        </w:tc>
        <w:tc>
          <w:tcPr>
            <w:tcW w:w="358" w:type="pct"/>
            <w:shd w:val="clear" w:color="auto" w:fill="auto"/>
            <w:noWrap w:val="0"/>
            <w:vAlign w:val="center"/>
          </w:tcPr>
          <w:p>
            <w:pPr>
              <w:spacing w:line="300" w:lineRule="exact"/>
              <w:jc w:val="right"/>
              <w:rPr>
                <w:rFonts w:ascii="方正书宋_GBK" w:eastAsia="方正书宋_GBK"/>
              </w:rPr>
            </w:pPr>
          </w:p>
        </w:tc>
        <w:tc>
          <w:tcPr>
            <w:tcW w:w="364" w:type="pct"/>
            <w:shd w:val="clear" w:color="auto" w:fill="auto"/>
            <w:noWrap w:val="0"/>
            <w:vAlign w:val="center"/>
          </w:tcPr>
          <w:p>
            <w:pPr>
              <w:spacing w:line="300" w:lineRule="exact"/>
              <w:jc w:val="right"/>
              <w:rPr>
                <w:rFonts w:ascii="方正书宋_GBK" w:eastAsia="方正书宋_GBK"/>
              </w:rPr>
            </w:pPr>
          </w:p>
        </w:tc>
        <w:tc>
          <w:tcPr>
            <w:tcW w:w="362" w:type="pct"/>
            <w:gridSpan w:val="2"/>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1" w:type="pct"/>
            <w:gridSpan w:val="2"/>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信息化建设区级</w:t>
            </w:r>
          </w:p>
        </w:tc>
        <w:tc>
          <w:tcPr>
            <w:tcW w:w="34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13.50</w:t>
            </w:r>
          </w:p>
        </w:tc>
        <w:tc>
          <w:tcPr>
            <w:tcW w:w="489" w:type="pct"/>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451" w:type="pct"/>
            <w:shd w:val="clear" w:color="auto" w:fill="auto"/>
            <w:noWrap w:val="0"/>
            <w:vAlign w:val="center"/>
          </w:tcPr>
          <w:p>
            <w:pPr>
              <w:spacing w:line="300" w:lineRule="exact"/>
              <w:jc w:val="left"/>
              <w:rPr>
                <w:rFonts w:ascii="方正书宋_GBK" w:eastAsia="方正书宋_GBK"/>
              </w:rPr>
            </w:pPr>
            <w:r>
              <w:rPr>
                <w:rFonts w:ascii="方正书宋_GBK" w:eastAsia="方正书宋_GBK"/>
              </w:rPr>
              <w:t>A0206180203</w:t>
            </w:r>
          </w:p>
        </w:tc>
        <w:tc>
          <w:tcPr>
            <w:tcW w:w="220" w:type="pc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219"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2</w:t>
            </w:r>
          </w:p>
        </w:tc>
        <w:tc>
          <w:tcPr>
            <w:tcW w:w="318" w:type="pct"/>
            <w:gridSpan w:val="2"/>
            <w:shd w:val="clear" w:color="auto" w:fill="auto"/>
            <w:noWrap w:val="0"/>
            <w:vAlign w:val="center"/>
          </w:tcPr>
          <w:p>
            <w:pPr>
              <w:spacing w:line="300" w:lineRule="exact"/>
              <w:jc w:val="right"/>
              <w:rPr>
                <w:rFonts w:ascii="方正书宋_GBK" w:eastAsia="方正书宋_GBK"/>
              </w:rPr>
            </w:pPr>
            <w:r>
              <w:rPr>
                <w:rFonts w:ascii="方正书宋_GBK" w:eastAsia="方正书宋_GBK"/>
              </w:rPr>
              <w:t>0.40</w:t>
            </w:r>
          </w:p>
        </w:tc>
        <w:tc>
          <w:tcPr>
            <w:tcW w:w="360"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0.80</w:t>
            </w:r>
          </w:p>
        </w:tc>
        <w:tc>
          <w:tcPr>
            <w:tcW w:w="358" w:type="pct"/>
            <w:shd w:val="clear" w:color="auto" w:fill="auto"/>
            <w:noWrap w:val="0"/>
            <w:vAlign w:val="center"/>
          </w:tcPr>
          <w:p>
            <w:pPr>
              <w:spacing w:line="300" w:lineRule="exact"/>
              <w:jc w:val="right"/>
              <w:rPr>
                <w:rFonts w:ascii="方正书宋_GBK" w:eastAsia="方正书宋_GBK"/>
              </w:rPr>
            </w:pPr>
            <w:r>
              <w:rPr>
                <w:rFonts w:ascii="方正书宋_GBK" w:eastAsia="方正书宋_GBK"/>
              </w:rPr>
              <w:t>0.80</w:t>
            </w:r>
          </w:p>
        </w:tc>
        <w:tc>
          <w:tcPr>
            <w:tcW w:w="360" w:type="pct"/>
            <w:shd w:val="clear" w:color="auto" w:fill="auto"/>
            <w:noWrap w:val="0"/>
            <w:vAlign w:val="center"/>
          </w:tcPr>
          <w:p>
            <w:pPr>
              <w:spacing w:line="300" w:lineRule="exact"/>
              <w:jc w:val="right"/>
              <w:rPr>
                <w:rFonts w:ascii="方正书宋_GBK" w:eastAsia="方正书宋_GBK"/>
              </w:rPr>
            </w:pPr>
          </w:p>
        </w:tc>
        <w:tc>
          <w:tcPr>
            <w:tcW w:w="358" w:type="pct"/>
            <w:shd w:val="clear" w:color="auto" w:fill="auto"/>
            <w:noWrap w:val="0"/>
            <w:vAlign w:val="center"/>
          </w:tcPr>
          <w:p>
            <w:pPr>
              <w:spacing w:line="300" w:lineRule="exact"/>
              <w:jc w:val="right"/>
              <w:rPr>
                <w:rFonts w:ascii="方正书宋_GBK" w:eastAsia="方正书宋_GBK"/>
              </w:rPr>
            </w:pPr>
          </w:p>
        </w:tc>
        <w:tc>
          <w:tcPr>
            <w:tcW w:w="364" w:type="pct"/>
            <w:shd w:val="clear" w:color="auto" w:fill="auto"/>
            <w:noWrap w:val="0"/>
            <w:vAlign w:val="center"/>
          </w:tcPr>
          <w:p>
            <w:pPr>
              <w:spacing w:line="300" w:lineRule="exact"/>
              <w:jc w:val="right"/>
              <w:rPr>
                <w:rFonts w:ascii="方正书宋_GBK" w:eastAsia="方正书宋_GBK"/>
              </w:rPr>
            </w:pPr>
          </w:p>
        </w:tc>
        <w:tc>
          <w:tcPr>
            <w:tcW w:w="362" w:type="pct"/>
            <w:gridSpan w:val="2"/>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91" w:type="pct"/>
            <w:gridSpan w:val="2"/>
            <w:shd w:val="clear" w:color="auto" w:fill="auto"/>
            <w:noWrap w:val="0"/>
            <w:vAlign w:val="center"/>
          </w:tcPr>
          <w:p>
            <w:pPr>
              <w:spacing w:line="300" w:lineRule="exact"/>
              <w:jc w:val="left"/>
              <w:rPr>
                <w:rFonts w:hint="eastAsia" w:ascii="方正书宋_GBK" w:hAnsi="Calibri" w:eastAsia="方正书宋_GBK" w:cs="Times New Roman"/>
                <w:kern w:val="2"/>
                <w:sz w:val="21"/>
                <w:szCs w:val="22"/>
                <w:lang w:val="en-US" w:eastAsia="zh-CN" w:bidi="ar-SA"/>
              </w:rPr>
            </w:pPr>
            <w:r>
              <w:rPr>
                <w:rFonts w:hint="eastAsia" w:ascii="方正书宋_GBK" w:eastAsia="方正书宋_GBK"/>
              </w:rPr>
              <w:t>信息化建设区级</w:t>
            </w:r>
          </w:p>
        </w:tc>
        <w:tc>
          <w:tcPr>
            <w:tcW w:w="348" w:type="pct"/>
            <w:shd w:val="clear" w:color="auto" w:fill="auto"/>
            <w:noWrap w:val="0"/>
            <w:vAlign w:val="center"/>
          </w:tcPr>
          <w:p>
            <w:pPr>
              <w:spacing w:line="300" w:lineRule="exact"/>
              <w:jc w:val="right"/>
              <w:rPr>
                <w:rFonts w:ascii="方正书宋_GBK" w:hAnsi="Calibri" w:eastAsia="方正书宋_GBK" w:cs="Times New Roman"/>
                <w:kern w:val="2"/>
                <w:sz w:val="21"/>
                <w:szCs w:val="22"/>
                <w:lang w:val="en-US" w:eastAsia="zh-CN" w:bidi="ar-SA"/>
              </w:rPr>
            </w:pPr>
            <w:r>
              <w:rPr>
                <w:rFonts w:ascii="方正书宋_GBK" w:eastAsia="方正书宋_GBK"/>
              </w:rPr>
              <w:t>13.50</w:t>
            </w:r>
          </w:p>
        </w:tc>
        <w:tc>
          <w:tcPr>
            <w:tcW w:w="489" w:type="pct"/>
            <w:shd w:val="clear" w:color="auto" w:fill="auto"/>
            <w:noWrap w:val="0"/>
            <w:vAlign w:val="center"/>
          </w:tcPr>
          <w:p>
            <w:pPr>
              <w:spacing w:line="300" w:lineRule="exact"/>
              <w:jc w:val="left"/>
              <w:rPr>
                <w:rFonts w:hint="eastAsia" w:ascii="方正书宋_GBK" w:hAnsi="Calibri" w:eastAsia="方正书宋_GBK" w:cs="Times New Roman"/>
                <w:kern w:val="2"/>
                <w:sz w:val="21"/>
                <w:szCs w:val="22"/>
                <w:lang w:val="en-US" w:eastAsia="zh-CN" w:bidi="ar-SA"/>
              </w:rPr>
            </w:pPr>
            <w:r>
              <w:rPr>
                <w:rFonts w:hint="eastAsia" w:ascii="方正书宋_GBK" w:eastAsia="方正书宋_GBK"/>
              </w:rPr>
              <w:t>激光打印机</w:t>
            </w:r>
          </w:p>
        </w:tc>
        <w:tc>
          <w:tcPr>
            <w:tcW w:w="451" w:type="pct"/>
            <w:shd w:val="clear" w:color="auto" w:fill="auto"/>
            <w:noWrap w:val="0"/>
            <w:vAlign w:val="center"/>
          </w:tcPr>
          <w:p>
            <w:pPr>
              <w:spacing w:line="300" w:lineRule="exact"/>
              <w:jc w:val="left"/>
              <w:rPr>
                <w:rFonts w:ascii="方正书宋_GBK" w:hAnsi="Calibri" w:eastAsia="方正书宋_GBK" w:cs="Times New Roman"/>
                <w:kern w:val="2"/>
                <w:sz w:val="21"/>
                <w:szCs w:val="22"/>
                <w:lang w:val="en-US" w:eastAsia="zh-CN" w:bidi="ar-SA"/>
              </w:rPr>
            </w:pPr>
            <w:r>
              <w:rPr>
                <w:rFonts w:ascii="方正书宋_GBK" w:eastAsia="方正书宋_GBK"/>
              </w:rPr>
              <w:t>A0201060102</w:t>
            </w:r>
          </w:p>
        </w:tc>
        <w:tc>
          <w:tcPr>
            <w:tcW w:w="220" w:type="pct"/>
            <w:shd w:val="clear" w:color="auto" w:fill="auto"/>
            <w:noWrap w:val="0"/>
            <w:vAlign w:val="center"/>
          </w:tcPr>
          <w:p>
            <w:pPr>
              <w:spacing w:line="300" w:lineRule="exact"/>
              <w:jc w:val="center"/>
              <w:rPr>
                <w:rFonts w:hint="eastAsia" w:ascii="方正书宋_GBK" w:hAnsi="Calibri" w:eastAsia="方正书宋_GBK" w:cs="Times New Roman"/>
                <w:kern w:val="2"/>
                <w:sz w:val="21"/>
                <w:szCs w:val="22"/>
                <w:lang w:val="en-US" w:eastAsia="zh-CN" w:bidi="ar-SA"/>
              </w:rPr>
            </w:pPr>
            <w:r>
              <w:rPr>
                <w:rFonts w:hint="eastAsia" w:ascii="方正书宋_GBK" w:eastAsia="方正书宋_GBK"/>
              </w:rPr>
              <w:t>台</w:t>
            </w:r>
          </w:p>
        </w:tc>
        <w:tc>
          <w:tcPr>
            <w:tcW w:w="219" w:type="pct"/>
            <w:shd w:val="clear" w:color="auto" w:fill="auto"/>
            <w:noWrap w:val="0"/>
            <w:vAlign w:val="center"/>
          </w:tcPr>
          <w:p>
            <w:pPr>
              <w:spacing w:line="300" w:lineRule="exact"/>
              <w:jc w:val="right"/>
              <w:rPr>
                <w:rFonts w:ascii="方正书宋_GBK" w:hAnsi="Calibri" w:eastAsia="方正书宋_GBK" w:cs="Times New Roman"/>
                <w:kern w:val="2"/>
                <w:sz w:val="21"/>
                <w:szCs w:val="22"/>
                <w:lang w:val="en-US" w:eastAsia="zh-CN" w:bidi="ar-SA"/>
              </w:rPr>
            </w:pPr>
            <w:r>
              <w:rPr>
                <w:rFonts w:ascii="方正书宋_GBK" w:eastAsia="方正书宋_GBK"/>
              </w:rPr>
              <w:t>1</w:t>
            </w:r>
          </w:p>
        </w:tc>
        <w:tc>
          <w:tcPr>
            <w:tcW w:w="318" w:type="pct"/>
            <w:gridSpan w:val="2"/>
            <w:shd w:val="clear" w:color="auto" w:fill="auto"/>
            <w:noWrap w:val="0"/>
            <w:vAlign w:val="center"/>
          </w:tcPr>
          <w:p>
            <w:pPr>
              <w:spacing w:line="300" w:lineRule="exact"/>
              <w:jc w:val="right"/>
              <w:rPr>
                <w:rFonts w:ascii="方正书宋_GBK" w:hAnsi="Calibri" w:eastAsia="方正书宋_GBK" w:cs="Times New Roman"/>
                <w:kern w:val="2"/>
                <w:sz w:val="21"/>
                <w:szCs w:val="22"/>
                <w:lang w:val="en-US" w:eastAsia="zh-CN" w:bidi="ar-SA"/>
              </w:rPr>
            </w:pPr>
            <w:r>
              <w:rPr>
                <w:rFonts w:ascii="方正书宋_GBK" w:eastAsia="方正书宋_GBK"/>
              </w:rPr>
              <w:t>0.65</w:t>
            </w:r>
          </w:p>
        </w:tc>
        <w:tc>
          <w:tcPr>
            <w:tcW w:w="360" w:type="pct"/>
            <w:shd w:val="clear" w:color="auto" w:fill="auto"/>
            <w:noWrap w:val="0"/>
            <w:vAlign w:val="center"/>
          </w:tcPr>
          <w:p>
            <w:pPr>
              <w:spacing w:line="300" w:lineRule="exact"/>
              <w:jc w:val="right"/>
              <w:rPr>
                <w:rFonts w:ascii="方正书宋_GBK" w:hAnsi="Calibri" w:eastAsia="方正书宋_GBK" w:cs="Times New Roman"/>
                <w:kern w:val="2"/>
                <w:sz w:val="21"/>
                <w:szCs w:val="22"/>
                <w:lang w:val="en-US" w:eastAsia="zh-CN" w:bidi="ar-SA"/>
              </w:rPr>
            </w:pPr>
            <w:r>
              <w:rPr>
                <w:rFonts w:ascii="方正书宋_GBK" w:eastAsia="方正书宋_GBK"/>
              </w:rPr>
              <w:t>0.65</w:t>
            </w:r>
          </w:p>
        </w:tc>
        <w:tc>
          <w:tcPr>
            <w:tcW w:w="358" w:type="pct"/>
            <w:shd w:val="clear" w:color="auto" w:fill="auto"/>
            <w:noWrap w:val="0"/>
            <w:vAlign w:val="center"/>
          </w:tcPr>
          <w:p>
            <w:pPr>
              <w:spacing w:line="300" w:lineRule="exact"/>
              <w:jc w:val="right"/>
              <w:rPr>
                <w:rFonts w:ascii="方正书宋_GBK" w:hAnsi="Calibri" w:eastAsia="方正书宋_GBK" w:cs="Times New Roman"/>
                <w:kern w:val="2"/>
                <w:sz w:val="21"/>
                <w:szCs w:val="22"/>
                <w:lang w:val="en-US" w:eastAsia="zh-CN" w:bidi="ar-SA"/>
              </w:rPr>
            </w:pPr>
            <w:r>
              <w:rPr>
                <w:rFonts w:ascii="方正书宋_GBK" w:eastAsia="方正书宋_GBK"/>
              </w:rPr>
              <w:t>0.65</w:t>
            </w:r>
          </w:p>
        </w:tc>
        <w:tc>
          <w:tcPr>
            <w:tcW w:w="360" w:type="pct"/>
            <w:shd w:val="clear" w:color="auto" w:fill="auto"/>
            <w:noWrap w:val="0"/>
            <w:vAlign w:val="center"/>
          </w:tcPr>
          <w:p>
            <w:pPr>
              <w:spacing w:line="300" w:lineRule="exact"/>
              <w:jc w:val="right"/>
              <w:rPr>
                <w:rFonts w:ascii="方正书宋_GBK" w:eastAsia="方正书宋_GBK"/>
              </w:rPr>
            </w:pPr>
          </w:p>
        </w:tc>
        <w:tc>
          <w:tcPr>
            <w:tcW w:w="358" w:type="pct"/>
            <w:shd w:val="clear" w:color="auto" w:fill="auto"/>
            <w:noWrap w:val="0"/>
            <w:vAlign w:val="center"/>
          </w:tcPr>
          <w:p>
            <w:pPr>
              <w:spacing w:line="300" w:lineRule="exact"/>
              <w:jc w:val="right"/>
              <w:rPr>
                <w:rFonts w:ascii="方正书宋_GBK" w:eastAsia="方正书宋_GBK"/>
              </w:rPr>
            </w:pPr>
          </w:p>
        </w:tc>
        <w:tc>
          <w:tcPr>
            <w:tcW w:w="364" w:type="pct"/>
            <w:shd w:val="clear" w:color="auto" w:fill="auto"/>
            <w:noWrap w:val="0"/>
            <w:vAlign w:val="center"/>
          </w:tcPr>
          <w:p>
            <w:pPr>
              <w:spacing w:line="300" w:lineRule="exact"/>
              <w:jc w:val="right"/>
              <w:rPr>
                <w:rFonts w:ascii="方正书宋_GBK" w:eastAsia="方正书宋_GBK"/>
              </w:rPr>
            </w:pPr>
          </w:p>
        </w:tc>
        <w:tc>
          <w:tcPr>
            <w:tcW w:w="362" w:type="pct"/>
            <w:gridSpan w:val="2"/>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bookmarkEnd w:id="2"/>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七、国有资产信息</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180.6</w:t>
      </w:r>
      <w:r>
        <w:rPr>
          <w:rFonts w:hint="eastAsia" w:ascii="仿宋_GB2312" w:hAnsi="仿宋_GB2312" w:eastAsia="仿宋_GB2312" w:cs="仿宋_GB2312"/>
          <w:sz w:val="32"/>
          <w:szCs w:val="32"/>
        </w:rPr>
        <w:t>万元（详见下表），本年度拟购置固定资产主要为计算机设备、空调设备</w:t>
      </w:r>
      <w:r>
        <w:rPr>
          <w:rFonts w:hint="eastAsia" w:ascii="仿宋_GB2312" w:hAnsi="仿宋_GB2312" w:eastAsia="仿宋_GB2312" w:cs="仿宋_GB2312"/>
          <w:sz w:val="32"/>
          <w:szCs w:val="32"/>
          <w:lang w:eastAsia="zh-CN"/>
        </w:rPr>
        <w:t>、打印机</w:t>
      </w:r>
      <w:r>
        <w:rPr>
          <w:rFonts w:hint="eastAsia" w:ascii="仿宋_GB2312" w:hAnsi="仿宋_GB2312" w:eastAsia="仿宋_GB2312" w:cs="仿宋_GB2312"/>
          <w:sz w:val="32"/>
          <w:szCs w:val="32"/>
        </w:rPr>
        <w:t>等,合计2.</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万元，已列入政府采购预算。</w:t>
      </w:r>
    </w:p>
    <w:p>
      <w:pPr>
        <w:adjustRightInd w:val="0"/>
        <w:snapToGrid w:val="0"/>
        <w:spacing w:line="560" w:lineRule="exact"/>
        <w:ind w:firstLine="640" w:firstLineChars="200"/>
        <w:rPr>
          <w:rFonts w:ascii="仿宋_GB2312" w:hAnsi="仿宋_GB2312" w:eastAsia="仿宋_GB2312" w:cs="仿宋_GB2312"/>
          <w:sz w:val="32"/>
          <w:szCs w:val="32"/>
        </w:rPr>
      </w:pP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 w:hAnsi="仿宋" w:eastAsia="仿宋"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编制部门：人大</w:t>
            </w:r>
          </w:p>
        </w:tc>
        <w:tc>
          <w:tcPr>
            <w:tcW w:w="5103" w:type="dxa"/>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截止时间：20</w:t>
            </w:r>
            <w:r>
              <w:rPr>
                <w:rFonts w:hint="eastAsia" w:ascii="宋体" w:hAnsi="宋体" w:cs="宋体"/>
                <w:kern w:val="0"/>
                <w:szCs w:val="21"/>
                <w:lang w:val="en-US" w:eastAsia="zh-CN"/>
              </w:rPr>
              <w:t>20</w:t>
            </w:r>
            <w:r>
              <w:rPr>
                <w:rFonts w:hint="eastAsia" w:ascii="宋体" w:hAnsi="宋体" w:cs="宋体"/>
                <w:kern w:val="0"/>
                <w:szCs w:val="21"/>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ind w:firstLine="2205" w:firstLineChars="1050"/>
              <w:rPr>
                <w:rFonts w:hint="default" w:ascii="宋体" w:hAnsi="宋体" w:eastAsia="宋体" w:cs="宋体"/>
                <w:kern w:val="0"/>
                <w:szCs w:val="21"/>
                <w:lang w:val="en-US" w:eastAsia="zh-CN"/>
              </w:rPr>
            </w:pPr>
            <w:r>
              <w:rPr>
                <w:rFonts w:hint="eastAsia" w:ascii="宋体" w:hAnsi="宋体" w:cs="宋体"/>
                <w:kern w:val="0"/>
                <w:szCs w:val="21"/>
                <w:lang w:val="en-US" w:eastAsia="zh-CN"/>
              </w:rPr>
              <w:t>180.6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（二）汽车（台、辆）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85.98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（三）单价在20万元以上的设备（台、套…）</w:t>
            </w:r>
          </w:p>
        </w:tc>
        <w:tc>
          <w:tcPr>
            <w:tcW w:w="3155" w:type="dxa"/>
            <w:tcBorders>
              <w:top w:val="nil"/>
              <w:left w:val="nil"/>
              <w:bottom w:val="single" w:color="auto" w:sz="4" w:space="0"/>
              <w:right w:val="single" w:color="auto" w:sz="4" w:space="0"/>
            </w:tcBorders>
            <w:vAlign w:val="center"/>
          </w:tcPr>
          <w:p>
            <w:pPr>
              <w:widowControl/>
              <w:ind w:firstLine="1365" w:firstLineChars="650"/>
              <w:rPr>
                <w:rFonts w:ascii="宋体" w:hAnsi="宋体" w:cs="宋体"/>
                <w:kern w:val="0"/>
                <w:szCs w:val="21"/>
              </w:rPr>
            </w:pPr>
          </w:p>
        </w:tc>
        <w:tc>
          <w:tcPr>
            <w:tcW w:w="5103" w:type="dxa"/>
            <w:tcBorders>
              <w:top w:val="nil"/>
              <w:left w:val="nil"/>
              <w:bottom w:val="single" w:color="auto" w:sz="4" w:space="0"/>
              <w:right w:val="single" w:color="auto" w:sz="4" w:space="0"/>
            </w:tcBorders>
            <w:vAlign w:val="center"/>
          </w:tcPr>
          <w:p>
            <w:pPr>
              <w:widowControl/>
              <w:ind w:firstLine="2205" w:firstLineChars="1050"/>
              <w:rPr>
                <w:rFonts w:ascii="宋体" w:hAnsi="宋体" w:cs="宋体"/>
                <w:kern w:val="0"/>
                <w:szCs w:val="21"/>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rPr>
              <w:t>94.62</w:t>
            </w:r>
          </w:p>
        </w:tc>
      </w:tr>
    </w:tbl>
    <w:p>
      <w:pPr>
        <w:adjustRightInd w:val="0"/>
        <w:snapToGrid w:val="0"/>
        <w:spacing w:line="560" w:lineRule="exact"/>
        <w:rPr>
          <w:rFonts w:ascii="黑体" w:hAnsi="黑体" w:eastAsia="黑体"/>
          <w:b/>
          <w:sz w:val="32"/>
          <w:szCs w:val="32"/>
        </w:rPr>
      </w:pPr>
    </w:p>
    <w:p>
      <w:pPr>
        <w:adjustRightInd w:val="0"/>
        <w:snapToGrid w:val="0"/>
        <w:spacing w:line="560" w:lineRule="exact"/>
        <w:ind w:firstLine="627" w:firstLineChars="196"/>
        <w:rPr>
          <w:rFonts w:ascii="黑体" w:hAnsi="黑体" w:eastAsia="黑体"/>
          <w:sz w:val="32"/>
          <w:szCs w:val="32"/>
        </w:rPr>
      </w:pPr>
      <w:r>
        <w:rPr>
          <w:rFonts w:hint="eastAsia" w:ascii="黑体" w:hAnsi="黑体" w:eastAsia="黑体"/>
          <w:sz w:val="32"/>
          <w:szCs w:val="32"/>
        </w:rPr>
        <w:t>八、其他重要事项的情况说明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1、开平区人大20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年部门预算中未安排政府性基金预算，故政府性基金预算支出表为空。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2、开平区人大20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年部门预算中未安排国有资本经营预算，故国有资本经营预算支出表为空。</w:t>
      </w:r>
    </w:p>
    <w:p>
      <w:pPr>
        <w:autoSpaceDE w:val="0"/>
        <w:autoSpaceDN w:val="0"/>
        <w:adjustRightInd w:val="0"/>
        <w:ind w:firstLine="627" w:firstLineChars="196"/>
        <w:jc w:val="left"/>
        <w:rPr>
          <w:rFonts w:ascii="黑体" w:hAnsi="黑体" w:eastAsia="黑体"/>
          <w:sz w:val="32"/>
          <w:szCs w:val="32"/>
        </w:rPr>
      </w:pPr>
      <w:r>
        <w:rPr>
          <w:rFonts w:hint="eastAsia" w:ascii="黑体" w:hAnsi="黑体" w:eastAsia="黑体"/>
          <w:sz w:val="32"/>
          <w:szCs w:val="32"/>
        </w:rPr>
        <w:t>九、名词解释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1、一般共预算拨款收入：指财政当年拨付的资金。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2、事业收入：指事业单位开展专业业务活动及辅助活动所取得的收入。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3、其他收入：指除上述“财政拨款收入”、“事业收入”等以外的收入。主要是按规定动用的租房收入、存款利息收入等。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4、基本支出：指为保障机构正常运转、完成日常工作任务而发生的人员支出和公用支出。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5、项目支出：指在基本支出之外为完成特定行政任务和事业发展目标所发生的支出。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6、上缴上级支出：指所属单位上缴上级的支出。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hAnsi="仿宋_GB2312" w:eastAsia="仿宋_GB2312" w:cs="仿宋_GB2312"/>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45CD5"/>
    <w:multiLevelType w:val="singleLevel"/>
    <w:tmpl w:val="59545CD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36324"/>
    <w:rsid w:val="00037AF6"/>
    <w:rsid w:val="00056C4D"/>
    <w:rsid w:val="00075D5F"/>
    <w:rsid w:val="00080D8E"/>
    <w:rsid w:val="00081E99"/>
    <w:rsid w:val="00082FCC"/>
    <w:rsid w:val="00090D27"/>
    <w:rsid w:val="000A1B7A"/>
    <w:rsid w:val="000A1D38"/>
    <w:rsid w:val="000B10B2"/>
    <w:rsid w:val="000B1D59"/>
    <w:rsid w:val="000B3E8D"/>
    <w:rsid w:val="000C3A19"/>
    <w:rsid w:val="000D5763"/>
    <w:rsid w:val="000E54F0"/>
    <w:rsid w:val="000E770F"/>
    <w:rsid w:val="000F49E8"/>
    <w:rsid w:val="00103A80"/>
    <w:rsid w:val="00117D6A"/>
    <w:rsid w:val="00123B25"/>
    <w:rsid w:val="001245BB"/>
    <w:rsid w:val="001553DF"/>
    <w:rsid w:val="00166D9F"/>
    <w:rsid w:val="00182F64"/>
    <w:rsid w:val="001B26C7"/>
    <w:rsid w:val="001C198E"/>
    <w:rsid w:val="001C2FEE"/>
    <w:rsid w:val="001C7ED0"/>
    <w:rsid w:val="001D4ABD"/>
    <w:rsid w:val="001E6C7A"/>
    <w:rsid w:val="001F633D"/>
    <w:rsid w:val="002064C0"/>
    <w:rsid w:val="002210CD"/>
    <w:rsid w:val="00241825"/>
    <w:rsid w:val="00241FD4"/>
    <w:rsid w:val="00251B12"/>
    <w:rsid w:val="00265559"/>
    <w:rsid w:val="0029436F"/>
    <w:rsid w:val="00296113"/>
    <w:rsid w:val="002F3E58"/>
    <w:rsid w:val="002F4B7E"/>
    <w:rsid w:val="002F5BFE"/>
    <w:rsid w:val="0030542C"/>
    <w:rsid w:val="00307414"/>
    <w:rsid w:val="00311B7A"/>
    <w:rsid w:val="00314C7B"/>
    <w:rsid w:val="00327417"/>
    <w:rsid w:val="00333158"/>
    <w:rsid w:val="00356A21"/>
    <w:rsid w:val="003812B4"/>
    <w:rsid w:val="00396F77"/>
    <w:rsid w:val="004073C2"/>
    <w:rsid w:val="00413BE0"/>
    <w:rsid w:val="0042055F"/>
    <w:rsid w:val="00423078"/>
    <w:rsid w:val="004404F7"/>
    <w:rsid w:val="0044398C"/>
    <w:rsid w:val="00451871"/>
    <w:rsid w:val="00472923"/>
    <w:rsid w:val="00480C03"/>
    <w:rsid w:val="004B7156"/>
    <w:rsid w:val="004D56B6"/>
    <w:rsid w:val="004E0EF1"/>
    <w:rsid w:val="004E3066"/>
    <w:rsid w:val="004E74CD"/>
    <w:rsid w:val="004E7DA5"/>
    <w:rsid w:val="004F13EF"/>
    <w:rsid w:val="00517FBC"/>
    <w:rsid w:val="00522D4E"/>
    <w:rsid w:val="00535E69"/>
    <w:rsid w:val="00573562"/>
    <w:rsid w:val="00577AA5"/>
    <w:rsid w:val="005814EC"/>
    <w:rsid w:val="005A2D8A"/>
    <w:rsid w:val="005B3135"/>
    <w:rsid w:val="00606BC7"/>
    <w:rsid w:val="00606CC2"/>
    <w:rsid w:val="00612C3C"/>
    <w:rsid w:val="00614A29"/>
    <w:rsid w:val="0062537E"/>
    <w:rsid w:val="00656295"/>
    <w:rsid w:val="00657528"/>
    <w:rsid w:val="0067032D"/>
    <w:rsid w:val="006B5530"/>
    <w:rsid w:val="006D20CF"/>
    <w:rsid w:val="006E3FDA"/>
    <w:rsid w:val="0070622F"/>
    <w:rsid w:val="00711912"/>
    <w:rsid w:val="00723E91"/>
    <w:rsid w:val="00737CDD"/>
    <w:rsid w:val="0075393C"/>
    <w:rsid w:val="00761C46"/>
    <w:rsid w:val="00766851"/>
    <w:rsid w:val="00776C08"/>
    <w:rsid w:val="0079782E"/>
    <w:rsid w:val="007A55DF"/>
    <w:rsid w:val="007A6854"/>
    <w:rsid w:val="007B01DB"/>
    <w:rsid w:val="007B10B6"/>
    <w:rsid w:val="007E1DA8"/>
    <w:rsid w:val="007F26FF"/>
    <w:rsid w:val="007F6C26"/>
    <w:rsid w:val="00800C1F"/>
    <w:rsid w:val="00825E81"/>
    <w:rsid w:val="008322D6"/>
    <w:rsid w:val="008334AE"/>
    <w:rsid w:val="00836FED"/>
    <w:rsid w:val="008375B1"/>
    <w:rsid w:val="00844DEE"/>
    <w:rsid w:val="00845CD2"/>
    <w:rsid w:val="00852B0D"/>
    <w:rsid w:val="00877736"/>
    <w:rsid w:val="00881692"/>
    <w:rsid w:val="00886E79"/>
    <w:rsid w:val="00887B5F"/>
    <w:rsid w:val="008B3CC5"/>
    <w:rsid w:val="008C218F"/>
    <w:rsid w:val="008C29C6"/>
    <w:rsid w:val="008D707A"/>
    <w:rsid w:val="008E4261"/>
    <w:rsid w:val="008F04A5"/>
    <w:rsid w:val="008F3E86"/>
    <w:rsid w:val="008F4662"/>
    <w:rsid w:val="008F4C22"/>
    <w:rsid w:val="00905D08"/>
    <w:rsid w:val="0091063B"/>
    <w:rsid w:val="00912975"/>
    <w:rsid w:val="00917B7A"/>
    <w:rsid w:val="00925753"/>
    <w:rsid w:val="00933B66"/>
    <w:rsid w:val="009378B9"/>
    <w:rsid w:val="00955D57"/>
    <w:rsid w:val="00966C5C"/>
    <w:rsid w:val="009712E7"/>
    <w:rsid w:val="00973104"/>
    <w:rsid w:val="0098184C"/>
    <w:rsid w:val="009838A6"/>
    <w:rsid w:val="00994799"/>
    <w:rsid w:val="009B7FE2"/>
    <w:rsid w:val="009D1BE2"/>
    <w:rsid w:val="009E187B"/>
    <w:rsid w:val="009E599F"/>
    <w:rsid w:val="009F0C9A"/>
    <w:rsid w:val="009F7BA8"/>
    <w:rsid w:val="00A1605F"/>
    <w:rsid w:val="00A30778"/>
    <w:rsid w:val="00A30AA0"/>
    <w:rsid w:val="00A53B2A"/>
    <w:rsid w:val="00A55D34"/>
    <w:rsid w:val="00A71188"/>
    <w:rsid w:val="00A72D2E"/>
    <w:rsid w:val="00A911E7"/>
    <w:rsid w:val="00A93511"/>
    <w:rsid w:val="00A939D9"/>
    <w:rsid w:val="00AC3FF8"/>
    <w:rsid w:val="00AC60A6"/>
    <w:rsid w:val="00B15333"/>
    <w:rsid w:val="00B1667B"/>
    <w:rsid w:val="00B20712"/>
    <w:rsid w:val="00B43238"/>
    <w:rsid w:val="00B46B94"/>
    <w:rsid w:val="00B61E37"/>
    <w:rsid w:val="00B67BAF"/>
    <w:rsid w:val="00B70D67"/>
    <w:rsid w:val="00B74732"/>
    <w:rsid w:val="00B75216"/>
    <w:rsid w:val="00B75AB3"/>
    <w:rsid w:val="00B76E8E"/>
    <w:rsid w:val="00B91D52"/>
    <w:rsid w:val="00BA0A88"/>
    <w:rsid w:val="00BA1ACD"/>
    <w:rsid w:val="00BA2F3C"/>
    <w:rsid w:val="00BA4F97"/>
    <w:rsid w:val="00BB2232"/>
    <w:rsid w:val="00BB2E58"/>
    <w:rsid w:val="00BB4DC9"/>
    <w:rsid w:val="00BC77B3"/>
    <w:rsid w:val="00BD5516"/>
    <w:rsid w:val="00C03667"/>
    <w:rsid w:val="00C11EA4"/>
    <w:rsid w:val="00C14C09"/>
    <w:rsid w:val="00C17D6D"/>
    <w:rsid w:val="00C216AB"/>
    <w:rsid w:val="00C33F63"/>
    <w:rsid w:val="00C579F5"/>
    <w:rsid w:val="00C967EF"/>
    <w:rsid w:val="00CA4941"/>
    <w:rsid w:val="00CA7176"/>
    <w:rsid w:val="00CC163D"/>
    <w:rsid w:val="00CD029C"/>
    <w:rsid w:val="00CD2773"/>
    <w:rsid w:val="00CE143B"/>
    <w:rsid w:val="00D04133"/>
    <w:rsid w:val="00D10CB8"/>
    <w:rsid w:val="00D14760"/>
    <w:rsid w:val="00D516DA"/>
    <w:rsid w:val="00D74B13"/>
    <w:rsid w:val="00D77177"/>
    <w:rsid w:val="00D85EB3"/>
    <w:rsid w:val="00D9574F"/>
    <w:rsid w:val="00DA41CE"/>
    <w:rsid w:val="00DA6675"/>
    <w:rsid w:val="00DB5917"/>
    <w:rsid w:val="00E05D2A"/>
    <w:rsid w:val="00E123CD"/>
    <w:rsid w:val="00E167C7"/>
    <w:rsid w:val="00E17747"/>
    <w:rsid w:val="00E236D7"/>
    <w:rsid w:val="00E24AE6"/>
    <w:rsid w:val="00E27CCD"/>
    <w:rsid w:val="00E330C3"/>
    <w:rsid w:val="00E33CFE"/>
    <w:rsid w:val="00E34C0E"/>
    <w:rsid w:val="00E402FB"/>
    <w:rsid w:val="00E60BFB"/>
    <w:rsid w:val="00E86FCB"/>
    <w:rsid w:val="00E90844"/>
    <w:rsid w:val="00E953D7"/>
    <w:rsid w:val="00E9652D"/>
    <w:rsid w:val="00EA002E"/>
    <w:rsid w:val="00EA7E7F"/>
    <w:rsid w:val="00EB1283"/>
    <w:rsid w:val="00EC06DD"/>
    <w:rsid w:val="00EC47F6"/>
    <w:rsid w:val="00ED2F00"/>
    <w:rsid w:val="00ED509F"/>
    <w:rsid w:val="00F41B31"/>
    <w:rsid w:val="00F45FE0"/>
    <w:rsid w:val="00F602DD"/>
    <w:rsid w:val="00F61758"/>
    <w:rsid w:val="00F66032"/>
    <w:rsid w:val="00F82119"/>
    <w:rsid w:val="00F958C2"/>
    <w:rsid w:val="00FB19FD"/>
    <w:rsid w:val="00FC227B"/>
    <w:rsid w:val="00FD0602"/>
    <w:rsid w:val="00FD0B25"/>
    <w:rsid w:val="01272C9A"/>
    <w:rsid w:val="09CF6D79"/>
    <w:rsid w:val="0F0A25E5"/>
    <w:rsid w:val="16B6289C"/>
    <w:rsid w:val="188673A3"/>
    <w:rsid w:val="1CAE70B9"/>
    <w:rsid w:val="1CC57881"/>
    <w:rsid w:val="203F6D16"/>
    <w:rsid w:val="279F7330"/>
    <w:rsid w:val="27FA6170"/>
    <w:rsid w:val="2A02464E"/>
    <w:rsid w:val="2C1D6AF4"/>
    <w:rsid w:val="2D453CE5"/>
    <w:rsid w:val="320902E3"/>
    <w:rsid w:val="34C9116D"/>
    <w:rsid w:val="38F054DD"/>
    <w:rsid w:val="40650357"/>
    <w:rsid w:val="435A6ADB"/>
    <w:rsid w:val="4525520D"/>
    <w:rsid w:val="471E6699"/>
    <w:rsid w:val="4FCA2F2A"/>
    <w:rsid w:val="505329BD"/>
    <w:rsid w:val="550871CE"/>
    <w:rsid w:val="55EB450F"/>
    <w:rsid w:val="59B57B52"/>
    <w:rsid w:val="5A386D56"/>
    <w:rsid w:val="5B8B3B9B"/>
    <w:rsid w:val="5DC55CAC"/>
    <w:rsid w:val="61E416EA"/>
    <w:rsid w:val="63BB02EE"/>
    <w:rsid w:val="648F32C0"/>
    <w:rsid w:val="653C0982"/>
    <w:rsid w:val="6DC802EC"/>
    <w:rsid w:val="724A4271"/>
    <w:rsid w:val="757A0AAC"/>
    <w:rsid w:val="765643B6"/>
    <w:rsid w:val="781D3C84"/>
    <w:rsid w:val="79B94DDD"/>
    <w:rsid w:val="79C37EDF"/>
    <w:rsid w:val="7BD5274F"/>
    <w:rsid w:val="7CFB35E7"/>
    <w:rsid w:val="7D6042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imes New Roman" w:hAnsi="Times New Roman"/>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4">
    <w:name w:val="toc 1"/>
    <w:basedOn w:val="1"/>
    <w:next w:val="1"/>
    <w:qFormat/>
    <w:uiPriority w:val="99"/>
    <w:rPr>
      <w:rFonts w:ascii="Times New Roman" w:hAnsi="Times New Roman"/>
      <w:szCs w:val="24"/>
    </w:rPr>
  </w:style>
  <w:style w:type="paragraph" w:styleId="5">
    <w:name w:val="toc 2"/>
    <w:basedOn w:val="1"/>
    <w:next w:val="1"/>
    <w:qFormat/>
    <w:uiPriority w:val="99"/>
    <w:pPr>
      <w:ind w:left="420" w:leftChars="200"/>
    </w:pPr>
    <w:rPr>
      <w:rFonts w:ascii="Times New Roman" w:hAnsi="Times New Roman"/>
      <w:szCs w:val="24"/>
    </w:rPr>
  </w:style>
  <w:style w:type="paragraph" w:styleId="6">
    <w:name w:val="Normal (Web)"/>
    <w:basedOn w:val="1"/>
    <w:unhideWhenUsed/>
    <w:qFormat/>
    <w:locked/>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脚 Char"/>
    <w:basedOn w:val="8"/>
    <w:link w:val="2"/>
    <w:qFormat/>
    <w:locked/>
    <w:uiPriority w:val="99"/>
    <w:rPr>
      <w:rFonts w:ascii="Times New Roman" w:hAnsi="Times New Roman" w:eastAsia="宋体" w:cs="Times New Roman"/>
      <w:sz w:val="18"/>
      <w:szCs w:val="18"/>
    </w:rPr>
  </w:style>
  <w:style w:type="character" w:customStyle="1" w:styleId="10">
    <w:name w:val="页眉 Char"/>
    <w:basedOn w:val="8"/>
    <w:link w:val="3"/>
    <w:qFormat/>
    <w:locked/>
    <w:uiPriority w:val="99"/>
    <w:rPr>
      <w:rFonts w:ascii="Times New Roman" w:hAnsi="Times New Roman" w:eastAsia="宋体" w:cs="Times New Roman"/>
      <w:sz w:val="18"/>
      <w:szCs w:val="18"/>
    </w:rPr>
  </w:style>
  <w:style w:type="paragraph" w:customStyle="1" w:styleId="11">
    <w:name w:val="Char"/>
    <w:basedOn w:val="1"/>
    <w:qFormat/>
    <w:uiPriority w:val="99"/>
    <w:pPr>
      <w:widowControl/>
      <w:spacing w:after="160" w:line="240" w:lineRule="exact"/>
      <w:jc w:val="left"/>
    </w:pPr>
    <w:rPr>
      <w:rFonts w:ascii="Times New Roman" w:hAnsi="Times New Roman"/>
      <w:szCs w:val="24"/>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844B0-CD7F-4BA1-AEC4-BA43904A29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650</Words>
  <Characters>3711</Characters>
  <Lines>30</Lines>
  <Paragraphs>8</Paragraphs>
  <TotalTime>0</TotalTime>
  <ScaleCrop>false</ScaleCrop>
  <LinksUpToDate>false</LinksUpToDate>
  <CharactersWithSpaces>4353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2017-06-13T06:58:00Z</dcterms:created>
  <dc:creator>guest</dc:creator>
  <cp:lastModifiedBy>Administrator</cp:lastModifiedBy>
  <dcterms:modified xsi:type="dcterms:W3CDTF">2025-01-06T09:03:03Z</dcterms:modified>
  <dc:title>河北省2017年部门预算信息公开</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DB36284C13974A149F98CD3EC28D4DBE</vt:lpwstr>
  </property>
</Properties>
</file>