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2_2_0000000001"/>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271"/>
        <w:gridCol w:w="1451"/>
        <w:gridCol w:w="3034"/>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2" w:type="dxa"/>
            <w:gridSpan w:val="2"/>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451" w:type="dxa"/>
            <w:tcBorders>
              <w:top w:val="single" w:color="FFFFFF" w:sz="6" w:space="0"/>
              <w:left w:val="single" w:color="FFFFFF" w:sz="6" w:space="0"/>
              <w:right w:val="single" w:color="FFFFFF" w:sz="6" w:space="0"/>
            </w:tcBorders>
            <w:vAlign w:val="center"/>
          </w:tcPr>
          <w:p>
            <w:pPr>
              <w:pStyle w:val="8"/>
            </w:pPr>
            <w:r>
              <w:t>预算年度：2022</w:t>
            </w:r>
          </w:p>
        </w:tc>
        <w:tc>
          <w:tcPr>
            <w:tcW w:w="4326"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971" w:type="dxa"/>
            <w:vMerge w:val="restart"/>
            <w:vAlign w:val="center"/>
          </w:tcPr>
          <w:p>
            <w:pPr>
              <w:pStyle w:val="10"/>
            </w:pPr>
            <w:r>
              <w:t>序号</w:t>
            </w:r>
          </w:p>
        </w:tc>
        <w:tc>
          <w:tcPr>
            <w:tcW w:w="4722" w:type="dxa"/>
            <w:gridSpan w:val="2"/>
            <w:vAlign w:val="center"/>
          </w:tcPr>
          <w:p>
            <w:pPr>
              <w:pStyle w:val="10"/>
            </w:pPr>
            <w:r>
              <w:t>收入</w:t>
            </w:r>
          </w:p>
        </w:tc>
        <w:tc>
          <w:tcPr>
            <w:tcW w:w="432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271" w:type="dxa"/>
            <w:vAlign w:val="center"/>
          </w:tcPr>
          <w:p>
            <w:pPr>
              <w:pStyle w:val="10"/>
            </w:pPr>
            <w:r>
              <w:t>项  目</w:t>
            </w:r>
          </w:p>
        </w:tc>
        <w:tc>
          <w:tcPr>
            <w:tcW w:w="1451" w:type="dxa"/>
            <w:vAlign w:val="center"/>
          </w:tcPr>
          <w:p>
            <w:pPr>
              <w:pStyle w:val="10"/>
            </w:pPr>
            <w:r>
              <w:t>预算数</w:t>
            </w:r>
          </w:p>
        </w:tc>
        <w:tc>
          <w:tcPr>
            <w:tcW w:w="3034" w:type="dxa"/>
            <w:vAlign w:val="center"/>
          </w:tcPr>
          <w:p>
            <w:pPr>
              <w:pStyle w:val="10"/>
            </w:pPr>
            <w:r>
              <w:t>项  目</w:t>
            </w:r>
          </w:p>
        </w:tc>
        <w:tc>
          <w:tcPr>
            <w:tcW w:w="129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3271" w:type="dxa"/>
            <w:vAlign w:val="center"/>
          </w:tcPr>
          <w:p>
            <w:pPr>
              <w:pStyle w:val="10"/>
            </w:pPr>
            <w:r>
              <w:t>1</w:t>
            </w:r>
          </w:p>
        </w:tc>
        <w:tc>
          <w:tcPr>
            <w:tcW w:w="1451" w:type="dxa"/>
            <w:vAlign w:val="center"/>
          </w:tcPr>
          <w:p>
            <w:pPr>
              <w:pStyle w:val="10"/>
            </w:pPr>
            <w:r>
              <w:t>2</w:t>
            </w:r>
          </w:p>
        </w:tc>
        <w:tc>
          <w:tcPr>
            <w:tcW w:w="3034" w:type="dxa"/>
            <w:vAlign w:val="center"/>
          </w:tcPr>
          <w:p>
            <w:pPr>
              <w:pStyle w:val="10"/>
            </w:pPr>
            <w:r>
              <w:t>3</w:t>
            </w:r>
          </w:p>
        </w:tc>
        <w:tc>
          <w:tcPr>
            <w:tcW w:w="129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w:t>
            </w:r>
          </w:p>
        </w:tc>
        <w:tc>
          <w:tcPr>
            <w:tcW w:w="3271" w:type="dxa"/>
            <w:vAlign w:val="center"/>
          </w:tcPr>
          <w:p>
            <w:pPr>
              <w:pStyle w:val="12"/>
            </w:pPr>
            <w:r>
              <w:t>一、一般公共预算拨款收入</w:t>
            </w:r>
          </w:p>
        </w:tc>
        <w:tc>
          <w:tcPr>
            <w:tcW w:w="1451" w:type="dxa"/>
            <w:vAlign w:val="center"/>
          </w:tcPr>
          <w:p>
            <w:pPr>
              <w:pStyle w:val="11"/>
            </w:pPr>
            <w:r>
              <w:t>620.36</w:t>
            </w:r>
          </w:p>
        </w:tc>
        <w:tc>
          <w:tcPr>
            <w:tcW w:w="3034" w:type="dxa"/>
            <w:vAlign w:val="center"/>
          </w:tcPr>
          <w:p>
            <w:pPr>
              <w:pStyle w:val="12"/>
            </w:pPr>
            <w:r>
              <w:t>一、一般公共服务支出</w:t>
            </w:r>
          </w:p>
        </w:tc>
        <w:tc>
          <w:tcPr>
            <w:tcW w:w="1292" w:type="dxa"/>
            <w:vAlign w:val="center"/>
          </w:tcPr>
          <w:p>
            <w:pPr>
              <w:pStyle w:val="11"/>
            </w:pPr>
            <w:r>
              <w:t>512.60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w:t>
            </w:r>
          </w:p>
        </w:tc>
        <w:tc>
          <w:tcPr>
            <w:tcW w:w="3271" w:type="dxa"/>
            <w:vAlign w:val="center"/>
          </w:tcPr>
          <w:p>
            <w:pPr>
              <w:pStyle w:val="12"/>
            </w:pPr>
            <w:r>
              <w:t>二、政府性基金预算拨款收入</w:t>
            </w:r>
          </w:p>
        </w:tc>
        <w:tc>
          <w:tcPr>
            <w:tcW w:w="1451" w:type="dxa"/>
            <w:vAlign w:val="center"/>
          </w:tcPr>
          <w:p>
            <w:pPr>
              <w:pStyle w:val="11"/>
            </w:pPr>
          </w:p>
        </w:tc>
        <w:tc>
          <w:tcPr>
            <w:tcW w:w="3034" w:type="dxa"/>
            <w:vAlign w:val="center"/>
          </w:tcPr>
          <w:p>
            <w:pPr>
              <w:pStyle w:val="12"/>
            </w:pPr>
            <w:r>
              <w:t>二、外交支出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w:t>
            </w:r>
          </w:p>
        </w:tc>
        <w:tc>
          <w:tcPr>
            <w:tcW w:w="3271" w:type="dxa"/>
            <w:vAlign w:val="center"/>
          </w:tcPr>
          <w:p>
            <w:pPr>
              <w:pStyle w:val="12"/>
            </w:pPr>
            <w:r>
              <w:t>三、国有资本经营预算拨款收入</w:t>
            </w:r>
          </w:p>
        </w:tc>
        <w:tc>
          <w:tcPr>
            <w:tcW w:w="1451" w:type="dxa"/>
            <w:vAlign w:val="center"/>
          </w:tcPr>
          <w:p>
            <w:pPr>
              <w:pStyle w:val="11"/>
            </w:pPr>
          </w:p>
        </w:tc>
        <w:tc>
          <w:tcPr>
            <w:tcW w:w="3034" w:type="dxa"/>
            <w:vAlign w:val="center"/>
          </w:tcPr>
          <w:p>
            <w:pPr>
              <w:pStyle w:val="12"/>
            </w:pPr>
            <w:r>
              <w:t>三、国防支出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4</w:t>
            </w:r>
          </w:p>
        </w:tc>
        <w:tc>
          <w:tcPr>
            <w:tcW w:w="3271" w:type="dxa"/>
            <w:vAlign w:val="center"/>
          </w:tcPr>
          <w:p>
            <w:pPr>
              <w:pStyle w:val="12"/>
            </w:pPr>
            <w:r>
              <w:t>四、财政专户管理资金收入</w:t>
            </w:r>
          </w:p>
        </w:tc>
        <w:tc>
          <w:tcPr>
            <w:tcW w:w="1451" w:type="dxa"/>
            <w:vAlign w:val="center"/>
          </w:tcPr>
          <w:p>
            <w:pPr>
              <w:pStyle w:val="11"/>
            </w:pPr>
          </w:p>
        </w:tc>
        <w:tc>
          <w:tcPr>
            <w:tcW w:w="3034" w:type="dxa"/>
            <w:vAlign w:val="center"/>
          </w:tcPr>
          <w:p>
            <w:pPr>
              <w:pStyle w:val="12"/>
            </w:pPr>
            <w:r>
              <w:t>四、公共安全支出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5</w:t>
            </w:r>
          </w:p>
        </w:tc>
        <w:tc>
          <w:tcPr>
            <w:tcW w:w="3271" w:type="dxa"/>
            <w:vAlign w:val="center"/>
          </w:tcPr>
          <w:p>
            <w:pPr>
              <w:pStyle w:val="12"/>
            </w:pPr>
            <w:r>
              <w:t>五、事业收入</w:t>
            </w:r>
          </w:p>
        </w:tc>
        <w:tc>
          <w:tcPr>
            <w:tcW w:w="1451" w:type="dxa"/>
            <w:vAlign w:val="center"/>
          </w:tcPr>
          <w:p>
            <w:pPr>
              <w:pStyle w:val="11"/>
            </w:pPr>
          </w:p>
        </w:tc>
        <w:tc>
          <w:tcPr>
            <w:tcW w:w="3034" w:type="dxa"/>
            <w:vAlign w:val="center"/>
          </w:tcPr>
          <w:p>
            <w:pPr>
              <w:pStyle w:val="12"/>
            </w:pPr>
            <w:r>
              <w:t>五、教育支出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6</w:t>
            </w:r>
          </w:p>
        </w:tc>
        <w:tc>
          <w:tcPr>
            <w:tcW w:w="3271" w:type="dxa"/>
            <w:vAlign w:val="center"/>
          </w:tcPr>
          <w:p>
            <w:pPr>
              <w:pStyle w:val="12"/>
            </w:pPr>
            <w:r>
              <w:t>六、事业</w:t>
            </w:r>
            <w:r>
              <w:rPr>
                <w:rFonts w:hint="eastAsia"/>
                <w:lang w:eastAsia="zh-CN"/>
              </w:rPr>
              <w:t>单位</w:t>
            </w:r>
            <w:r>
              <w:t>经营收入</w:t>
            </w:r>
          </w:p>
        </w:tc>
        <w:tc>
          <w:tcPr>
            <w:tcW w:w="1451" w:type="dxa"/>
            <w:vAlign w:val="center"/>
          </w:tcPr>
          <w:p>
            <w:pPr>
              <w:pStyle w:val="11"/>
            </w:pPr>
          </w:p>
        </w:tc>
        <w:tc>
          <w:tcPr>
            <w:tcW w:w="3034" w:type="dxa"/>
            <w:vAlign w:val="center"/>
          </w:tcPr>
          <w:p>
            <w:pPr>
              <w:pStyle w:val="12"/>
            </w:pPr>
            <w:r>
              <w:t>六、科学技术支出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7</w:t>
            </w:r>
          </w:p>
        </w:tc>
        <w:tc>
          <w:tcPr>
            <w:tcW w:w="3271" w:type="dxa"/>
            <w:vAlign w:val="center"/>
          </w:tcPr>
          <w:p>
            <w:pPr>
              <w:pStyle w:val="12"/>
            </w:pPr>
            <w:r>
              <w:t>七、上级补助收入</w:t>
            </w:r>
          </w:p>
        </w:tc>
        <w:tc>
          <w:tcPr>
            <w:tcW w:w="1451" w:type="dxa"/>
            <w:vAlign w:val="center"/>
          </w:tcPr>
          <w:p>
            <w:pPr>
              <w:pStyle w:val="11"/>
            </w:pPr>
          </w:p>
        </w:tc>
        <w:tc>
          <w:tcPr>
            <w:tcW w:w="3034" w:type="dxa"/>
            <w:vAlign w:val="center"/>
          </w:tcPr>
          <w:p>
            <w:pPr>
              <w:pStyle w:val="12"/>
            </w:pPr>
            <w:r>
              <w:t>七、文化旅游体育与传媒支出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8</w:t>
            </w:r>
          </w:p>
        </w:tc>
        <w:tc>
          <w:tcPr>
            <w:tcW w:w="3271" w:type="dxa"/>
            <w:vAlign w:val="center"/>
          </w:tcPr>
          <w:p>
            <w:pPr>
              <w:pStyle w:val="12"/>
            </w:pPr>
            <w:r>
              <w:t>八、附属</w:t>
            </w:r>
            <w:r>
              <w:rPr>
                <w:rFonts w:hint="eastAsia"/>
                <w:lang w:eastAsia="zh-CN"/>
              </w:rPr>
              <w:t>单位</w:t>
            </w:r>
            <w:r>
              <w:t>上缴收入</w:t>
            </w:r>
          </w:p>
        </w:tc>
        <w:tc>
          <w:tcPr>
            <w:tcW w:w="1451" w:type="dxa"/>
            <w:vAlign w:val="center"/>
          </w:tcPr>
          <w:p>
            <w:pPr>
              <w:pStyle w:val="11"/>
            </w:pPr>
          </w:p>
        </w:tc>
        <w:tc>
          <w:tcPr>
            <w:tcW w:w="3034" w:type="dxa"/>
            <w:vAlign w:val="center"/>
          </w:tcPr>
          <w:p>
            <w:pPr>
              <w:pStyle w:val="12"/>
            </w:pPr>
            <w:r>
              <w:t>八、社会保障和就业支出</w:t>
            </w:r>
          </w:p>
        </w:tc>
        <w:tc>
          <w:tcPr>
            <w:tcW w:w="1292" w:type="dxa"/>
            <w:vAlign w:val="center"/>
          </w:tcPr>
          <w:p>
            <w:pPr>
              <w:pStyle w:val="11"/>
            </w:pPr>
            <w:r>
              <w:t>34.33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9</w:t>
            </w:r>
          </w:p>
        </w:tc>
        <w:tc>
          <w:tcPr>
            <w:tcW w:w="3271" w:type="dxa"/>
            <w:vAlign w:val="center"/>
          </w:tcPr>
          <w:p>
            <w:pPr>
              <w:pStyle w:val="12"/>
            </w:pPr>
            <w:r>
              <w:t>九、其他收入</w:t>
            </w:r>
          </w:p>
        </w:tc>
        <w:tc>
          <w:tcPr>
            <w:tcW w:w="1451" w:type="dxa"/>
            <w:vAlign w:val="center"/>
          </w:tcPr>
          <w:p>
            <w:pPr>
              <w:pStyle w:val="11"/>
            </w:pPr>
          </w:p>
        </w:tc>
        <w:tc>
          <w:tcPr>
            <w:tcW w:w="3034" w:type="dxa"/>
            <w:vAlign w:val="center"/>
          </w:tcPr>
          <w:p>
            <w:pPr>
              <w:pStyle w:val="12"/>
            </w:pPr>
            <w:r>
              <w:t>九、社会保险基金支出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十、卫生健康支出</w:t>
            </w:r>
          </w:p>
        </w:tc>
        <w:tc>
          <w:tcPr>
            <w:tcW w:w="1292" w:type="dxa"/>
            <w:vAlign w:val="center"/>
          </w:tcPr>
          <w:p>
            <w:pPr>
              <w:pStyle w:val="11"/>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11</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十一、节能环保支出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12</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十二、城乡社区支出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13</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十三、农林水支出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14</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十四、交通运输支出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15</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十五、资源勘探工业信息等支出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16</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十六、商业服务业等支出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17</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十七、金融支出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18</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十八、援助其他地区支出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19</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十九、自然资源海洋气象等支出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二十、住房保障支出</w:t>
            </w:r>
          </w:p>
        </w:tc>
        <w:tc>
          <w:tcPr>
            <w:tcW w:w="1292" w:type="dxa"/>
            <w:vAlign w:val="center"/>
          </w:tcPr>
          <w:p>
            <w:pPr>
              <w:pStyle w:val="11"/>
            </w:pPr>
            <w:r>
              <w:t>24.15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21</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二十一、粮油物资储备支出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22</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二十二、国有资本经营预算支出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23</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二十三、灾害防治及应急管理支出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24</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二十四、预备费</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25</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二十五、其他支出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26</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二十六、转移性支出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27</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二十七、债务还本支出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28</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二十八、债务付息支出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29</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二十九、债务发行费用支出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三十、抗疫特别国债安排的支出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31</w:t>
            </w:r>
          </w:p>
        </w:tc>
        <w:tc>
          <w:tcPr>
            <w:tcW w:w="3271" w:type="dxa"/>
            <w:vAlign w:val="center"/>
          </w:tcPr>
          <w:p>
            <w:pPr>
              <w:pStyle w:val="14"/>
            </w:pPr>
            <w:r>
              <w:t>本年收入合计</w:t>
            </w:r>
          </w:p>
        </w:tc>
        <w:tc>
          <w:tcPr>
            <w:tcW w:w="1451" w:type="dxa"/>
            <w:vAlign w:val="center"/>
          </w:tcPr>
          <w:p>
            <w:pPr>
              <w:pStyle w:val="15"/>
            </w:pPr>
            <w:r>
              <w:t>620.36</w:t>
            </w:r>
          </w:p>
        </w:tc>
        <w:tc>
          <w:tcPr>
            <w:tcW w:w="3034" w:type="dxa"/>
            <w:vAlign w:val="center"/>
          </w:tcPr>
          <w:p>
            <w:pPr>
              <w:pStyle w:val="14"/>
            </w:pPr>
            <w:r>
              <w:t>本年支出合计</w:t>
            </w:r>
          </w:p>
        </w:tc>
        <w:tc>
          <w:tcPr>
            <w:tcW w:w="1292" w:type="dxa"/>
            <w:vAlign w:val="center"/>
          </w:tcPr>
          <w:p>
            <w:pPr>
              <w:pStyle w:val="15"/>
            </w:pPr>
            <w:r>
              <w:t>620.36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32</w:t>
            </w:r>
          </w:p>
        </w:tc>
        <w:tc>
          <w:tcPr>
            <w:tcW w:w="3271" w:type="dxa"/>
            <w:vAlign w:val="center"/>
          </w:tcPr>
          <w:p>
            <w:pPr>
              <w:pStyle w:val="12"/>
            </w:pPr>
            <w:r>
              <w:t>上年结转结余</w:t>
            </w:r>
          </w:p>
        </w:tc>
        <w:tc>
          <w:tcPr>
            <w:tcW w:w="1451" w:type="dxa"/>
            <w:vAlign w:val="center"/>
          </w:tcPr>
          <w:p>
            <w:pPr>
              <w:pStyle w:val="11"/>
            </w:pPr>
          </w:p>
        </w:tc>
        <w:tc>
          <w:tcPr>
            <w:tcW w:w="3034" w:type="dxa"/>
            <w:vAlign w:val="center"/>
          </w:tcPr>
          <w:p>
            <w:pPr>
              <w:pStyle w:val="12"/>
            </w:pPr>
            <w:r>
              <w:t>年终结转结余</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33</w:t>
            </w:r>
          </w:p>
        </w:tc>
        <w:tc>
          <w:tcPr>
            <w:tcW w:w="3271" w:type="dxa"/>
            <w:vAlign w:val="center"/>
          </w:tcPr>
          <w:p>
            <w:pPr>
              <w:pStyle w:val="14"/>
            </w:pPr>
            <w:r>
              <w:t>收入总计</w:t>
            </w:r>
          </w:p>
        </w:tc>
        <w:tc>
          <w:tcPr>
            <w:tcW w:w="1451" w:type="dxa"/>
            <w:vAlign w:val="center"/>
          </w:tcPr>
          <w:p>
            <w:pPr>
              <w:pStyle w:val="15"/>
            </w:pPr>
            <w:r>
              <w:t>620.36</w:t>
            </w:r>
          </w:p>
        </w:tc>
        <w:tc>
          <w:tcPr>
            <w:tcW w:w="3034" w:type="dxa"/>
            <w:vAlign w:val="center"/>
          </w:tcPr>
          <w:p>
            <w:pPr>
              <w:pStyle w:val="14"/>
            </w:pPr>
            <w:r>
              <w:t>支出总计</w:t>
            </w:r>
          </w:p>
        </w:tc>
        <w:tc>
          <w:tcPr>
            <w:tcW w:w="1292" w:type="dxa"/>
            <w:vAlign w:val="center"/>
          </w:tcPr>
          <w:p>
            <w:pPr>
              <w:pStyle w:val="15"/>
            </w:pPr>
            <w:r>
              <w:t>620.36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113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794"/>
        <w:gridCol w:w="758"/>
        <w:gridCol w:w="480"/>
        <w:gridCol w:w="754"/>
        <w:gridCol w:w="758"/>
        <w:gridCol w:w="4"/>
        <w:gridCol w:w="652"/>
        <w:gridCol w:w="751"/>
        <w:gridCol w:w="662"/>
        <w:gridCol w:w="840"/>
        <w:gridCol w:w="127"/>
        <w:gridCol w:w="1056"/>
        <w:gridCol w:w="1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48" w:type="dxa"/>
            <w:gridSpan w:val="5"/>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516"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290" w:type="dxa"/>
            <w:gridSpan w:val="7"/>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552" w:type="dxa"/>
            <w:gridSpan w:val="2"/>
            <w:vAlign w:val="center"/>
          </w:tcPr>
          <w:p>
            <w:pPr>
              <w:pStyle w:val="10"/>
            </w:pPr>
            <w:r>
              <w:t>功能分类科目</w:t>
            </w:r>
          </w:p>
        </w:tc>
        <w:tc>
          <w:tcPr>
            <w:tcW w:w="758" w:type="dxa"/>
            <w:vMerge w:val="restart"/>
            <w:vAlign w:val="center"/>
          </w:tcPr>
          <w:p>
            <w:pPr>
              <w:pStyle w:val="10"/>
            </w:pPr>
            <w:r>
              <w:t>合计</w:t>
            </w:r>
          </w:p>
        </w:tc>
        <w:tc>
          <w:tcPr>
            <w:tcW w:w="5028" w:type="dxa"/>
            <w:gridSpan w:val="9"/>
            <w:vAlign w:val="center"/>
          </w:tcPr>
          <w:p>
            <w:pPr>
              <w:pStyle w:val="10"/>
            </w:pPr>
            <w:r>
              <w:t>本年收入</w:t>
            </w:r>
          </w:p>
        </w:tc>
        <w:tc>
          <w:tcPr>
            <w:tcW w:w="2258" w:type="dxa"/>
            <w:gridSpan w:val="2"/>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1794" w:type="dxa"/>
            <w:vAlign w:val="center"/>
          </w:tcPr>
          <w:p>
            <w:pPr>
              <w:pStyle w:val="10"/>
            </w:pPr>
            <w:r>
              <w:t>科目名称</w:t>
            </w:r>
          </w:p>
        </w:tc>
        <w:tc>
          <w:tcPr>
            <w:tcW w:w="758" w:type="dxa"/>
            <w:vMerge w:val="continue"/>
          </w:tcPr>
          <w:p/>
        </w:tc>
        <w:tc>
          <w:tcPr>
            <w:tcW w:w="480" w:type="dxa"/>
            <w:vAlign w:val="center"/>
          </w:tcPr>
          <w:p>
            <w:pPr>
              <w:pStyle w:val="10"/>
            </w:pPr>
            <w:r>
              <w:t>小计</w:t>
            </w:r>
          </w:p>
        </w:tc>
        <w:tc>
          <w:tcPr>
            <w:tcW w:w="754" w:type="dxa"/>
            <w:vAlign w:val="center"/>
          </w:tcPr>
          <w:p>
            <w:pPr>
              <w:pStyle w:val="10"/>
            </w:pPr>
            <w:r>
              <w:t>财政拨款 收入</w:t>
            </w:r>
          </w:p>
        </w:tc>
        <w:tc>
          <w:tcPr>
            <w:tcW w:w="758" w:type="dxa"/>
            <w:vAlign w:val="center"/>
          </w:tcPr>
          <w:p>
            <w:pPr>
              <w:pStyle w:val="10"/>
            </w:pPr>
            <w:r>
              <w:t>财政专户 收入</w:t>
            </w:r>
          </w:p>
        </w:tc>
        <w:tc>
          <w:tcPr>
            <w:tcW w:w="656" w:type="dxa"/>
            <w:gridSpan w:val="2"/>
            <w:vAlign w:val="center"/>
          </w:tcPr>
          <w:p>
            <w:pPr>
              <w:pStyle w:val="10"/>
            </w:pPr>
            <w:r>
              <w:t>事业收入</w:t>
            </w:r>
          </w:p>
        </w:tc>
        <w:tc>
          <w:tcPr>
            <w:tcW w:w="751" w:type="dxa"/>
            <w:vAlign w:val="center"/>
          </w:tcPr>
          <w:p>
            <w:pPr>
              <w:pStyle w:val="10"/>
            </w:pPr>
            <w:r>
              <w:t>经营收入</w:t>
            </w:r>
          </w:p>
        </w:tc>
        <w:tc>
          <w:tcPr>
            <w:tcW w:w="662" w:type="dxa"/>
            <w:vAlign w:val="center"/>
          </w:tcPr>
          <w:p>
            <w:pPr>
              <w:pStyle w:val="10"/>
            </w:pPr>
            <w:r>
              <w:t>上级补助收入</w:t>
            </w:r>
          </w:p>
        </w:tc>
        <w:tc>
          <w:tcPr>
            <w:tcW w:w="840" w:type="dxa"/>
            <w:vAlign w:val="center"/>
          </w:tcPr>
          <w:p>
            <w:pPr>
              <w:pStyle w:val="10"/>
            </w:pPr>
            <w:r>
              <w:t>附属</w:t>
            </w:r>
            <w:r>
              <w:rPr>
                <w:rFonts w:hint="eastAsia"/>
                <w:lang w:eastAsia="zh-CN"/>
              </w:rPr>
              <w:t>单位</w:t>
            </w:r>
            <w:r>
              <w:t>上缴收入</w:t>
            </w:r>
          </w:p>
        </w:tc>
        <w:tc>
          <w:tcPr>
            <w:tcW w:w="1183" w:type="dxa"/>
            <w:gridSpan w:val="2"/>
            <w:vAlign w:val="center"/>
          </w:tcPr>
          <w:p>
            <w:pPr>
              <w:pStyle w:val="10"/>
            </w:pPr>
            <w:r>
              <w:t>其他收入</w:t>
            </w:r>
          </w:p>
        </w:tc>
        <w:tc>
          <w:tcPr>
            <w:tcW w:w="120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1794" w:type="dxa"/>
            <w:vAlign w:val="center"/>
          </w:tcPr>
          <w:p>
            <w:pPr>
              <w:pStyle w:val="10"/>
            </w:pPr>
            <w:r>
              <w:t>2</w:t>
            </w:r>
          </w:p>
        </w:tc>
        <w:tc>
          <w:tcPr>
            <w:tcW w:w="758" w:type="dxa"/>
            <w:vAlign w:val="center"/>
          </w:tcPr>
          <w:p>
            <w:pPr>
              <w:pStyle w:val="10"/>
            </w:pPr>
            <w:r>
              <w:t>3</w:t>
            </w:r>
          </w:p>
        </w:tc>
        <w:tc>
          <w:tcPr>
            <w:tcW w:w="480" w:type="dxa"/>
            <w:vAlign w:val="center"/>
          </w:tcPr>
          <w:p>
            <w:pPr>
              <w:pStyle w:val="10"/>
            </w:pPr>
            <w:r>
              <w:t>4</w:t>
            </w:r>
          </w:p>
        </w:tc>
        <w:tc>
          <w:tcPr>
            <w:tcW w:w="754" w:type="dxa"/>
            <w:vAlign w:val="center"/>
          </w:tcPr>
          <w:p>
            <w:pPr>
              <w:pStyle w:val="10"/>
            </w:pPr>
            <w:r>
              <w:t>5</w:t>
            </w:r>
          </w:p>
        </w:tc>
        <w:tc>
          <w:tcPr>
            <w:tcW w:w="758" w:type="dxa"/>
            <w:vAlign w:val="center"/>
          </w:tcPr>
          <w:p>
            <w:pPr>
              <w:pStyle w:val="10"/>
            </w:pPr>
            <w:r>
              <w:t>6</w:t>
            </w:r>
          </w:p>
        </w:tc>
        <w:tc>
          <w:tcPr>
            <w:tcW w:w="656" w:type="dxa"/>
            <w:gridSpan w:val="2"/>
            <w:vAlign w:val="center"/>
          </w:tcPr>
          <w:p>
            <w:pPr>
              <w:pStyle w:val="10"/>
            </w:pPr>
            <w:r>
              <w:t>7</w:t>
            </w:r>
          </w:p>
        </w:tc>
        <w:tc>
          <w:tcPr>
            <w:tcW w:w="751" w:type="dxa"/>
            <w:vAlign w:val="center"/>
          </w:tcPr>
          <w:p>
            <w:pPr>
              <w:pStyle w:val="10"/>
            </w:pPr>
            <w:r>
              <w:t>8</w:t>
            </w:r>
          </w:p>
        </w:tc>
        <w:tc>
          <w:tcPr>
            <w:tcW w:w="662" w:type="dxa"/>
            <w:vAlign w:val="center"/>
          </w:tcPr>
          <w:p>
            <w:pPr>
              <w:pStyle w:val="10"/>
            </w:pPr>
            <w:r>
              <w:t>9</w:t>
            </w:r>
          </w:p>
        </w:tc>
        <w:tc>
          <w:tcPr>
            <w:tcW w:w="840" w:type="dxa"/>
            <w:vAlign w:val="center"/>
          </w:tcPr>
          <w:p>
            <w:pPr>
              <w:pStyle w:val="10"/>
            </w:pPr>
            <w:r>
              <w:t>10</w:t>
            </w:r>
          </w:p>
        </w:tc>
        <w:tc>
          <w:tcPr>
            <w:tcW w:w="1183" w:type="dxa"/>
            <w:gridSpan w:val="2"/>
            <w:vAlign w:val="center"/>
          </w:tcPr>
          <w:p>
            <w:pPr>
              <w:pStyle w:val="10"/>
            </w:pPr>
            <w:r>
              <w:t>11</w:t>
            </w:r>
          </w:p>
        </w:tc>
        <w:tc>
          <w:tcPr>
            <w:tcW w:w="120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w:t>
            </w:r>
          </w:p>
        </w:tc>
        <w:tc>
          <w:tcPr>
            <w:tcW w:w="758" w:type="dxa"/>
            <w:vAlign w:val="center"/>
          </w:tcPr>
          <w:p>
            <w:pPr>
              <w:pStyle w:val="16"/>
            </w:pPr>
          </w:p>
        </w:tc>
        <w:tc>
          <w:tcPr>
            <w:tcW w:w="1794" w:type="dxa"/>
            <w:vAlign w:val="center"/>
          </w:tcPr>
          <w:p>
            <w:pPr>
              <w:pStyle w:val="14"/>
            </w:pPr>
            <w:r>
              <w:t>合计</w:t>
            </w:r>
          </w:p>
        </w:tc>
        <w:tc>
          <w:tcPr>
            <w:tcW w:w="758" w:type="dxa"/>
            <w:vAlign w:val="center"/>
          </w:tcPr>
          <w:p>
            <w:pPr>
              <w:pStyle w:val="15"/>
            </w:pPr>
            <w:r>
              <w:t>620.36</w:t>
            </w:r>
          </w:p>
        </w:tc>
        <w:tc>
          <w:tcPr>
            <w:tcW w:w="480" w:type="dxa"/>
            <w:vAlign w:val="center"/>
          </w:tcPr>
          <w:p>
            <w:pPr>
              <w:pStyle w:val="15"/>
            </w:pPr>
            <w:r>
              <w:t>620.36</w:t>
            </w:r>
          </w:p>
        </w:tc>
        <w:tc>
          <w:tcPr>
            <w:tcW w:w="754" w:type="dxa"/>
            <w:vAlign w:val="center"/>
          </w:tcPr>
          <w:p>
            <w:pPr>
              <w:pStyle w:val="15"/>
            </w:pPr>
            <w:r>
              <w:t>620.36</w:t>
            </w:r>
          </w:p>
        </w:tc>
        <w:tc>
          <w:tcPr>
            <w:tcW w:w="758" w:type="dxa"/>
            <w:vAlign w:val="center"/>
          </w:tcPr>
          <w:p>
            <w:pPr>
              <w:pStyle w:val="15"/>
            </w:pPr>
          </w:p>
        </w:tc>
        <w:tc>
          <w:tcPr>
            <w:tcW w:w="656" w:type="dxa"/>
            <w:gridSpan w:val="2"/>
            <w:vAlign w:val="center"/>
          </w:tcPr>
          <w:p>
            <w:pPr>
              <w:pStyle w:val="15"/>
            </w:pPr>
          </w:p>
        </w:tc>
        <w:tc>
          <w:tcPr>
            <w:tcW w:w="751" w:type="dxa"/>
            <w:vAlign w:val="center"/>
          </w:tcPr>
          <w:p>
            <w:pPr>
              <w:pStyle w:val="15"/>
            </w:pPr>
          </w:p>
        </w:tc>
        <w:tc>
          <w:tcPr>
            <w:tcW w:w="662" w:type="dxa"/>
            <w:vAlign w:val="center"/>
          </w:tcPr>
          <w:p>
            <w:pPr>
              <w:pStyle w:val="15"/>
            </w:pPr>
          </w:p>
        </w:tc>
        <w:tc>
          <w:tcPr>
            <w:tcW w:w="840" w:type="dxa"/>
            <w:vAlign w:val="center"/>
          </w:tcPr>
          <w:p>
            <w:pPr>
              <w:pStyle w:val="15"/>
            </w:pPr>
          </w:p>
        </w:tc>
        <w:tc>
          <w:tcPr>
            <w:tcW w:w="1183" w:type="dxa"/>
            <w:gridSpan w:val="2"/>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2</w:t>
            </w:r>
          </w:p>
        </w:tc>
        <w:tc>
          <w:tcPr>
            <w:tcW w:w="758" w:type="dxa"/>
            <w:vAlign w:val="center"/>
          </w:tcPr>
          <w:p>
            <w:pPr>
              <w:pStyle w:val="12"/>
            </w:pPr>
            <w:r>
              <w:t>201</w:t>
            </w:r>
          </w:p>
        </w:tc>
        <w:tc>
          <w:tcPr>
            <w:tcW w:w="1794" w:type="dxa"/>
            <w:vAlign w:val="center"/>
          </w:tcPr>
          <w:p>
            <w:pPr>
              <w:pStyle w:val="12"/>
              <w:rPr>
                <w:sz w:val="18"/>
                <w:szCs w:val="18"/>
              </w:rPr>
            </w:pPr>
            <w:r>
              <w:rPr>
                <w:sz w:val="18"/>
                <w:szCs w:val="18"/>
              </w:rPr>
              <w:t>一般公共服务支出</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3</w:t>
            </w:r>
          </w:p>
        </w:tc>
        <w:tc>
          <w:tcPr>
            <w:tcW w:w="758" w:type="dxa"/>
            <w:vAlign w:val="center"/>
          </w:tcPr>
          <w:p>
            <w:pPr>
              <w:pStyle w:val="12"/>
            </w:pPr>
            <w:r>
              <w:t>20101</w:t>
            </w:r>
          </w:p>
        </w:tc>
        <w:tc>
          <w:tcPr>
            <w:tcW w:w="1794" w:type="dxa"/>
            <w:vAlign w:val="center"/>
          </w:tcPr>
          <w:p>
            <w:pPr>
              <w:pStyle w:val="12"/>
              <w:rPr>
                <w:sz w:val="18"/>
                <w:szCs w:val="18"/>
              </w:rPr>
            </w:pPr>
            <w:r>
              <w:rPr>
                <w:sz w:val="18"/>
                <w:szCs w:val="18"/>
              </w:rPr>
              <w:t>人大事务</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4</w:t>
            </w:r>
          </w:p>
        </w:tc>
        <w:tc>
          <w:tcPr>
            <w:tcW w:w="758" w:type="dxa"/>
            <w:vAlign w:val="center"/>
          </w:tcPr>
          <w:p>
            <w:pPr>
              <w:pStyle w:val="12"/>
            </w:pPr>
            <w:r>
              <w:t>2010101</w:t>
            </w:r>
          </w:p>
        </w:tc>
        <w:tc>
          <w:tcPr>
            <w:tcW w:w="1794" w:type="dxa"/>
            <w:vAlign w:val="center"/>
          </w:tcPr>
          <w:p>
            <w:pPr>
              <w:pStyle w:val="12"/>
              <w:rPr>
                <w:sz w:val="18"/>
                <w:szCs w:val="18"/>
              </w:rPr>
            </w:pPr>
            <w:r>
              <w:rPr>
                <w:sz w:val="18"/>
                <w:szCs w:val="18"/>
              </w:rPr>
              <w:t>行政运行</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exact"/>
          <w:jc w:val="center"/>
        </w:trPr>
        <w:tc>
          <w:tcPr>
            <w:tcW w:w="758" w:type="dxa"/>
            <w:vAlign w:val="center"/>
          </w:tcPr>
          <w:p>
            <w:pPr>
              <w:pStyle w:val="13"/>
            </w:pPr>
            <w:r>
              <w:t>5</w:t>
            </w:r>
          </w:p>
        </w:tc>
        <w:tc>
          <w:tcPr>
            <w:tcW w:w="758" w:type="dxa"/>
            <w:vAlign w:val="center"/>
          </w:tcPr>
          <w:p>
            <w:pPr>
              <w:pStyle w:val="12"/>
            </w:pPr>
            <w:r>
              <w:t>208</w:t>
            </w:r>
          </w:p>
        </w:tc>
        <w:tc>
          <w:tcPr>
            <w:tcW w:w="1794" w:type="dxa"/>
            <w:vAlign w:val="center"/>
          </w:tcPr>
          <w:p>
            <w:pPr>
              <w:pStyle w:val="12"/>
              <w:rPr>
                <w:sz w:val="18"/>
                <w:szCs w:val="18"/>
              </w:rPr>
            </w:pPr>
            <w:r>
              <w:rPr>
                <w:sz w:val="18"/>
                <w:szCs w:val="18"/>
              </w:rPr>
              <w:t>社会保障和就业支出</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6</w:t>
            </w:r>
          </w:p>
        </w:tc>
        <w:tc>
          <w:tcPr>
            <w:tcW w:w="758" w:type="dxa"/>
            <w:vAlign w:val="center"/>
          </w:tcPr>
          <w:p>
            <w:pPr>
              <w:pStyle w:val="12"/>
            </w:pPr>
            <w:r>
              <w:t>20805</w:t>
            </w:r>
          </w:p>
        </w:tc>
        <w:tc>
          <w:tcPr>
            <w:tcW w:w="1794" w:type="dxa"/>
            <w:vAlign w:val="center"/>
          </w:tcPr>
          <w:p>
            <w:pPr>
              <w:pStyle w:val="12"/>
              <w:rPr>
                <w:sz w:val="18"/>
                <w:szCs w:val="18"/>
              </w:rPr>
            </w:pPr>
            <w:r>
              <w:rPr>
                <w:sz w:val="18"/>
                <w:szCs w:val="18"/>
              </w:rPr>
              <w:t>行政事业</w:t>
            </w:r>
            <w:r>
              <w:rPr>
                <w:rFonts w:hint="eastAsia"/>
                <w:sz w:val="18"/>
                <w:szCs w:val="18"/>
                <w:lang w:eastAsia="zh-CN"/>
              </w:rPr>
              <w:t>单位</w:t>
            </w:r>
            <w:r>
              <w:rPr>
                <w:sz w:val="18"/>
                <w:szCs w:val="18"/>
              </w:rPr>
              <w:t>养老支出</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7</w:t>
            </w:r>
          </w:p>
        </w:tc>
        <w:tc>
          <w:tcPr>
            <w:tcW w:w="758" w:type="dxa"/>
            <w:vAlign w:val="center"/>
          </w:tcPr>
          <w:p>
            <w:pPr>
              <w:pStyle w:val="12"/>
            </w:pPr>
            <w:r>
              <w:t>2080501</w:t>
            </w:r>
          </w:p>
        </w:tc>
        <w:tc>
          <w:tcPr>
            <w:tcW w:w="1794" w:type="dxa"/>
            <w:vAlign w:val="center"/>
          </w:tcPr>
          <w:p>
            <w:pPr>
              <w:pStyle w:val="12"/>
              <w:rPr>
                <w:sz w:val="18"/>
                <w:szCs w:val="18"/>
              </w:rPr>
            </w:pPr>
            <w:r>
              <w:rPr>
                <w:sz w:val="18"/>
                <w:szCs w:val="18"/>
              </w:rPr>
              <w:t>行政</w:t>
            </w:r>
            <w:r>
              <w:rPr>
                <w:rFonts w:hint="eastAsia"/>
                <w:sz w:val="18"/>
                <w:szCs w:val="18"/>
                <w:lang w:eastAsia="zh-CN"/>
              </w:rPr>
              <w:t>单位</w:t>
            </w:r>
            <w:r>
              <w:rPr>
                <w:sz w:val="18"/>
                <w:szCs w:val="18"/>
              </w:rPr>
              <w:t>离退休</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8</w:t>
            </w:r>
          </w:p>
        </w:tc>
        <w:tc>
          <w:tcPr>
            <w:tcW w:w="758" w:type="dxa"/>
            <w:vAlign w:val="center"/>
          </w:tcPr>
          <w:p>
            <w:pPr>
              <w:pStyle w:val="12"/>
            </w:pPr>
            <w:r>
              <w:t>210</w:t>
            </w:r>
          </w:p>
        </w:tc>
        <w:tc>
          <w:tcPr>
            <w:tcW w:w="1794" w:type="dxa"/>
            <w:vAlign w:val="center"/>
          </w:tcPr>
          <w:p>
            <w:pPr>
              <w:pStyle w:val="12"/>
              <w:rPr>
                <w:sz w:val="18"/>
                <w:szCs w:val="18"/>
              </w:rPr>
            </w:pPr>
            <w:r>
              <w:rPr>
                <w:sz w:val="18"/>
                <w:szCs w:val="18"/>
              </w:rPr>
              <w:t>卫生健康支出</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9</w:t>
            </w:r>
          </w:p>
        </w:tc>
        <w:tc>
          <w:tcPr>
            <w:tcW w:w="758" w:type="dxa"/>
            <w:vAlign w:val="center"/>
          </w:tcPr>
          <w:p>
            <w:pPr>
              <w:pStyle w:val="12"/>
            </w:pPr>
            <w:r>
              <w:t>21011</w:t>
            </w:r>
          </w:p>
        </w:tc>
        <w:tc>
          <w:tcPr>
            <w:tcW w:w="1794" w:type="dxa"/>
            <w:vAlign w:val="center"/>
          </w:tcPr>
          <w:p>
            <w:pPr>
              <w:pStyle w:val="12"/>
              <w:rPr>
                <w:sz w:val="18"/>
                <w:szCs w:val="18"/>
              </w:rPr>
            </w:pPr>
            <w:r>
              <w:rPr>
                <w:sz w:val="18"/>
                <w:szCs w:val="18"/>
              </w:rPr>
              <w:t>行政事业</w:t>
            </w:r>
            <w:r>
              <w:rPr>
                <w:rFonts w:hint="eastAsia"/>
                <w:sz w:val="18"/>
                <w:szCs w:val="18"/>
                <w:lang w:eastAsia="zh-CN"/>
              </w:rPr>
              <w:t>单位</w:t>
            </w:r>
            <w:r>
              <w:rPr>
                <w:sz w:val="18"/>
                <w:szCs w:val="18"/>
              </w:rPr>
              <w:t>医疗</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10</w:t>
            </w:r>
          </w:p>
        </w:tc>
        <w:tc>
          <w:tcPr>
            <w:tcW w:w="758" w:type="dxa"/>
            <w:vAlign w:val="center"/>
          </w:tcPr>
          <w:p>
            <w:pPr>
              <w:pStyle w:val="12"/>
            </w:pPr>
            <w:r>
              <w:t>2101101</w:t>
            </w:r>
          </w:p>
        </w:tc>
        <w:tc>
          <w:tcPr>
            <w:tcW w:w="1794" w:type="dxa"/>
            <w:vAlign w:val="center"/>
          </w:tcPr>
          <w:p>
            <w:pPr>
              <w:pStyle w:val="12"/>
              <w:rPr>
                <w:sz w:val="18"/>
                <w:szCs w:val="18"/>
              </w:rPr>
            </w:pPr>
            <w:r>
              <w:rPr>
                <w:sz w:val="18"/>
                <w:szCs w:val="18"/>
              </w:rPr>
              <w:t>行政</w:t>
            </w:r>
            <w:r>
              <w:rPr>
                <w:rFonts w:hint="eastAsia"/>
                <w:sz w:val="18"/>
                <w:szCs w:val="18"/>
                <w:lang w:eastAsia="zh-CN"/>
              </w:rPr>
              <w:t>单位</w:t>
            </w:r>
            <w:r>
              <w:rPr>
                <w:sz w:val="18"/>
                <w:szCs w:val="18"/>
              </w:rPr>
              <w:t>医疗</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11</w:t>
            </w:r>
          </w:p>
        </w:tc>
        <w:tc>
          <w:tcPr>
            <w:tcW w:w="758" w:type="dxa"/>
            <w:vAlign w:val="center"/>
          </w:tcPr>
          <w:p>
            <w:pPr>
              <w:pStyle w:val="12"/>
            </w:pPr>
            <w:r>
              <w:t>221</w:t>
            </w:r>
          </w:p>
        </w:tc>
        <w:tc>
          <w:tcPr>
            <w:tcW w:w="1794" w:type="dxa"/>
            <w:vAlign w:val="center"/>
          </w:tcPr>
          <w:p>
            <w:pPr>
              <w:pStyle w:val="12"/>
              <w:rPr>
                <w:sz w:val="18"/>
                <w:szCs w:val="18"/>
              </w:rPr>
            </w:pPr>
            <w:r>
              <w:rPr>
                <w:sz w:val="18"/>
                <w:szCs w:val="18"/>
              </w:rPr>
              <w:t>住房保障支出</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12</w:t>
            </w:r>
          </w:p>
        </w:tc>
        <w:tc>
          <w:tcPr>
            <w:tcW w:w="758" w:type="dxa"/>
            <w:vAlign w:val="center"/>
          </w:tcPr>
          <w:p>
            <w:pPr>
              <w:pStyle w:val="12"/>
            </w:pPr>
            <w:r>
              <w:t>22102</w:t>
            </w:r>
          </w:p>
        </w:tc>
        <w:tc>
          <w:tcPr>
            <w:tcW w:w="1794" w:type="dxa"/>
            <w:vAlign w:val="center"/>
          </w:tcPr>
          <w:p>
            <w:pPr>
              <w:pStyle w:val="12"/>
              <w:rPr>
                <w:sz w:val="18"/>
                <w:szCs w:val="18"/>
              </w:rPr>
            </w:pPr>
            <w:r>
              <w:rPr>
                <w:sz w:val="18"/>
                <w:szCs w:val="18"/>
              </w:rPr>
              <w:t>住房改革支出</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13</w:t>
            </w:r>
          </w:p>
        </w:tc>
        <w:tc>
          <w:tcPr>
            <w:tcW w:w="758" w:type="dxa"/>
            <w:vAlign w:val="center"/>
          </w:tcPr>
          <w:p>
            <w:pPr>
              <w:pStyle w:val="12"/>
            </w:pPr>
            <w:r>
              <w:t>2210201</w:t>
            </w:r>
          </w:p>
        </w:tc>
        <w:tc>
          <w:tcPr>
            <w:tcW w:w="1794" w:type="dxa"/>
            <w:vAlign w:val="center"/>
          </w:tcPr>
          <w:p>
            <w:pPr>
              <w:pStyle w:val="12"/>
              <w:rPr>
                <w:sz w:val="18"/>
                <w:szCs w:val="18"/>
              </w:rPr>
            </w:pPr>
            <w:r>
              <w:rPr>
                <w:sz w:val="18"/>
                <w:szCs w:val="18"/>
              </w:rPr>
              <w:t>住房公积金</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1095"/>
        <w:gridCol w:w="2620"/>
        <w:gridCol w:w="1019"/>
        <w:gridCol w:w="1046"/>
        <w:gridCol w:w="1011"/>
        <w:gridCol w:w="1183"/>
        <w:gridCol w:w="1132"/>
        <w:gridCol w:w="1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3"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06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740"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Merge w:val="restart"/>
            <w:vAlign w:val="center"/>
          </w:tcPr>
          <w:p>
            <w:pPr>
              <w:pStyle w:val="10"/>
            </w:pPr>
            <w:r>
              <w:t>序号</w:t>
            </w:r>
          </w:p>
        </w:tc>
        <w:tc>
          <w:tcPr>
            <w:tcW w:w="3715" w:type="dxa"/>
            <w:gridSpan w:val="2"/>
            <w:vAlign w:val="center"/>
          </w:tcPr>
          <w:p>
            <w:pPr>
              <w:pStyle w:val="10"/>
            </w:pPr>
            <w:r>
              <w:t>功能分类科目</w:t>
            </w:r>
          </w:p>
        </w:tc>
        <w:tc>
          <w:tcPr>
            <w:tcW w:w="1019" w:type="dxa"/>
            <w:vMerge w:val="restart"/>
            <w:vAlign w:val="center"/>
          </w:tcPr>
          <w:p>
            <w:pPr>
              <w:pStyle w:val="10"/>
            </w:pPr>
            <w:r>
              <w:t>合计</w:t>
            </w:r>
          </w:p>
        </w:tc>
        <w:tc>
          <w:tcPr>
            <w:tcW w:w="1046" w:type="dxa"/>
            <w:vMerge w:val="restart"/>
            <w:vAlign w:val="center"/>
          </w:tcPr>
          <w:p>
            <w:pPr>
              <w:pStyle w:val="10"/>
            </w:pPr>
            <w:r>
              <w:t>基本支出</w:t>
            </w:r>
          </w:p>
        </w:tc>
        <w:tc>
          <w:tcPr>
            <w:tcW w:w="1011" w:type="dxa"/>
            <w:vMerge w:val="restart"/>
            <w:vAlign w:val="center"/>
          </w:tcPr>
          <w:p>
            <w:pPr>
              <w:pStyle w:val="10"/>
            </w:pPr>
            <w:r>
              <w:t>项目支出</w:t>
            </w:r>
          </w:p>
        </w:tc>
        <w:tc>
          <w:tcPr>
            <w:tcW w:w="1183" w:type="dxa"/>
            <w:vMerge w:val="restart"/>
            <w:vAlign w:val="center"/>
          </w:tcPr>
          <w:p>
            <w:pPr>
              <w:pStyle w:val="10"/>
            </w:pPr>
            <w:r>
              <w:t>经营支出</w:t>
            </w:r>
          </w:p>
        </w:tc>
        <w:tc>
          <w:tcPr>
            <w:tcW w:w="1132" w:type="dxa"/>
            <w:vMerge w:val="restart"/>
            <w:vAlign w:val="center"/>
          </w:tcPr>
          <w:p>
            <w:pPr>
              <w:pStyle w:val="10"/>
            </w:pPr>
            <w:r>
              <w:t>上解上级     支出</w:t>
            </w:r>
          </w:p>
        </w:tc>
        <w:tc>
          <w:tcPr>
            <w:tcW w:w="1414" w:type="dxa"/>
            <w:vMerge w:val="restart"/>
            <w:vAlign w:val="center"/>
          </w:tcPr>
          <w:p>
            <w:pPr>
              <w:pStyle w:val="10"/>
            </w:pPr>
            <w:r>
              <w:t>对附属</w:t>
            </w:r>
            <w:r>
              <w:rPr>
                <w:rFonts w:hint="eastAsia"/>
                <w:lang w:eastAsia="zh-CN"/>
              </w:rPr>
              <w:t>单位</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Merge w:val="continue"/>
          </w:tcPr>
          <w:p/>
        </w:tc>
        <w:tc>
          <w:tcPr>
            <w:tcW w:w="1095" w:type="dxa"/>
            <w:vAlign w:val="center"/>
          </w:tcPr>
          <w:p>
            <w:pPr>
              <w:pStyle w:val="10"/>
            </w:pPr>
            <w:r>
              <w:t>科目    编码</w:t>
            </w:r>
          </w:p>
        </w:tc>
        <w:tc>
          <w:tcPr>
            <w:tcW w:w="2620" w:type="dxa"/>
            <w:vAlign w:val="center"/>
          </w:tcPr>
          <w:p>
            <w:pPr>
              <w:pStyle w:val="10"/>
            </w:pPr>
            <w:r>
              <w:t>科目名称</w:t>
            </w:r>
          </w:p>
        </w:tc>
        <w:tc>
          <w:tcPr>
            <w:tcW w:w="1019" w:type="dxa"/>
            <w:vMerge w:val="continue"/>
          </w:tcPr>
          <w:p/>
        </w:tc>
        <w:tc>
          <w:tcPr>
            <w:tcW w:w="1046" w:type="dxa"/>
            <w:vMerge w:val="continue"/>
          </w:tcPr>
          <w:p/>
        </w:tc>
        <w:tc>
          <w:tcPr>
            <w:tcW w:w="1011" w:type="dxa"/>
            <w:vMerge w:val="continue"/>
          </w:tcPr>
          <w:p/>
        </w:tc>
        <w:tc>
          <w:tcPr>
            <w:tcW w:w="1183" w:type="dxa"/>
            <w:vMerge w:val="continue"/>
          </w:tcPr>
          <w:p/>
        </w:tc>
        <w:tc>
          <w:tcPr>
            <w:tcW w:w="1132" w:type="dxa"/>
            <w:vMerge w:val="continue"/>
          </w:tcPr>
          <w:p/>
        </w:tc>
        <w:tc>
          <w:tcPr>
            <w:tcW w:w="14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Align w:val="center"/>
          </w:tcPr>
          <w:p>
            <w:pPr>
              <w:pStyle w:val="10"/>
            </w:pPr>
            <w:r>
              <w:t>栏次</w:t>
            </w:r>
          </w:p>
        </w:tc>
        <w:tc>
          <w:tcPr>
            <w:tcW w:w="1095" w:type="dxa"/>
            <w:vAlign w:val="center"/>
          </w:tcPr>
          <w:p>
            <w:pPr>
              <w:pStyle w:val="10"/>
            </w:pPr>
            <w:r>
              <w:t>1</w:t>
            </w:r>
          </w:p>
        </w:tc>
        <w:tc>
          <w:tcPr>
            <w:tcW w:w="2620" w:type="dxa"/>
            <w:vAlign w:val="center"/>
          </w:tcPr>
          <w:p>
            <w:pPr>
              <w:pStyle w:val="10"/>
            </w:pPr>
            <w:r>
              <w:t>2</w:t>
            </w:r>
          </w:p>
        </w:tc>
        <w:tc>
          <w:tcPr>
            <w:tcW w:w="1019" w:type="dxa"/>
            <w:vAlign w:val="center"/>
          </w:tcPr>
          <w:p>
            <w:pPr>
              <w:pStyle w:val="10"/>
            </w:pPr>
            <w:r>
              <w:t>3</w:t>
            </w:r>
          </w:p>
        </w:tc>
        <w:tc>
          <w:tcPr>
            <w:tcW w:w="1046" w:type="dxa"/>
            <w:vAlign w:val="center"/>
          </w:tcPr>
          <w:p>
            <w:pPr>
              <w:pStyle w:val="10"/>
            </w:pPr>
            <w:r>
              <w:t>4</w:t>
            </w:r>
          </w:p>
        </w:tc>
        <w:tc>
          <w:tcPr>
            <w:tcW w:w="1011" w:type="dxa"/>
            <w:vAlign w:val="center"/>
          </w:tcPr>
          <w:p>
            <w:pPr>
              <w:pStyle w:val="10"/>
            </w:pPr>
            <w:r>
              <w:t>5</w:t>
            </w:r>
          </w:p>
        </w:tc>
        <w:tc>
          <w:tcPr>
            <w:tcW w:w="1183" w:type="dxa"/>
            <w:vAlign w:val="center"/>
          </w:tcPr>
          <w:p>
            <w:pPr>
              <w:pStyle w:val="10"/>
            </w:pPr>
            <w:r>
              <w:t>6</w:t>
            </w:r>
          </w:p>
        </w:tc>
        <w:tc>
          <w:tcPr>
            <w:tcW w:w="1132" w:type="dxa"/>
            <w:vAlign w:val="center"/>
          </w:tcPr>
          <w:p>
            <w:pPr>
              <w:pStyle w:val="10"/>
            </w:pPr>
            <w:r>
              <w:t>7</w:t>
            </w:r>
          </w:p>
        </w:tc>
        <w:tc>
          <w:tcPr>
            <w:tcW w:w="141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w:t>
            </w:r>
          </w:p>
        </w:tc>
        <w:tc>
          <w:tcPr>
            <w:tcW w:w="1095" w:type="dxa"/>
            <w:vAlign w:val="center"/>
          </w:tcPr>
          <w:p>
            <w:pPr>
              <w:pStyle w:val="16"/>
            </w:pPr>
          </w:p>
        </w:tc>
        <w:tc>
          <w:tcPr>
            <w:tcW w:w="2620" w:type="dxa"/>
            <w:vAlign w:val="center"/>
          </w:tcPr>
          <w:p>
            <w:pPr>
              <w:pStyle w:val="14"/>
            </w:pPr>
            <w:r>
              <w:t>合计</w:t>
            </w:r>
          </w:p>
        </w:tc>
        <w:tc>
          <w:tcPr>
            <w:tcW w:w="1019" w:type="dxa"/>
            <w:vAlign w:val="center"/>
          </w:tcPr>
          <w:p>
            <w:pPr>
              <w:pStyle w:val="15"/>
            </w:pPr>
            <w:r>
              <w:t>620.36</w:t>
            </w:r>
          </w:p>
        </w:tc>
        <w:tc>
          <w:tcPr>
            <w:tcW w:w="1046" w:type="dxa"/>
            <w:vAlign w:val="center"/>
          </w:tcPr>
          <w:p>
            <w:pPr>
              <w:pStyle w:val="15"/>
            </w:pPr>
            <w:r>
              <w:t>534.36</w:t>
            </w:r>
          </w:p>
        </w:tc>
        <w:tc>
          <w:tcPr>
            <w:tcW w:w="1011" w:type="dxa"/>
            <w:vAlign w:val="center"/>
          </w:tcPr>
          <w:p>
            <w:pPr>
              <w:pStyle w:val="15"/>
            </w:pPr>
            <w:r>
              <w:t>86.00</w:t>
            </w:r>
          </w:p>
        </w:tc>
        <w:tc>
          <w:tcPr>
            <w:tcW w:w="1183" w:type="dxa"/>
            <w:vAlign w:val="center"/>
          </w:tcPr>
          <w:p>
            <w:pPr>
              <w:pStyle w:val="15"/>
            </w:pPr>
          </w:p>
        </w:tc>
        <w:tc>
          <w:tcPr>
            <w:tcW w:w="1132" w:type="dxa"/>
            <w:vAlign w:val="center"/>
          </w:tcPr>
          <w:p>
            <w:pPr>
              <w:pStyle w:val="15"/>
            </w:pPr>
          </w:p>
        </w:tc>
        <w:tc>
          <w:tcPr>
            <w:tcW w:w="14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2</w:t>
            </w:r>
          </w:p>
        </w:tc>
        <w:tc>
          <w:tcPr>
            <w:tcW w:w="1095" w:type="dxa"/>
            <w:vAlign w:val="center"/>
          </w:tcPr>
          <w:p>
            <w:pPr>
              <w:pStyle w:val="12"/>
            </w:pPr>
            <w:r>
              <w:t>201</w:t>
            </w:r>
          </w:p>
        </w:tc>
        <w:tc>
          <w:tcPr>
            <w:tcW w:w="2620" w:type="dxa"/>
            <w:vAlign w:val="center"/>
          </w:tcPr>
          <w:p>
            <w:pPr>
              <w:pStyle w:val="12"/>
            </w:pPr>
            <w:r>
              <w:t>一般公共服务支出</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3</w:t>
            </w:r>
          </w:p>
        </w:tc>
        <w:tc>
          <w:tcPr>
            <w:tcW w:w="1095" w:type="dxa"/>
            <w:vAlign w:val="center"/>
          </w:tcPr>
          <w:p>
            <w:pPr>
              <w:pStyle w:val="12"/>
            </w:pPr>
            <w:r>
              <w:t>20101</w:t>
            </w:r>
          </w:p>
        </w:tc>
        <w:tc>
          <w:tcPr>
            <w:tcW w:w="2620" w:type="dxa"/>
            <w:vAlign w:val="center"/>
          </w:tcPr>
          <w:p>
            <w:pPr>
              <w:pStyle w:val="12"/>
            </w:pPr>
            <w:r>
              <w:t>人大事务</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4</w:t>
            </w:r>
          </w:p>
        </w:tc>
        <w:tc>
          <w:tcPr>
            <w:tcW w:w="1095" w:type="dxa"/>
            <w:vAlign w:val="center"/>
          </w:tcPr>
          <w:p>
            <w:pPr>
              <w:pStyle w:val="12"/>
            </w:pPr>
            <w:r>
              <w:t>2010101</w:t>
            </w:r>
          </w:p>
        </w:tc>
        <w:tc>
          <w:tcPr>
            <w:tcW w:w="2620" w:type="dxa"/>
            <w:vAlign w:val="center"/>
          </w:tcPr>
          <w:p>
            <w:pPr>
              <w:pStyle w:val="12"/>
            </w:pPr>
            <w:r>
              <w:t>行政运行</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5</w:t>
            </w:r>
          </w:p>
        </w:tc>
        <w:tc>
          <w:tcPr>
            <w:tcW w:w="1095" w:type="dxa"/>
            <w:vAlign w:val="center"/>
          </w:tcPr>
          <w:p>
            <w:pPr>
              <w:pStyle w:val="12"/>
            </w:pPr>
            <w:r>
              <w:t>208</w:t>
            </w:r>
          </w:p>
        </w:tc>
        <w:tc>
          <w:tcPr>
            <w:tcW w:w="2620" w:type="dxa"/>
            <w:vAlign w:val="center"/>
          </w:tcPr>
          <w:p>
            <w:pPr>
              <w:pStyle w:val="12"/>
            </w:pPr>
            <w:r>
              <w:t>社会保障和就业支出</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6</w:t>
            </w:r>
          </w:p>
        </w:tc>
        <w:tc>
          <w:tcPr>
            <w:tcW w:w="1095" w:type="dxa"/>
            <w:vAlign w:val="center"/>
          </w:tcPr>
          <w:p>
            <w:pPr>
              <w:pStyle w:val="12"/>
            </w:pPr>
            <w:r>
              <w:t>20805</w:t>
            </w:r>
          </w:p>
        </w:tc>
        <w:tc>
          <w:tcPr>
            <w:tcW w:w="2620" w:type="dxa"/>
            <w:vAlign w:val="center"/>
          </w:tcPr>
          <w:p>
            <w:pPr>
              <w:pStyle w:val="12"/>
            </w:pPr>
            <w:r>
              <w:t>行政事业</w:t>
            </w:r>
            <w:r>
              <w:rPr>
                <w:rFonts w:hint="eastAsia"/>
                <w:lang w:eastAsia="zh-CN"/>
              </w:rPr>
              <w:t>单位</w:t>
            </w:r>
            <w:r>
              <w:t>养老支出</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7</w:t>
            </w:r>
          </w:p>
        </w:tc>
        <w:tc>
          <w:tcPr>
            <w:tcW w:w="1095" w:type="dxa"/>
            <w:vAlign w:val="center"/>
          </w:tcPr>
          <w:p>
            <w:pPr>
              <w:pStyle w:val="12"/>
            </w:pPr>
            <w:r>
              <w:t>2080501</w:t>
            </w:r>
          </w:p>
        </w:tc>
        <w:tc>
          <w:tcPr>
            <w:tcW w:w="2620" w:type="dxa"/>
            <w:vAlign w:val="center"/>
          </w:tcPr>
          <w:p>
            <w:pPr>
              <w:pStyle w:val="12"/>
            </w:pPr>
            <w:r>
              <w:t>行政</w:t>
            </w:r>
            <w:r>
              <w:rPr>
                <w:rFonts w:hint="eastAsia"/>
                <w:lang w:eastAsia="zh-CN"/>
              </w:rPr>
              <w:t>单位</w:t>
            </w:r>
            <w:r>
              <w:t>离退休</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8</w:t>
            </w:r>
          </w:p>
        </w:tc>
        <w:tc>
          <w:tcPr>
            <w:tcW w:w="1095" w:type="dxa"/>
            <w:vAlign w:val="center"/>
          </w:tcPr>
          <w:p>
            <w:pPr>
              <w:pStyle w:val="12"/>
            </w:pPr>
            <w:r>
              <w:t>210</w:t>
            </w:r>
          </w:p>
        </w:tc>
        <w:tc>
          <w:tcPr>
            <w:tcW w:w="2620" w:type="dxa"/>
            <w:vAlign w:val="center"/>
          </w:tcPr>
          <w:p>
            <w:pPr>
              <w:pStyle w:val="12"/>
            </w:pPr>
            <w:r>
              <w:t>卫生健康支出</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9</w:t>
            </w:r>
          </w:p>
        </w:tc>
        <w:tc>
          <w:tcPr>
            <w:tcW w:w="1095" w:type="dxa"/>
            <w:vAlign w:val="center"/>
          </w:tcPr>
          <w:p>
            <w:pPr>
              <w:pStyle w:val="12"/>
            </w:pPr>
            <w:r>
              <w:t>21011</w:t>
            </w:r>
          </w:p>
        </w:tc>
        <w:tc>
          <w:tcPr>
            <w:tcW w:w="2620" w:type="dxa"/>
            <w:vAlign w:val="center"/>
          </w:tcPr>
          <w:p>
            <w:pPr>
              <w:pStyle w:val="12"/>
            </w:pPr>
            <w:r>
              <w:t>行政事业</w:t>
            </w:r>
            <w:r>
              <w:rPr>
                <w:rFonts w:hint="eastAsia"/>
                <w:lang w:eastAsia="zh-CN"/>
              </w:rPr>
              <w:t>单位</w:t>
            </w:r>
            <w:r>
              <w:t>医疗</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10</w:t>
            </w:r>
          </w:p>
        </w:tc>
        <w:tc>
          <w:tcPr>
            <w:tcW w:w="1095" w:type="dxa"/>
            <w:vAlign w:val="center"/>
          </w:tcPr>
          <w:p>
            <w:pPr>
              <w:pStyle w:val="12"/>
            </w:pPr>
            <w:r>
              <w:t>2101101</w:t>
            </w:r>
          </w:p>
        </w:tc>
        <w:tc>
          <w:tcPr>
            <w:tcW w:w="2620" w:type="dxa"/>
            <w:vAlign w:val="center"/>
          </w:tcPr>
          <w:p>
            <w:pPr>
              <w:pStyle w:val="12"/>
            </w:pPr>
            <w:r>
              <w:t>行政</w:t>
            </w:r>
            <w:r>
              <w:rPr>
                <w:rFonts w:hint="eastAsia"/>
                <w:lang w:eastAsia="zh-CN"/>
              </w:rPr>
              <w:t>单位</w:t>
            </w:r>
            <w:r>
              <w:t>医疗</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11</w:t>
            </w:r>
          </w:p>
        </w:tc>
        <w:tc>
          <w:tcPr>
            <w:tcW w:w="1095" w:type="dxa"/>
            <w:vAlign w:val="center"/>
          </w:tcPr>
          <w:p>
            <w:pPr>
              <w:pStyle w:val="12"/>
            </w:pPr>
            <w:r>
              <w:t>221</w:t>
            </w:r>
          </w:p>
        </w:tc>
        <w:tc>
          <w:tcPr>
            <w:tcW w:w="2620" w:type="dxa"/>
            <w:vAlign w:val="center"/>
          </w:tcPr>
          <w:p>
            <w:pPr>
              <w:pStyle w:val="12"/>
            </w:pPr>
            <w:r>
              <w:t>住房保障支出</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12</w:t>
            </w:r>
          </w:p>
        </w:tc>
        <w:tc>
          <w:tcPr>
            <w:tcW w:w="1095" w:type="dxa"/>
            <w:vAlign w:val="center"/>
          </w:tcPr>
          <w:p>
            <w:pPr>
              <w:pStyle w:val="12"/>
            </w:pPr>
            <w:r>
              <w:t>22102</w:t>
            </w:r>
          </w:p>
        </w:tc>
        <w:tc>
          <w:tcPr>
            <w:tcW w:w="2620" w:type="dxa"/>
            <w:vAlign w:val="center"/>
          </w:tcPr>
          <w:p>
            <w:pPr>
              <w:pStyle w:val="12"/>
            </w:pPr>
            <w:r>
              <w:t>住房改革支出</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13</w:t>
            </w:r>
          </w:p>
        </w:tc>
        <w:tc>
          <w:tcPr>
            <w:tcW w:w="1095" w:type="dxa"/>
            <w:vAlign w:val="center"/>
          </w:tcPr>
          <w:p>
            <w:pPr>
              <w:pStyle w:val="12"/>
            </w:pPr>
            <w:r>
              <w:t>2210201</w:t>
            </w:r>
          </w:p>
        </w:tc>
        <w:tc>
          <w:tcPr>
            <w:tcW w:w="2620" w:type="dxa"/>
            <w:vAlign w:val="center"/>
          </w:tcPr>
          <w:p>
            <w:pPr>
              <w:pStyle w:val="12"/>
            </w:pPr>
            <w:r>
              <w:t>住房公积金</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2692"/>
        <w:gridCol w:w="908"/>
        <w:gridCol w:w="3446"/>
        <w:gridCol w:w="994"/>
        <w:gridCol w:w="1029"/>
        <w:gridCol w:w="874"/>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0"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3446" w:type="dxa"/>
            <w:tcBorders>
              <w:top w:val="single" w:color="FFFFFF" w:sz="6" w:space="0"/>
              <w:left w:val="single" w:color="FFFFFF" w:sz="6" w:space="0"/>
              <w:right w:val="single" w:color="FFFFFF" w:sz="6" w:space="0"/>
            </w:tcBorders>
            <w:vAlign w:val="center"/>
          </w:tcPr>
          <w:p>
            <w:pPr>
              <w:pStyle w:val="8"/>
            </w:pPr>
            <w:r>
              <w:t>预算年度：2022</w:t>
            </w:r>
          </w:p>
        </w:tc>
        <w:tc>
          <w:tcPr>
            <w:tcW w:w="3979"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1460" w:type="dxa"/>
            <w:vMerge w:val="restart"/>
            <w:vAlign w:val="center"/>
          </w:tcPr>
          <w:p>
            <w:pPr>
              <w:pStyle w:val="10"/>
            </w:pPr>
            <w:r>
              <w:t>序号</w:t>
            </w:r>
          </w:p>
        </w:tc>
        <w:tc>
          <w:tcPr>
            <w:tcW w:w="3600" w:type="dxa"/>
            <w:gridSpan w:val="2"/>
            <w:vAlign w:val="center"/>
          </w:tcPr>
          <w:p>
            <w:pPr>
              <w:pStyle w:val="10"/>
            </w:pPr>
            <w:r>
              <w:t>收入</w:t>
            </w:r>
          </w:p>
        </w:tc>
        <w:tc>
          <w:tcPr>
            <w:tcW w:w="742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exact"/>
          <w:tblHeader/>
          <w:jc w:val="center"/>
        </w:trPr>
        <w:tc>
          <w:tcPr>
            <w:tcW w:w="1460" w:type="dxa"/>
            <w:vMerge w:val="continue"/>
          </w:tcPr>
          <w:p/>
        </w:tc>
        <w:tc>
          <w:tcPr>
            <w:tcW w:w="2692" w:type="dxa"/>
            <w:vAlign w:val="center"/>
          </w:tcPr>
          <w:p>
            <w:pPr>
              <w:pStyle w:val="10"/>
            </w:pPr>
            <w:r>
              <w:t>项  目</w:t>
            </w:r>
          </w:p>
        </w:tc>
        <w:tc>
          <w:tcPr>
            <w:tcW w:w="908" w:type="dxa"/>
            <w:vAlign w:val="center"/>
          </w:tcPr>
          <w:p>
            <w:pPr>
              <w:pStyle w:val="10"/>
            </w:pPr>
            <w:r>
              <w:t>金额</w:t>
            </w:r>
          </w:p>
        </w:tc>
        <w:tc>
          <w:tcPr>
            <w:tcW w:w="3446" w:type="dxa"/>
            <w:vAlign w:val="center"/>
          </w:tcPr>
          <w:p>
            <w:pPr>
              <w:pStyle w:val="10"/>
            </w:pPr>
            <w:r>
              <w:t>项  目</w:t>
            </w:r>
          </w:p>
        </w:tc>
        <w:tc>
          <w:tcPr>
            <w:tcW w:w="994" w:type="dxa"/>
            <w:vAlign w:val="center"/>
          </w:tcPr>
          <w:p>
            <w:pPr>
              <w:pStyle w:val="10"/>
            </w:pPr>
            <w:r>
              <w:t>合计</w:t>
            </w:r>
          </w:p>
        </w:tc>
        <w:tc>
          <w:tcPr>
            <w:tcW w:w="1029" w:type="dxa"/>
            <w:vAlign w:val="center"/>
          </w:tcPr>
          <w:p>
            <w:pPr>
              <w:pStyle w:val="10"/>
            </w:pPr>
            <w:r>
              <w:t>一般公共预算财政拨款</w:t>
            </w:r>
          </w:p>
        </w:tc>
        <w:tc>
          <w:tcPr>
            <w:tcW w:w="874" w:type="dxa"/>
            <w:vAlign w:val="center"/>
          </w:tcPr>
          <w:p>
            <w:pPr>
              <w:pStyle w:val="10"/>
            </w:pPr>
            <w:r>
              <w:t>政府性基金预算财政    拨款</w:t>
            </w:r>
          </w:p>
        </w:tc>
        <w:tc>
          <w:tcPr>
            <w:tcW w:w="108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1460" w:type="dxa"/>
            <w:vAlign w:val="center"/>
          </w:tcPr>
          <w:p>
            <w:pPr>
              <w:pStyle w:val="10"/>
            </w:pPr>
            <w:r>
              <w:t>栏次</w:t>
            </w:r>
          </w:p>
        </w:tc>
        <w:tc>
          <w:tcPr>
            <w:tcW w:w="2692" w:type="dxa"/>
            <w:vAlign w:val="center"/>
          </w:tcPr>
          <w:p>
            <w:pPr>
              <w:pStyle w:val="10"/>
            </w:pPr>
            <w:r>
              <w:t>1</w:t>
            </w:r>
          </w:p>
        </w:tc>
        <w:tc>
          <w:tcPr>
            <w:tcW w:w="908" w:type="dxa"/>
            <w:vAlign w:val="center"/>
          </w:tcPr>
          <w:p>
            <w:pPr>
              <w:pStyle w:val="10"/>
            </w:pPr>
            <w:r>
              <w:t>2</w:t>
            </w:r>
          </w:p>
        </w:tc>
        <w:tc>
          <w:tcPr>
            <w:tcW w:w="3446" w:type="dxa"/>
            <w:vAlign w:val="center"/>
          </w:tcPr>
          <w:p>
            <w:pPr>
              <w:pStyle w:val="10"/>
            </w:pPr>
            <w:r>
              <w:t>3</w:t>
            </w:r>
          </w:p>
        </w:tc>
        <w:tc>
          <w:tcPr>
            <w:tcW w:w="994" w:type="dxa"/>
            <w:vAlign w:val="center"/>
          </w:tcPr>
          <w:p>
            <w:pPr>
              <w:pStyle w:val="10"/>
            </w:pPr>
            <w:r>
              <w:t>4</w:t>
            </w:r>
          </w:p>
        </w:tc>
        <w:tc>
          <w:tcPr>
            <w:tcW w:w="1029" w:type="dxa"/>
            <w:vAlign w:val="center"/>
          </w:tcPr>
          <w:p>
            <w:pPr>
              <w:pStyle w:val="10"/>
            </w:pPr>
            <w:r>
              <w:t>5</w:t>
            </w:r>
          </w:p>
        </w:tc>
        <w:tc>
          <w:tcPr>
            <w:tcW w:w="874" w:type="dxa"/>
            <w:vAlign w:val="center"/>
          </w:tcPr>
          <w:p>
            <w:pPr>
              <w:pStyle w:val="10"/>
            </w:pPr>
            <w:r>
              <w:t>6</w:t>
            </w:r>
          </w:p>
        </w:tc>
        <w:tc>
          <w:tcPr>
            <w:tcW w:w="108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w:t>
            </w:r>
          </w:p>
        </w:tc>
        <w:tc>
          <w:tcPr>
            <w:tcW w:w="2692" w:type="dxa"/>
            <w:vAlign w:val="center"/>
          </w:tcPr>
          <w:p>
            <w:pPr>
              <w:pStyle w:val="12"/>
              <w:rPr>
                <w:sz w:val="18"/>
                <w:szCs w:val="18"/>
              </w:rPr>
            </w:pPr>
            <w:r>
              <w:rPr>
                <w:sz w:val="18"/>
                <w:szCs w:val="18"/>
              </w:rPr>
              <w:t>一、一般公共预算拨款</w:t>
            </w:r>
          </w:p>
        </w:tc>
        <w:tc>
          <w:tcPr>
            <w:tcW w:w="908" w:type="dxa"/>
            <w:vAlign w:val="center"/>
          </w:tcPr>
          <w:p>
            <w:pPr>
              <w:pStyle w:val="11"/>
            </w:pPr>
            <w:r>
              <w:t>620.36</w:t>
            </w:r>
          </w:p>
        </w:tc>
        <w:tc>
          <w:tcPr>
            <w:tcW w:w="3446" w:type="dxa"/>
            <w:vAlign w:val="center"/>
          </w:tcPr>
          <w:p>
            <w:pPr>
              <w:pStyle w:val="12"/>
            </w:pPr>
            <w:r>
              <w:t>一、一般公共服务支出</w:t>
            </w:r>
          </w:p>
        </w:tc>
        <w:tc>
          <w:tcPr>
            <w:tcW w:w="994" w:type="dxa"/>
            <w:vAlign w:val="center"/>
          </w:tcPr>
          <w:p>
            <w:pPr>
              <w:pStyle w:val="11"/>
            </w:pPr>
            <w:r>
              <w:t>512.60</w:t>
            </w:r>
          </w:p>
        </w:tc>
        <w:tc>
          <w:tcPr>
            <w:tcW w:w="1029" w:type="dxa"/>
            <w:vAlign w:val="center"/>
          </w:tcPr>
          <w:p>
            <w:pPr>
              <w:pStyle w:val="11"/>
            </w:pPr>
            <w:r>
              <w:t>512.60</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w:t>
            </w:r>
          </w:p>
        </w:tc>
        <w:tc>
          <w:tcPr>
            <w:tcW w:w="2692" w:type="dxa"/>
            <w:vAlign w:val="center"/>
          </w:tcPr>
          <w:p>
            <w:pPr>
              <w:pStyle w:val="12"/>
              <w:rPr>
                <w:sz w:val="18"/>
                <w:szCs w:val="18"/>
              </w:rPr>
            </w:pPr>
            <w:r>
              <w:rPr>
                <w:sz w:val="18"/>
                <w:szCs w:val="18"/>
              </w:rPr>
              <w:t>二、政府性基金预算拨款</w:t>
            </w:r>
          </w:p>
        </w:tc>
        <w:tc>
          <w:tcPr>
            <w:tcW w:w="908" w:type="dxa"/>
            <w:vAlign w:val="center"/>
          </w:tcPr>
          <w:p>
            <w:pPr>
              <w:pStyle w:val="11"/>
            </w:pPr>
          </w:p>
        </w:tc>
        <w:tc>
          <w:tcPr>
            <w:tcW w:w="3446" w:type="dxa"/>
            <w:vAlign w:val="center"/>
          </w:tcPr>
          <w:p>
            <w:pPr>
              <w:pStyle w:val="12"/>
            </w:pPr>
            <w:r>
              <w:t>二、外交支出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w:t>
            </w:r>
          </w:p>
        </w:tc>
        <w:tc>
          <w:tcPr>
            <w:tcW w:w="2692" w:type="dxa"/>
            <w:vAlign w:val="center"/>
          </w:tcPr>
          <w:p>
            <w:pPr>
              <w:pStyle w:val="12"/>
              <w:rPr>
                <w:sz w:val="18"/>
                <w:szCs w:val="18"/>
              </w:rPr>
            </w:pPr>
            <w:r>
              <w:rPr>
                <w:sz w:val="18"/>
                <w:szCs w:val="18"/>
              </w:rPr>
              <w:t>三、国有资本经营预算拨款</w:t>
            </w:r>
          </w:p>
        </w:tc>
        <w:tc>
          <w:tcPr>
            <w:tcW w:w="908" w:type="dxa"/>
            <w:vAlign w:val="center"/>
          </w:tcPr>
          <w:p>
            <w:pPr>
              <w:pStyle w:val="11"/>
            </w:pPr>
          </w:p>
        </w:tc>
        <w:tc>
          <w:tcPr>
            <w:tcW w:w="3446" w:type="dxa"/>
            <w:vAlign w:val="center"/>
          </w:tcPr>
          <w:p>
            <w:pPr>
              <w:pStyle w:val="12"/>
            </w:pPr>
            <w:r>
              <w:t>三、国防支出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四、公共安全支出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五、教育支出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六、科学技术支出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七、文化旅游体育与传媒支出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八、社会保障和就业支出</w:t>
            </w:r>
          </w:p>
        </w:tc>
        <w:tc>
          <w:tcPr>
            <w:tcW w:w="994" w:type="dxa"/>
            <w:vAlign w:val="center"/>
          </w:tcPr>
          <w:p>
            <w:pPr>
              <w:pStyle w:val="11"/>
            </w:pPr>
            <w:r>
              <w:t>34.33</w:t>
            </w:r>
          </w:p>
        </w:tc>
        <w:tc>
          <w:tcPr>
            <w:tcW w:w="1029" w:type="dxa"/>
            <w:vAlign w:val="center"/>
          </w:tcPr>
          <w:p>
            <w:pPr>
              <w:pStyle w:val="11"/>
            </w:pPr>
            <w:r>
              <w:t>34.33</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九、社会保险基金支出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十、卫生健康支出</w:t>
            </w:r>
          </w:p>
        </w:tc>
        <w:tc>
          <w:tcPr>
            <w:tcW w:w="994" w:type="dxa"/>
            <w:vAlign w:val="center"/>
          </w:tcPr>
          <w:p>
            <w:pPr>
              <w:pStyle w:val="11"/>
            </w:pPr>
            <w:r>
              <w:t>49.28</w:t>
            </w:r>
          </w:p>
        </w:tc>
        <w:tc>
          <w:tcPr>
            <w:tcW w:w="1029" w:type="dxa"/>
            <w:vAlign w:val="center"/>
          </w:tcPr>
          <w:p>
            <w:pPr>
              <w:pStyle w:val="11"/>
            </w:pPr>
            <w:r>
              <w:t>49.28</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11</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十一、节能环保支出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12</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十二、城乡社区支出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13</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十三、农林水支出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十四、交通运输支出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十五、资源勘探工业信息等支出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十六、商业服务业等支出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十七、金融支出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十八、援助其他地区支出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1460" w:type="dxa"/>
            <w:vAlign w:val="center"/>
          </w:tcPr>
          <w:p>
            <w:pPr>
              <w:pStyle w:val="13"/>
            </w:pPr>
            <w:r>
              <w:t>19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十九、自然资源海洋气象等支出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二十、住房保障支出</w:t>
            </w:r>
          </w:p>
        </w:tc>
        <w:tc>
          <w:tcPr>
            <w:tcW w:w="994" w:type="dxa"/>
            <w:vAlign w:val="center"/>
          </w:tcPr>
          <w:p>
            <w:pPr>
              <w:pStyle w:val="11"/>
            </w:pPr>
            <w:r>
              <w:t>24.15</w:t>
            </w:r>
          </w:p>
        </w:tc>
        <w:tc>
          <w:tcPr>
            <w:tcW w:w="1029" w:type="dxa"/>
            <w:vAlign w:val="center"/>
          </w:tcPr>
          <w:p>
            <w:pPr>
              <w:pStyle w:val="11"/>
            </w:pPr>
            <w:r>
              <w:t>24.15</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21</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二十一、粮油物资储备支出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22</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二十二、国有资本经营预算支出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23</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二十三、灾害防治及应急管理支出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二十四、预备费</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二十五、其他支出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二十六、转移性支出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二十七、债务还本支出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二十八、债务付息支出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二十九、债务发行费用支出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三十、抗疫特别国债安排的支出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31</w:t>
            </w:r>
          </w:p>
        </w:tc>
        <w:tc>
          <w:tcPr>
            <w:tcW w:w="2692" w:type="dxa"/>
            <w:vAlign w:val="center"/>
          </w:tcPr>
          <w:p>
            <w:pPr>
              <w:pStyle w:val="14"/>
            </w:pPr>
            <w:r>
              <w:t>本年收入合计</w:t>
            </w:r>
          </w:p>
        </w:tc>
        <w:tc>
          <w:tcPr>
            <w:tcW w:w="908" w:type="dxa"/>
            <w:vAlign w:val="center"/>
          </w:tcPr>
          <w:p>
            <w:pPr>
              <w:pStyle w:val="15"/>
            </w:pPr>
            <w:r>
              <w:t>620.36</w:t>
            </w:r>
          </w:p>
        </w:tc>
        <w:tc>
          <w:tcPr>
            <w:tcW w:w="3446" w:type="dxa"/>
            <w:vAlign w:val="center"/>
          </w:tcPr>
          <w:p>
            <w:pPr>
              <w:pStyle w:val="14"/>
            </w:pPr>
            <w:r>
              <w:t>本年支出合计</w:t>
            </w:r>
          </w:p>
        </w:tc>
        <w:tc>
          <w:tcPr>
            <w:tcW w:w="994" w:type="dxa"/>
            <w:vAlign w:val="center"/>
          </w:tcPr>
          <w:p>
            <w:pPr>
              <w:pStyle w:val="15"/>
            </w:pPr>
            <w:r>
              <w:t>620.36</w:t>
            </w:r>
          </w:p>
        </w:tc>
        <w:tc>
          <w:tcPr>
            <w:tcW w:w="1029" w:type="dxa"/>
            <w:vAlign w:val="center"/>
          </w:tcPr>
          <w:p>
            <w:pPr>
              <w:pStyle w:val="15"/>
            </w:pPr>
            <w:r>
              <w:t>620.36</w:t>
            </w:r>
          </w:p>
        </w:tc>
        <w:tc>
          <w:tcPr>
            <w:tcW w:w="874"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32</w:t>
            </w:r>
          </w:p>
        </w:tc>
        <w:tc>
          <w:tcPr>
            <w:tcW w:w="2692" w:type="dxa"/>
            <w:vAlign w:val="center"/>
          </w:tcPr>
          <w:p>
            <w:pPr>
              <w:pStyle w:val="12"/>
              <w:rPr>
                <w:sz w:val="15"/>
                <w:szCs w:val="15"/>
              </w:rPr>
            </w:pPr>
            <w:r>
              <w:rPr>
                <w:sz w:val="15"/>
                <w:szCs w:val="15"/>
              </w:rPr>
              <w:t>年初财政拨款结转和结余</w:t>
            </w:r>
          </w:p>
        </w:tc>
        <w:tc>
          <w:tcPr>
            <w:tcW w:w="908" w:type="dxa"/>
            <w:vAlign w:val="center"/>
          </w:tcPr>
          <w:p>
            <w:pPr>
              <w:pStyle w:val="11"/>
            </w:pPr>
          </w:p>
        </w:tc>
        <w:tc>
          <w:tcPr>
            <w:tcW w:w="3446" w:type="dxa"/>
            <w:vAlign w:val="center"/>
          </w:tcPr>
          <w:p>
            <w:pPr>
              <w:pStyle w:val="12"/>
            </w:pPr>
            <w:r>
              <w:t>年末财政拨款结转和结余</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33</w:t>
            </w:r>
          </w:p>
        </w:tc>
        <w:tc>
          <w:tcPr>
            <w:tcW w:w="2692" w:type="dxa"/>
            <w:vAlign w:val="center"/>
          </w:tcPr>
          <w:p>
            <w:pPr>
              <w:pStyle w:val="12"/>
              <w:rPr>
                <w:sz w:val="15"/>
                <w:szCs w:val="15"/>
              </w:rPr>
            </w:pPr>
            <w:r>
              <w:rPr>
                <w:sz w:val="15"/>
                <w:szCs w:val="15"/>
              </w:rPr>
              <w:t>一、一般公共预算拨款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34</w:t>
            </w:r>
          </w:p>
        </w:tc>
        <w:tc>
          <w:tcPr>
            <w:tcW w:w="2692" w:type="dxa"/>
            <w:vAlign w:val="center"/>
          </w:tcPr>
          <w:p>
            <w:pPr>
              <w:pStyle w:val="12"/>
              <w:rPr>
                <w:sz w:val="15"/>
                <w:szCs w:val="15"/>
              </w:rPr>
            </w:pPr>
            <w:r>
              <w:rPr>
                <w:sz w:val="15"/>
                <w:szCs w:val="15"/>
              </w:rPr>
              <w:t>二、政府性基金预算拨款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35</w:t>
            </w:r>
          </w:p>
        </w:tc>
        <w:tc>
          <w:tcPr>
            <w:tcW w:w="2692" w:type="dxa"/>
            <w:vAlign w:val="center"/>
          </w:tcPr>
          <w:p>
            <w:pPr>
              <w:pStyle w:val="12"/>
              <w:rPr>
                <w:sz w:val="15"/>
                <w:szCs w:val="15"/>
              </w:rPr>
            </w:pPr>
            <w:r>
              <w:rPr>
                <w:sz w:val="15"/>
                <w:szCs w:val="15"/>
              </w:rPr>
              <w:t>三、国有资本经营预算拨款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36</w:t>
            </w:r>
          </w:p>
        </w:tc>
        <w:tc>
          <w:tcPr>
            <w:tcW w:w="2692" w:type="dxa"/>
            <w:vAlign w:val="center"/>
          </w:tcPr>
          <w:p>
            <w:pPr>
              <w:pStyle w:val="14"/>
            </w:pPr>
            <w:r>
              <w:t>收入总计</w:t>
            </w:r>
          </w:p>
        </w:tc>
        <w:tc>
          <w:tcPr>
            <w:tcW w:w="908" w:type="dxa"/>
            <w:vAlign w:val="center"/>
          </w:tcPr>
          <w:p>
            <w:pPr>
              <w:pStyle w:val="15"/>
            </w:pPr>
            <w:r>
              <w:t>620.36</w:t>
            </w:r>
          </w:p>
        </w:tc>
        <w:tc>
          <w:tcPr>
            <w:tcW w:w="3446" w:type="dxa"/>
            <w:vAlign w:val="center"/>
          </w:tcPr>
          <w:p>
            <w:pPr>
              <w:pStyle w:val="14"/>
            </w:pPr>
            <w:r>
              <w:t>支出总计</w:t>
            </w:r>
          </w:p>
        </w:tc>
        <w:tc>
          <w:tcPr>
            <w:tcW w:w="994" w:type="dxa"/>
            <w:vAlign w:val="center"/>
          </w:tcPr>
          <w:p>
            <w:pPr>
              <w:pStyle w:val="15"/>
            </w:pPr>
            <w:r>
              <w:t>620.36</w:t>
            </w:r>
          </w:p>
        </w:tc>
        <w:tc>
          <w:tcPr>
            <w:tcW w:w="1029" w:type="dxa"/>
            <w:vAlign w:val="center"/>
          </w:tcPr>
          <w:p>
            <w:pPr>
              <w:pStyle w:val="15"/>
            </w:pPr>
            <w:r>
              <w:t>620.36</w:t>
            </w:r>
          </w:p>
        </w:tc>
        <w:tc>
          <w:tcPr>
            <w:tcW w:w="874" w:type="dxa"/>
            <w:vAlign w:val="center"/>
          </w:tcPr>
          <w:p>
            <w:pPr>
              <w:pStyle w:val="15"/>
            </w:pPr>
          </w:p>
        </w:tc>
        <w:tc>
          <w:tcPr>
            <w:tcW w:w="108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620.36</w:t>
            </w:r>
          </w:p>
        </w:tc>
        <w:tc>
          <w:tcPr>
            <w:tcW w:w="2551" w:type="dxa"/>
            <w:vAlign w:val="center"/>
          </w:tcPr>
          <w:p>
            <w:pPr>
              <w:pStyle w:val="15"/>
            </w:pPr>
            <w:r>
              <w:t>534.36</w:t>
            </w: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单位</w:t>
            </w:r>
            <w:r>
              <w:t>养老支出</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w:t>
            </w:r>
            <w:r>
              <w:rPr>
                <w:rFonts w:hint="eastAsia"/>
                <w:lang w:eastAsia="zh-CN"/>
              </w:rPr>
              <w:t>单位</w:t>
            </w:r>
            <w:r>
              <w:t>离退休</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w:t>
            </w:r>
            <w:r>
              <w:rPr>
                <w:rFonts w:hint="eastAsia"/>
                <w:lang w:eastAsia="zh-CN"/>
              </w:rPr>
              <w:t>单位</w:t>
            </w:r>
            <w:r>
              <w:t>医疗</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w:t>
            </w:r>
            <w:r>
              <w:rPr>
                <w:rFonts w:hint="eastAsia"/>
                <w:lang w:eastAsia="zh-CN"/>
              </w:rPr>
              <w:t>单位</w:t>
            </w:r>
            <w:r>
              <w:t>医疗</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单位</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534.36</w:t>
            </w:r>
          </w:p>
        </w:tc>
        <w:tc>
          <w:tcPr>
            <w:tcW w:w="2551" w:type="dxa"/>
            <w:vAlign w:val="center"/>
          </w:tcPr>
          <w:p>
            <w:pPr>
              <w:pStyle w:val="15"/>
            </w:pPr>
            <w:r>
              <w:t>484.30</w:t>
            </w:r>
          </w:p>
        </w:tc>
        <w:tc>
          <w:tcPr>
            <w:tcW w:w="2551" w:type="dxa"/>
            <w:vAlign w:val="center"/>
          </w:tcPr>
          <w:p>
            <w:pPr>
              <w:pStyle w:val="15"/>
            </w:pPr>
            <w:r>
              <w:t>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453.26</w:t>
            </w:r>
          </w:p>
        </w:tc>
        <w:tc>
          <w:tcPr>
            <w:tcW w:w="2551" w:type="dxa"/>
            <w:vAlign w:val="center"/>
          </w:tcPr>
          <w:p>
            <w:pPr>
              <w:pStyle w:val="11"/>
            </w:pPr>
            <w:r>
              <w:t>453.26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109.47</w:t>
            </w:r>
          </w:p>
        </w:tc>
        <w:tc>
          <w:tcPr>
            <w:tcW w:w="2551" w:type="dxa"/>
            <w:vAlign w:val="center"/>
          </w:tcPr>
          <w:p>
            <w:pPr>
              <w:pStyle w:val="11"/>
            </w:pPr>
            <w:r>
              <w:t>109.47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104.24</w:t>
            </w:r>
          </w:p>
        </w:tc>
        <w:tc>
          <w:tcPr>
            <w:tcW w:w="2551" w:type="dxa"/>
            <w:vAlign w:val="center"/>
          </w:tcPr>
          <w:p>
            <w:pPr>
              <w:pStyle w:val="11"/>
            </w:pPr>
            <w:r>
              <w:t>104.24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单位</w:t>
            </w:r>
            <w:r>
              <w:t>基本养老保险缴费</w:t>
            </w:r>
          </w:p>
        </w:tc>
        <w:tc>
          <w:tcPr>
            <w:tcW w:w="2551" w:type="dxa"/>
            <w:vAlign w:val="center"/>
          </w:tcPr>
          <w:p>
            <w:pPr>
              <w:pStyle w:val="11"/>
            </w:pPr>
            <w:r>
              <w:t>32.20</w:t>
            </w:r>
          </w:p>
        </w:tc>
        <w:tc>
          <w:tcPr>
            <w:tcW w:w="2551" w:type="dxa"/>
            <w:vAlign w:val="center"/>
          </w:tcPr>
          <w:p>
            <w:pPr>
              <w:pStyle w:val="11"/>
            </w:pPr>
            <w:r>
              <w:t>32.20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16.10</w:t>
            </w:r>
          </w:p>
        </w:tc>
        <w:tc>
          <w:tcPr>
            <w:tcW w:w="2551" w:type="dxa"/>
            <w:vAlign w:val="center"/>
          </w:tcPr>
          <w:p>
            <w:pPr>
              <w:pStyle w:val="11"/>
            </w:pPr>
            <w:r>
              <w:t>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17.44</w:t>
            </w:r>
          </w:p>
        </w:tc>
        <w:tc>
          <w:tcPr>
            <w:tcW w:w="2551" w:type="dxa"/>
            <w:vAlign w:val="center"/>
          </w:tcPr>
          <w:p>
            <w:pPr>
              <w:pStyle w:val="11"/>
            </w:pPr>
            <w:r>
              <w:t>17.44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91.26</w:t>
            </w:r>
          </w:p>
        </w:tc>
        <w:tc>
          <w:tcPr>
            <w:tcW w:w="2551" w:type="dxa"/>
            <w:vAlign w:val="center"/>
          </w:tcPr>
          <w:p>
            <w:pPr>
              <w:pStyle w:val="11"/>
            </w:pPr>
            <w:r>
              <w:t>91.26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50.06</w:t>
            </w:r>
          </w:p>
        </w:tc>
        <w:tc>
          <w:tcPr>
            <w:tcW w:w="2551" w:type="dxa"/>
            <w:vAlign w:val="center"/>
          </w:tcPr>
          <w:p>
            <w:pPr>
              <w:pStyle w:val="11"/>
            </w:pPr>
          </w:p>
        </w:tc>
        <w:tc>
          <w:tcPr>
            <w:tcW w:w="2551" w:type="dxa"/>
            <w:vAlign w:val="center"/>
          </w:tcPr>
          <w:p>
            <w:pPr>
              <w:pStyle w:val="11"/>
            </w:pPr>
            <w:r>
              <w:t>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10.94</w:t>
            </w:r>
          </w:p>
        </w:tc>
        <w:tc>
          <w:tcPr>
            <w:tcW w:w="2551" w:type="dxa"/>
            <w:vAlign w:val="center"/>
          </w:tcPr>
          <w:p>
            <w:pPr>
              <w:pStyle w:val="11"/>
            </w:pPr>
          </w:p>
        </w:tc>
        <w:tc>
          <w:tcPr>
            <w:tcW w:w="2551" w:type="dxa"/>
            <w:vAlign w:val="center"/>
          </w:tcPr>
          <w:p>
            <w:pPr>
              <w:pStyle w:val="11"/>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2.19</w:t>
            </w:r>
          </w:p>
        </w:tc>
        <w:tc>
          <w:tcPr>
            <w:tcW w:w="2551" w:type="dxa"/>
            <w:vAlign w:val="center"/>
          </w:tcPr>
          <w:p>
            <w:pPr>
              <w:pStyle w:val="11"/>
            </w:pPr>
          </w:p>
        </w:tc>
        <w:tc>
          <w:tcPr>
            <w:tcW w:w="2551"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2.74</w:t>
            </w:r>
          </w:p>
        </w:tc>
        <w:tc>
          <w:tcPr>
            <w:tcW w:w="2551" w:type="dxa"/>
            <w:vAlign w:val="center"/>
          </w:tcPr>
          <w:p>
            <w:pPr>
              <w:pStyle w:val="11"/>
            </w:pPr>
          </w:p>
        </w:tc>
        <w:tc>
          <w:tcPr>
            <w:tcW w:w="2551"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15.89</w:t>
            </w:r>
          </w:p>
        </w:tc>
        <w:tc>
          <w:tcPr>
            <w:tcW w:w="2551" w:type="dxa"/>
            <w:vAlign w:val="center"/>
          </w:tcPr>
          <w:p>
            <w:pPr>
              <w:pStyle w:val="11"/>
            </w:pPr>
          </w:p>
        </w:tc>
        <w:tc>
          <w:tcPr>
            <w:tcW w:w="2551" w:type="dxa"/>
            <w:vAlign w:val="center"/>
          </w:tcPr>
          <w:p>
            <w:pPr>
              <w:pStyle w:val="11"/>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31.04</w:t>
            </w:r>
          </w:p>
        </w:tc>
        <w:tc>
          <w:tcPr>
            <w:tcW w:w="2551" w:type="dxa"/>
            <w:vAlign w:val="center"/>
          </w:tcPr>
          <w:p>
            <w:pPr>
              <w:pStyle w:val="11"/>
            </w:pPr>
            <w:r>
              <w:t>31.04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31.03</w:t>
            </w:r>
          </w:p>
        </w:tc>
        <w:tc>
          <w:tcPr>
            <w:tcW w:w="2551" w:type="dxa"/>
            <w:vAlign w:val="center"/>
          </w:tcPr>
          <w:p>
            <w:pPr>
              <w:pStyle w:val="11"/>
            </w:pPr>
            <w:r>
              <w:t>31.03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24</w:t>
            </w:r>
          </w:p>
        </w:tc>
        <w:tc>
          <w:tcPr>
            <w:tcW w:w="1643" w:type="dxa"/>
            <w:vAlign w:val="center"/>
          </w:tcPr>
          <w:p>
            <w:pPr>
              <w:pStyle w:val="12"/>
            </w:pPr>
            <w:r>
              <w:rPr>
                <w:rFonts w:hint="eastAsia" w:ascii="宋体" w:hAnsi="宋体" w:eastAsia="宋体" w:cs="宋体"/>
                <w:i w:val="0"/>
                <w:iCs w:val="0"/>
                <w:color w:val="000000"/>
                <w:kern w:val="0"/>
                <w:sz w:val="18"/>
                <w:szCs w:val="18"/>
                <w:u w:val="none"/>
                <w:lang w:val="en-US" w:eastAsia="zh-CN" w:bidi="ar"/>
              </w:rPr>
              <w:t>一、因公出国（境）费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25</w:t>
            </w: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643" w:type="dxa"/>
            <w:vAlign w:val="center"/>
          </w:tcPr>
          <w:p>
            <w:pPr>
              <w:jc w:val="right"/>
              <w:rPr>
                <w:rFonts w:asciiTheme="minorHAnsi" w:hAnsiTheme="minorHAnsi" w:eastAsiaTheme="minorEastAsia" w:cstheme="minorBidi"/>
                <w:kern w:val="2"/>
                <w:sz w:val="21"/>
                <w:szCs w:val="24"/>
                <w:lang w:val="en-US" w:eastAsia="zh-CN" w:bidi="ar-SA"/>
              </w:rPr>
            </w:pPr>
          </w:p>
        </w:tc>
        <w:tc>
          <w:tcPr>
            <w:tcW w:w="1643" w:type="dxa"/>
            <w:vAlign w:val="center"/>
          </w:tcPr>
          <w:p>
            <w:pPr>
              <w:jc w:val="right"/>
              <w:rPr>
                <w:rFonts w:asciiTheme="minorHAnsi" w:hAnsiTheme="minorHAnsi" w:eastAsiaTheme="minorEastAsia" w:cstheme="minorBidi"/>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唐山市开平区</w:t>
      </w:r>
      <w:r>
        <w:rPr>
          <w:rFonts w:hint="eastAsia" w:ascii="方正小标宋_GBK" w:hAnsi="方正小标宋_GBK" w:eastAsia="方正小标宋_GBK" w:cs="方正小标宋_GBK"/>
          <w:color w:val="000000"/>
          <w:sz w:val="44"/>
          <w:lang w:eastAsia="zh-CN"/>
        </w:rPr>
        <w:t>人民代表大会常务委员会</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ind w:firstLine="640" w:firstLineChars="200"/>
        <w:rPr>
          <w:rFonts w:hint="eastAsia" w:ascii="仿宋_GB2312" w:hAnsi="仿宋_GB2312" w:eastAsia="仿宋_GB2312" w:cs="仿宋_GB2312"/>
          <w:sz w:val="32"/>
          <w:szCs w:val="32"/>
        </w:rPr>
      </w:pPr>
      <w:bookmarkStart w:id="9" w:name="_Toc471398463"/>
      <w:bookmarkStart w:id="10" w:name="_Toc476833494"/>
      <w:bookmarkStart w:id="11" w:name="_Toc506105893"/>
      <w:r>
        <w:rPr>
          <w:rFonts w:hint="eastAsia" w:ascii="仿宋_GB2312" w:hAnsi="仿宋_GB2312" w:eastAsia="仿宋_GB2312" w:cs="仿宋_GB2312"/>
          <w:sz w:val="32"/>
          <w:szCs w:val="32"/>
        </w:rPr>
        <w:t>按照《预算法》、《地方预决算公开操作规程》和《关于进一步推进预算公开工作的实施意见》规定，现将唐山市开平区人民代表大会常务委员会2022年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spacing w:before="10" w:after="10" w:line="360" w:lineRule="auto"/>
        <w:ind w:firstLine="640"/>
        <w:jc w:val="left"/>
        <w:outlineLvl w:val="2"/>
      </w:pPr>
      <w:bookmarkStart w:id="12"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2"/>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机构设置：</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人大办公室、选举任免代表工作委员会、法制工作委员会、财政经济工作委员会、教育科技文化卫生工作委员会。</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主要职责：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进行执法检查；围绕政府工作报告内容开展调查研究，开展专题询问和工作评议；对“一府两院”进行监督。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组织专门委员会委员对法律实施情况进行检查；组织区人大常委会委员及人大代表进行执法检查和集中视察；开展代表建议督办；组织对常委会委员及代表培训。</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区人民代表大会和常务委员会各种会议的筹备、会务工作，负责常委会文件起草、审核把关，常委会会议、主任会议及常委会党组会议决定事项、工作部署、重要文件及领导批示的传达和督办。</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承担区人民代表大会和常务委员会各种会议的筹备、会务工作，负责常委会文件起草、审核把关常委会会议、主任会议及常委会党组会议决定事项、工作部署、重要文件及领导批示的传达和督办。</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检查监督代表法、选举法及其实施办法的贯彻实施；承担人大换届选举及人事任免服务工作；负责对区人民政府组成人员和区级人民法院、人民检察院主要负责人的目标责任书、述职报告的督办工作。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选举及人事任免服务工作；负责区人民政府组成人员和区级人民法院、人民检察院主要负责人的目标责任书、述职报告的督办工作。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承担区人大换届选举、区领导人的选举和常委会人事任免的服务工作；指导镇人大换届选举工作；负责对区人民政府组成人员和区人民法院、区人民检察院主要负责人的目标责任书、述职报告的督办工作。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新闻宣传和机关信息化建设与维护；人代会及常委会机关基础设施建设与维护；区人大机关日常管理事务；信访工作。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办理来信来访，区人大日常活动，代表大会和常委会会议公报、人大工作年鉴；负责与外县（区）、市人大常委会联系。</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rPr>
                <w:rFonts w:hint="eastAsia"/>
                <w:lang w:eastAsia="zh-CN"/>
              </w:rPr>
              <w:t>单位</w:t>
            </w:r>
            <w:r>
              <w:t>名称</w:t>
            </w:r>
          </w:p>
        </w:tc>
        <w:tc>
          <w:tcPr>
            <w:tcW w:w="2464" w:type="dxa"/>
            <w:vAlign w:val="center"/>
          </w:tcPr>
          <w:p>
            <w:pPr>
              <w:pStyle w:val="10"/>
            </w:pPr>
            <w:r>
              <w:rPr>
                <w:rFonts w:hint="eastAsia"/>
                <w:lang w:eastAsia="zh-CN"/>
              </w:rPr>
              <w:t>单位</w:t>
            </w:r>
            <w:r>
              <w:t>性质</w:t>
            </w:r>
          </w:p>
        </w:tc>
        <w:tc>
          <w:tcPr>
            <w:tcW w:w="2464" w:type="dxa"/>
            <w:vAlign w:val="center"/>
          </w:tcPr>
          <w:p>
            <w:pPr>
              <w:pStyle w:val="10"/>
            </w:pPr>
            <w:r>
              <w:rPr>
                <w:rFonts w:hint="eastAsia"/>
                <w:lang w:eastAsia="zh-CN"/>
              </w:rPr>
              <w:t>单位</w:t>
            </w:r>
            <w:r>
              <w:t>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唐山市开平区人民代表大会常务委员会本级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360" w:lineRule="auto"/>
        <w:ind w:firstLine="640"/>
        <w:jc w:val="left"/>
        <w:outlineLvl w:val="2"/>
      </w:pPr>
      <w:bookmarkStart w:id="13"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3"/>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按照预算管理有关规定，目前我省单位预算的编制实行综合预算管理，即全部收入和支出都反映在预算中。唐山市开平区人民代表大会常务委员会机关及所属事业单位的收支包含在单位预算中。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1、收入说明</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2022年收入预算共计620.36万元。其中：一般公共预算收入620.36万元，基金预算收入0万元，其他来源收入0万元。</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2、支出说明</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2022年支出预算共计620.36万元，其中基本支出534.36万元，人员经费支出预算484.30万元，日常公用经费支出预算50.06万元，项目支出86万元。</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3、比上年增减情况</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经过对比，2022年财政拨款预算比2021年增加131.52万元 ，主要原因是人员经费增加133.03万元（人员增加且工资水平提高），日常公用经费增加8.49元（人员增加），项目支出经费减少10万元（2022年减少人大换届项目）。</w:t>
      </w:r>
    </w:p>
    <w:p>
      <w:pPr>
        <w:spacing w:before="10" w:after="10" w:line="360" w:lineRule="auto"/>
        <w:ind w:firstLine="640"/>
        <w:jc w:val="left"/>
        <w:outlineLvl w:val="2"/>
        <w:rPr>
          <w:color w:val="0000FF"/>
          <w:u w:val="single"/>
        </w:rPr>
      </w:pPr>
      <w:bookmarkStart w:id="14" w:name="_Toc_3_3_0000000012"/>
      <w:r>
        <w:rPr>
          <w:rFonts w:ascii="黑体" w:hAnsi="黑体" w:eastAsia="黑体" w:cs="黑体"/>
          <w:color w:val="auto"/>
          <w:sz w:val="32"/>
          <w:u w:val="none"/>
        </w:rPr>
        <w:t>三、机关运行经费安排情况</w:t>
      </w:r>
      <w:bookmarkEnd w:id="14"/>
    </w:p>
    <w:p>
      <w:pPr>
        <w:ind w:firstLine="640"/>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kern w:val="2"/>
          <w:sz w:val="32"/>
          <w:szCs w:val="32"/>
          <w:lang w:val="en-US" w:eastAsia="zh-CN" w:bidi="ar-SA"/>
        </w:rPr>
        <w:t>50.06万</w:t>
      </w:r>
      <w:r>
        <w:rPr>
          <w:rFonts w:hint="eastAsia" w:ascii="仿宋_GB2312" w:hAnsi="仿宋_GB2312" w:eastAsia="仿宋_GB2312" w:cs="仿宋_GB2312"/>
          <w:sz w:val="32"/>
          <w:szCs w:val="32"/>
        </w:rPr>
        <w:t>元，主要用于保证正常办公的基本需要和维持</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日常业务运转，包括：办公费、水电费、邮电费、取暖费、交通费、差旅费、公务用车运行维护费和其他费。</w:t>
      </w:r>
    </w:p>
    <w:p>
      <w:pPr>
        <w:spacing w:before="10" w:after="10" w:line="360" w:lineRule="auto"/>
        <w:ind w:firstLine="640"/>
        <w:jc w:val="left"/>
        <w:outlineLvl w:val="2"/>
      </w:pPr>
      <w:bookmarkStart w:id="15" w:name="_Toc_3_3_0000000013"/>
      <w:r>
        <w:rPr>
          <w:rFonts w:ascii="黑体" w:hAnsi="黑体" w:eastAsia="黑体" w:cs="黑体"/>
          <w:color w:val="000000"/>
          <w:sz w:val="32"/>
        </w:rPr>
        <w:t>四、财政拨款“三公”经费预算情况及增减变化原因</w:t>
      </w:r>
      <w:bookmarkEnd w:id="15"/>
    </w:p>
    <w:p>
      <w:pPr>
        <w:spacing w:line="600" w:lineRule="exact"/>
        <w:ind w:firstLine="640" w:firstLineChars="200"/>
        <w:rPr>
          <w:rFonts w:ascii="仿宋" w:hAnsi="宋体" w:eastAsia="仿宋" w:cs="Arial"/>
          <w:color w:val="000000"/>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“三公”经费预算安排9万元</w:t>
      </w:r>
      <w:r>
        <w:rPr>
          <w:rFonts w:hint="eastAsia" w:ascii="仿宋" w:hAnsi="宋体" w:eastAsia="仿宋" w:cs="Arial"/>
          <w:color w:val="000000"/>
          <w:kern w:val="0"/>
          <w:sz w:val="32"/>
          <w:szCs w:val="32"/>
        </w:rPr>
        <w:t xml:space="preserve"> ，</w:t>
      </w:r>
      <w:r>
        <w:rPr>
          <w:rFonts w:hint="eastAsia" w:ascii="仿宋_GB2312" w:hAnsi="仿宋_GB2312" w:eastAsia="仿宋_GB2312" w:cs="仿宋_GB2312"/>
          <w:sz w:val="32"/>
          <w:szCs w:val="32"/>
        </w:rPr>
        <w:t>与上年预算持平,无增减变化</w:t>
      </w:r>
      <w:r>
        <w:rPr>
          <w:rFonts w:hint="eastAsia" w:ascii="仿宋" w:hAnsi="宋体" w:eastAsia="仿宋" w:cs="Arial"/>
          <w:color w:val="000000"/>
          <w:kern w:val="0"/>
          <w:sz w:val="32"/>
          <w:szCs w:val="32"/>
        </w:rPr>
        <w:t>。具体安排情况为：</w:t>
      </w:r>
    </w:p>
    <w:p>
      <w:pPr>
        <w:numPr>
          <w:ilvl w:val="0"/>
          <w:numId w:val="0"/>
        </w:numPr>
        <w:ind w:firstLine="640" w:firstLineChars="200"/>
        <w:rPr>
          <w:rFonts w:ascii="仿宋_GB2312" w:hAnsi="仿宋_GB2312" w:eastAsia="仿宋_GB2312" w:cs="仿宋_GB2312"/>
          <w:sz w:val="32"/>
          <w:szCs w:val="32"/>
        </w:rPr>
      </w:pPr>
      <w:r>
        <w:rPr>
          <w:rFonts w:hint="eastAsia" w:ascii="仿宋" w:hAnsi="宋体" w:eastAsia="仿宋" w:cs="Arial"/>
          <w:color w:val="000000"/>
          <w:kern w:val="0"/>
          <w:sz w:val="32"/>
          <w:szCs w:val="32"/>
        </w:rPr>
        <w:t>1、公务用车购置及运行维护费。共计安排9万元，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 w:hAnsi="仿宋" w:eastAsia="仿宋" w:cs="Arial"/>
          <w:color w:val="000000"/>
          <w:kern w:val="0"/>
          <w:sz w:val="32"/>
          <w:szCs w:val="32"/>
        </w:rPr>
        <w:t>①公务用车购置安排0万元，与上年持平。②公车运行维护经费安排9万元，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_GB2312" w:hAnsi="仿宋_GB2312" w:eastAsia="仿宋_GB2312" w:cs="仿宋_GB2312"/>
          <w:sz w:val="32"/>
          <w:szCs w:val="32"/>
        </w:rPr>
        <w:t>持平原因:因人大有四辆公车，车辆每年的保养、维修、保险等支出</w:t>
      </w:r>
      <w:r>
        <w:rPr>
          <w:rFonts w:hint="eastAsia" w:ascii="仿宋" w:hAnsi="宋体" w:eastAsia="仿宋" w:cs="Arial"/>
          <w:color w:val="000000"/>
          <w:kern w:val="0"/>
          <w:sz w:val="32"/>
          <w:szCs w:val="32"/>
        </w:rPr>
        <w:t>）。</w:t>
      </w:r>
    </w:p>
    <w:p>
      <w:pPr>
        <w:spacing w:line="600" w:lineRule="exact"/>
        <w:ind w:firstLine="640" w:firstLineChars="200"/>
        <w:rPr>
          <w:rFonts w:hint="eastAsia" w:ascii="仿宋" w:hAnsi="宋体" w:eastAsia="仿宋" w:cs="Arial"/>
          <w:color w:val="000000"/>
          <w:kern w:val="0"/>
          <w:sz w:val="32"/>
          <w:szCs w:val="32"/>
          <w:lang w:eastAsia="zh-CN"/>
        </w:rPr>
      </w:pPr>
      <w:r>
        <w:rPr>
          <w:rFonts w:hint="eastAsia" w:ascii="仿宋" w:hAnsi="宋体" w:eastAsia="仿宋" w:cs="Arial"/>
          <w:color w:val="000000"/>
          <w:kern w:val="0"/>
          <w:sz w:val="32"/>
          <w:szCs w:val="32"/>
        </w:rPr>
        <w:t>2、公务接待费。安排0元，与上年持平,无增减变化。</w:t>
      </w:r>
      <w:r>
        <w:rPr>
          <w:rFonts w:hint="eastAsia" w:ascii="仿宋" w:hAnsi="宋体" w:eastAsia="仿宋" w:cs="Arial"/>
          <w:color w:val="000000"/>
          <w:kern w:val="0"/>
          <w:sz w:val="32"/>
          <w:szCs w:val="32"/>
          <w:lang w:eastAsia="zh-CN"/>
        </w:rPr>
        <w:t>主要原因是无此项支出。</w:t>
      </w:r>
    </w:p>
    <w:p>
      <w:pPr>
        <w:spacing w:line="600" w:lineRule="exact"/>
        <w:ind w:firstLine="640" w:firstLineChars="200"/>
      </w:pPr>
      <w:r>
        <w:rPr>
          <w:rFonts w:hint="eastAsia" w:ascii="仿宋" w:hAnsi="宋体" w:eastAsia="仿宋" w:cs="Arial"/>
          <w:color w:val="000000"/>
          <w:kern w:val="0"/>
          <w:sz w:val="32"/>
          <w:szCs w:val="32"/>
        </w:rPr>
        <w:t>3、因公出国(境)费。安排0元，与上年持平，无增减变化。</w:t>
      </w:r>
      <w:r>
        <w:rPr>
          <w:rFonts w:hint="eastAsia" w:ascii="仿宋" w:hAnsi="宋体" w:eastAsia="仿宋" w:cs="Arial"/>
          <w:color w:val="000000"/>
          <w:kern w:val="0"/>
          <w:sz w:val="32"/>
          <w:szCs w:val="32"/>
          <w:lang w:eastAsia="zh-CN"/>
        </w:rPr>
        <w:t>主要原因是无此项支出。</w:t>
      </w:r>
    </w:p>
    <w:p>
      <w:pPr>
        <w:spacing w:before="10" w:after="10" w:line="360" w:lineRule="auto"/>
        <w:ind w:firstLine="640"/>
        <w:jc w:val="left"/>
        <w:outlineLvl w:val="2"/>
      </w:pPr>
      <w:bookmarkStart w:id="16" w:name="_Toc_3_3_0000000014"/>
      <w:r>
        <w:rPr>
          <w:rFonts w:ascii="黑体" w:hAnsi="黑体" w:eastAsia="黑体" w:cs="黑体"/>
          <w:color w:val="000000"/>
          <w:sz w:val="32"/>
        </w:rPr>
        <w:t>五、预算绩效信息</w:t>
      </w:r>
      <w:bookmarkEnd w:id="16"/>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深入贯彻落实党的十九大精神，以建设节约型机关为主线，以制度体系建设为抓手，更加注重问题导向，着力推进机关事务改革创新，着力提高管理能力，着力提升服务水平，着力优化保障质量，努力为建设廉洁务实高效机关、依法全面履行人大职能</w:t>
      </w:r>
      <w:r>
        <w:rPr>
          <w:rFonts w:hint="eastAsia" w:ascii="仿宋_GB2312" w:hAnsi="仿宋_GB2312" w:eastAsia="仿宋_GB2312" w:cs="仿宋_GB2312"/>
          <w:sz w:val="32"/>
          <w:szCs w:val="32"/>
          <w:lang w:eastAsia="zh-CN"/>
        </w:rPr>
        <w:t>作</w:t>
      </w:r>
      <w:bookmarkStart w:id="19" w:name="_GoBack"/>
      <w:bookmarkEnd w:id="19"/>
      <w:r>
        <w:rPr>
          <w:rFonts w:hint="eastAsia" w:ascii="仿宋_GB2312" w:hAnsi="仿宋_GB2312" w:eastAsia="仿宋_GB2312" w:cs="仿宋_GB2312"/>
          <w:sz w:val="32"/>
          <w:szCs w:val="32"/>
        </w:rPr>
        <w:t>出贡献。</w:t>
      </w:r>
    </w:p>
    <w:bookmarkEnd w:id="9"/>
    <w:bookmarkEnd w:id="10"/>
    <w:bookmarkEnd w:id="11"/>
    <w:p>
      <w:pPr>
        <w:spacing w:before="10" w:after="10" w:line="240" w:lineRule="auto"/>
        <w:ind w:firstLine="640"/>
        <w:jc w:val="left"/>
        <w:outlineLvl w:val="2"/>
        <w:rPr>
          <w:rFonts w:ascii="黑体" w:hAnsi="黑体" w:eastAsia="黑体" w:cs="黑体"/>
          <w:color w:val="000000"/>
          <w:sz w:val="32"/>
        </w:rPr>
      </w:pPr>
      <w:bookmarkStart w:id="17" w:name="_Toc_3_3_0000000015"/>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pPr>
      <w:r>
        <w:rPr>
          <w:rFonts w:ascii="方正仿宋_GBK" w:hAnsi="方正仿宋_GBK" w:eastAsia="方正仿宋_GBK" w:cs="方正仿宋_GBK"/>
          <w:b/>
          <w:color w:val="000000"/>
          <w:sz w:val="28"/>
        </w:rPr>
        <w:t>1、人大代表活动本级绩效目标表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1.提高法规质量，保障其有效实施</w:t>
            </w:r>
          </w:p>
          <w:p>
            <w:pPr>
              <w:pStyle w:val="12"/>
            </w:pPr>
            <w:r>
              <w:t>2.发挥常委及代表的桥梁纽带作用，集中反映民意，促进依法履职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执法检查和集中视察率</w:t>
            </w:r>
          </w:p>
        </w:tc>
        <w:tc>
          <w:tcPr>
            <w:tcW w:w="2835" w:type="dxa"/>
            <w:vAlign w:val="center"/>
          </w:tcPr>
          <w:p>
            <w:pPr>
              <w:pStyle w:val="12"/>
            </w:pPr>
            <w:r>
              <w:t>反映年度执法检查和集中视察完成情况</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人大代表之家建设推进完成率</w:t>
            </w:r>
          </w:p>
        </w:tc>
        <w:tc>
          <w:tcPr>
            <w:tcW w:w="2835" w:type="dxa"/>
            <w:vAlign w:val="center"/>
          </w:tcPr>
          <w:p>
            <w:pPr>
              <w:pStyle w:val="12"/>
            </w:pPr>
            <w:r>
              <w:t>按照上及要求各项指标完成情况</w:t>
            </w:r>
          </w:p>
        </w:tc>
        <w:tc>
          <w:tcPr>
            <w:tcW w:w="2551" w:type="dxa"/>
            <w:vAlign w:val="center"/>
          </w:tcPr>
          <w:p>
            <w:pPr>
              <w:pStyle w:val="12"/>
            </w:pPr>
            <w:r>
              <w:t>100%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培训计划完成率</w:t>
            </w:r>
          </w:p>
        </w:tc>
        <w:tc>
          <w:tcPr>
            <w:tcW w:w="2835" w:type="dxa"/>
            <w:vAlign w:val="center"/>
          </w:tcPr>
          <w:p>
            <w:pPr>
              <w:pStyle w:val="12"/>
            </w:pPr>
            <w:r>
              <w:t>反映实际培训数量占年计划的比率</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各项监督成效</w:t>
            </w:r>
          </w:p>
        </w:tc>
        <w:tc>
          <w:tcPr>
            <w:tcW w:w="2835" w:type="dxa"/>
            <w:vAlign w:val="center"/>
          </w:tcPr>
          <w:p>
            <w:pPr>
              <w:pStyle w:val="12"/>
            </w:pPr>
            <w:r>
              <w:t>各项监督取得的实际整改效果</w:t>
            </w:r>
          </w:p>
        </w:tc>
        <w:tc>
          <w:tcPr>
            <w:tcW w:w="2551" w:type="dxa"/>
            <w:vAlign w:val="center"/>
          </w:tcPr>
          <w:p>
            <w:pPr>
              <w:pStyle w:val="12"/>
            </w:pPr>
            <w:r>
              <w:t>各项监督取得良好成效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代表联系选民密切度</w:t>
            </w:r>
          </w:p>
        </w:tc>
        <w:tc>
          <w:tcPr>
            <w:tcW w:w="2835" w:type="dxa"/>
            <w:vAlign w:val="center"/>
          </w:tcPr>
          <w:p>
            <w:pPr>
              <w:pStyle w:val="12"/>
            </w:pPr>
            <w:r>
              <w:t>发挥常委及代表的桥梁纽带作用，集中反映民意，促进依法履职完成情况</w:t>
            </w:r>
          </w:p>
        </w:tc>
        <w:tc>
          <w:tcPr>
            <w:tcW w:w="2551" w:type="dxa"/>
            <w:vAlign w:val="center"/>
          </w:tcPr>
          <w:p>
            <w:pPr>
              <w:pStyle w:val="12"/>
            </w:pPr>
            <w:r>
              <w:t>代表联系选民紧密度</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培训效果</w:t>
            </w:r>
          </w:p>
        </w:tc>
        <w:tc>
          <w:tcPr>
            <w:tcW w:w="2835" w:type="dxa"/>
            <w:vAlign w:val="center"/>
          </w:tcPr>
          <w:p>
            <w:pPr>
              <w:pStyle w:val="12"/>
            </w:pPr>
            <w:r>
              <w:t>代表通过学习、培训，履职水平的有不同程度的提高</w:t>
            </w:r>
          </w:p>
        </w:tc>
        <w:tc>
          <w:tcPr>
            <w:tcW w:w="2551" w:type="dxa"/>
            <w:vAlign w:val="center"/>
          </w:tcPr>
          <w:p>
            <w:pPr>
              <w:pStyle w:val="12"/>
            </w:pPr>
            <w:r>
              <w:t>代表培训取得成效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代表之家运行效果满意度</w:t>
            </w:r>
          </w:p>
        </w:tc>
        <w:tc>
          <w:tcPr>
            <w:tcW w:w="2835" w:type="dxa"/>
            <w:vAlign w:val="center"/>
          </w:tcPr>
          <w:p>
            <w:pPr>
              <w:pStyle w:val="12"/>
            </w:pPr>
            <w:r>
              <w:t>代表之家为人大代表联系选民、开展议政活动起到的作用</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2、人民代表大会本级绩效目标表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1.保障会议顺利召开，完成各项会议议程。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各项会议完成率</w:t>
            </w:r>
          </w:p>
        </w:tc>
        <w:tc>
          <w:tcPr>
            <w:tcW w:w="2835" w:type="dxa"/>
            <w:vAlign w:val="center"/>
          </w:tcPr>
          <w:p>
            <w:pPr>
              <w:pStyle w:val="12"/>
            </w:pPr>
            <w:r>
              <w:t>人代会、常委会、主任会、座谈会等实际与计划比率</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各项会议议程完成度</w:t>
            </w:r>
          </w:p>
        </w:tc>
        <w:tc>
          <w:tcPr>
            <w:tcW w:w="2835" w:type="dxa"/>
            <w:vAlign w:val="center"/>
          </w:tcPr>
          <w:p>
            <w:pPr>
              <w:pStyle w:val="12"/>
            </w:pPr>
            <w:r>
              <w:t>人大会议职务任免、各项决议等议程完成情况</w:t>
            </w:r>
          </w:p>
        </w:tc>
        <w:tc>
          <w:tcPr>
            <w:tcW w:w="2551" w:type="dxa"/>
            <w:vAlign w:val="center"/>
          </w:tcPr>
          <w:p>
            <w:pPr>
              <w:pStyle w:val="12"/>
            </w:pPr>
            <w:r>
              <w:t>人大会议职务任免、各项决议等议程完成情况</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各项会议履行人大法定职责保障度</w:t>
            </w:r>
          </w:p>
        </w:tc>
        <w:tc>
          <w:tcPr>
            <w:tcW w:w="2835" w:type="dxa"/>
            <w:vAlign w:val="center"/>
          </w:tcPr>
          <w:p>
            <w:pPr>
              <w:pStyle w:val="12"/>
            </w:pPr>
            <w:r>
              <w:t>通过人大会议履行人大法定监督职责取得的成效</w:t>
            </w:r>
          </w:p>
        </w:tc>
        <w:tc>
          <w:tcPr>
            <w:tcW w:w="2551" w:type="dxa"/>
            <w:vAlign w:val="center"/>
          </w:tcPr>
          <w:p>
            <w:pPr>
              <w:pStyle w:val="12"/>
            </w:pPr>
            <w:r>
              <w:t>通过人大会议履行人大法定监督职责取得的成效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专项印刷完成率</w:t>
            </w:r>
          </w:p>
        </w:tc>
        <w:tc>
          <w:tcPr>
            <w:tcW w:w="2835" w:type="dxa"/>
            <w:vAlign w:val="center"/>
          </w:tcPr>
          <w:p>
            <w:pPr>
              <w:pStyle w:val="12"/>
            </w:pPr>
            <w:r>
              <w:t>人大各项会议材料、会议公报、法律法规、履职手册等专项印刷的完成情况</w:t>
            </w:r>
          </w:p>
        </w:tc>
        <w:tc>
          <w:tcPr>
            <w:tcW w:w="2551" w:type="dxa"/>
            <w:vAlign w:val="center"/>
          </w:tcPr>
          <w:p>
            <w:pPr>
              <w:pStyle w:val="12"/>
            </w:pPr>
            <w:r>
              <w:t>100%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专项工作评议效果</w:t>
            </w:r>
          </w:p>
        </w:tc>
        <w:tc>
          <w:tcPr>
            <w:tcW w:w="2835" w:type="dxa"/>
            <w:vAlign w:val="center"/>
          </w:tcPr>
          <w:p>
            <w:pPr>
              <w:pStyle w:val="12"/>
            </w:pPr>
            <w:r>
              <w:t>对政府专项工作评议后，意见和建议落实整改</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代表通过会议履职保障度</w:t>
            </w:r>
          </w:p>
        </w:tc>
        <w:tc>
          <w:tcPr>
            <w:tcW w:w="2835" w:type="dxa"/>
            <w:vAlign w:val="center"/>
          </w:tcPr>
          <w:p>
            <w:pPr>
              <w:pStyle w:val="12"/>
            </w:pPr>
            <w:r>
              <w:t>代表通过会议行使表决权、监督权情况</w:t>
            </w:r>
          </w:p>
        </w:tc>
        <w:tc>
          <w:tcPr>
            <w:tcW w:w="2551" w:type="dxa"/>
            <w:vAlign w:val="center"/>
          </w:tcPr>
          <w:p>
            <w:pPr>
              <w:pStyle w:val="12"/>
            </w:pPr>
            <w:r>
              <w:t>代表通过参加会议履行职责得到的保障度</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代表通过会议行使权利满意度</w:t>
            </w:r>
          </w:p>
        </w:tc>
        <w:tc>
          <w:tcPr>
            <w:tcW w:w="2835" w:type="dxa"/>
            <w:vAlign w:val="center"/>
          </w:tcPr>
          <w:p>
            <w:pPr>
              <w:pStyle w:val="12"/>
            </w:pPr>
            <w:r>
              <w:t>代表通过参加会议代表人民行使权利保障情况</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3、信息化建设本级绩效目标表</w:t>
      </w:r>
    </w:p>
    <w:tbl>
      <w:tblPr>
        <w:tblStyle w:val="4"/>
        <w:tblW w:w="1410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703"/>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703"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1.确保新闻宣传工作正常开展，信息化系统及设备运转正常。</w:t>
            </w:r>
          </w:p>
          <w:p>
            <w:pPr>
              <w:pStyle w:val="12"/>
            </w:pPr>
            <w:r>
              <w:t>2.按上级规定完成预算监督联网中心各项工作。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1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3"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老旧信息化设备更新率</w:t>
            </w:r>
          </w:p>
        </w:tc>
        <w:tc>
          <w:tcPr>
            <w:tcW w:w="2466" w:type="dxa"/>
            <w:vAlign w:val="center"/>
          </w:tcPr>
          <w:p>
            <w:pPr>
              <w:pStyle w:val="12"/>
            </w:pPr>
            <w:r>
              <w:t>更新信息化设备保障正常办公</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质量指标</w:t>
            </w:r>
          </w:p>
        </w:tc>
        <w:tc>
          <w:tcPr>
            <w:tcW w:w="2466" w:type="dxa"/>
            <w:vAlign w:val="center"/>
          </w:tcPr>
          <w:p>
            <w:pPr>
              <w:pStyle w:val="12"/>
            </w:pPr>
            <w:r>
              <w:t>门户网站运行保障度</w:t>
            </w:r>
          </w:p>
        </w:tc>
        <w:tc>
          <w:tcPr>
            <w:tcW w:w="2466" w:type="dxa"/>
            <w:vAlign w:val="center"/>
          </w:tcPr>
          <w:p>
            <w:pPr>
              <w:pStyle w:val="12"/>
            </w:pPr>
            <w:r>
              <w:t>门户网站正常运行</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时效指标</w:t>
            </w:r>
          </w:p>
        </w:tc>
        <w:tc>
          <w:tcPr>
            <w:tcW w:w="2466" w:type="dxa"/>
            <w:vAlign w:val="center"/>
          </w:tcPr>
          <w:p>
            <w:pPr>
              <w:pStyle w:val="12"/>
            </w:pPr>
            <w:r>
              <w:t>新闻宣传保障度</w:t>
            </w:r>
          </w:p>
        </w:tc>
        <w:tc>
          <w:tcPr>
            <w:tcW w:w="2466" w:type="dxa"/>
            <w:vAlign w:val="center"/>
          </w:tcPr>
          <w:p>
            <w:pPr>
              <w:pStyle w:val="12"/>
            </w:pPr>
            <w:r>
              <w:t>保障年度新闻宣传任务顺利完成</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成本指标</w:t>
            </w:r>
          </w:p>
        </w:tc>
        <w:tc>
          <w:tcPr>
            <w:tcW w:w="2466" w:type="dxa"/>
            <w:vAlign w:val="center"/>
          </w:tcPr>
          <w:p>
            <w:pPr>
              <w:pStyle w:val="12"/>
            </w:pPr>
            <w:r>
              <w:t>人大预算联网中心运行保障度</w:t>
            </w:r>
          </w:p>
        </w:tc>
        <w:tc>
          <w:tcPr>
            <w:tcW w:w="2466" w:type="dxa"/>
            <w:vAlign w:val="center"/>
          </w:tcPr>
          <w:p>
            <w:pPr>
              <w:pStyle w:val="12"/>
            </w:pPr>
            <w:r>
              <w:t>预算联网监督正常运行</w:t>
            </w:r>
          </w:p>
        </w:tc>
        <w:tc>
          <w:tcPr>
            <w:tcW w:w="2466" w:type="dxa"/>
            <w:vAlign w:val="center"/>
          </w:tcPr>
          <w:p>
            <w:pPr>
              <w:pStyle w:val="12"/>
            </w:pPr>
            <w:r>
              <w:t>100%</w:t>
            </w:r>
          </w:p>
        </w:tc>
        <w:tc>
          <w:tcPr>
            <w:tcW w:w="2466" w:type="dxa"/>
            <w:vAlign w:val="center"/>
          </w:tcPr>
          <w:p>
            <w:pPr>
              <w:pStyle w:val="12"/>
              <w:rPr>
                <w:sz w:val="15"/>
                <w:szCs w:val="15"/>
              </w:rPr>
            </w:pPr>
            <w:r>
              <w:rPr>
                <w:sz w:val="15"/>
                <w:szCs w:val="15"/>
              </w:rPr>
              <w:t>冀人常财【2019】18号河北省人大常委会财政经济工作委员会关于做好预算联网监督系统安装培训基础工作的通知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人大常委会电子表决系统维护运行网络运行 效果</w:t>
            </w:r>
          </w:p>
        </w:tc>
        <w:tc>
          <w:tcPr>
            <w:tcW w:w="2466" w:type="dxa"/>
            <w:vAlign w:val="center"/>
          </w:tcPr>
          <w:p>
            <w:pPr>
              <w:pStyle w:val="12"/>
            </w:pPr>
            <w:r>
              <w:t>表决系统服务器维护、网络运行等保障情况</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社会效益指标</w:t>
            </w:r>
          </w:p>
        </w:tc>
        <w:tc>
          <w:tcPr>
            <w:tcW w:w="2466" w:type="dxa"/>
            <w:vAlign w:val="center"/>
          </w:tcPr>
          <w:p>
            <w:pPr>
              <w:pStyle w:val="12"/>
            </w:pPr>
            <w:r>
              <w:t>信息网络宣传效果</w:t>
            </w:r>
          </w:p>
        </w:tc>
        <w:tc>
          <w:tcPr>
            <w:tcW w:w="2466" w:type="dxa"/>
            <w:vAlign w:val="center"/>
          </w:tcPr>
          <w:p>
            <w:pPr>
              <w:pStyle w:val="12"/>
            </w:pPr>
            <w:r>
              <w:t>通过网络宣传达到的舆论效果</w:t>
            </w:r>
          </w:p>
        </w:tc>
        <w:tc>
          <w:tcPr>
            <w:tcW w:w="2466" w:type="dxa"/>
            <w:vAlign w:val="center"/>
          </w:tcPr>
          <w:p>
            <w:pPr>
              <w:pStyle w:val="12"/>
            </w:pPr>
            <w:r>
              <w:t>通过网络宣传达到良好舆论效果</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机关信息化设备保障工作顺利开展满意度</w:t>
            </w:r>
          </w:p>
        </w:tc>
        <w:tc>
          <w:tcPr>
            <w:tcW w:w="2466" w:type="dxa"/>
            <w:vAlign w:val="center"/>
          </w:tcPr>
          <w:p>
            <w:pPr>
              <w:pStyle w:val="12"/>
            </w:pPr>
            <w:r>
              <w:t>信息化基础设施及网络保障工作顺利开展满意度</w:t>
            </w:r>
          </w:p>
        </w:tc>
        <w:tc>
          <w:tcPr>
            <w:tcW w:w="2466" w:type="dxa"/>
            <w:vAlign w:val="center"/>
          </w:tcPr>
          <w:p>
            <w:pPr>
              <w:pStyle w:val="12"/>
            </w:pPr>
            <w:r>
              <w:t>≥90%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bl>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六、政府采购预算情况</w:t>
      </w:r>
      <w:bookmarkEnd w:id="17"/>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2022年，唐山市开平区人民代表大会常务委员会安排政府采购预算2.30万元。具体内容见下表。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8316" w:type="dxa"/>
            <w:gridSpan w:val="9"/>
            <w:tcBorders>
              <w:top w:val="single" w:color="FFFFFF" w:sz="6" w:space="0"/>
              <w:left w:val="single" w:color="FFFFFF" w:sz="6" w:space="0"/>
              <w:right w:val="single" w:color="FFFFFF" w:sz="6" w:space="0"/>
            </w:tcBorders>
            <w:vAlign w:val="center"/>
          </w:tcPr>
          <w:p>
            <w:pPr>
              <w:pStyle w:val="24"/>
            </w:pPr>
            <w:r>
              <w:rPr>
                <w:rFonts w:hint="eastAsia"/>
                <w:lang w:eastAsia="zh-CN"/>
              </w:rPr>
              <w:t>单位</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exact"/>
          <w:tblHeader/>
          <w:jc w:val="center"/>
        </w:trPr>
        <w:tc>
          <w:tcPr>
            <w:tcW w:w="1848" w:type="dxa"/>
            <w:gridSpan w:val="2"/>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924" w:type="dxa"/>
            <w:vMerge w:val="restart"/>
            <w:vAlign w:val="center"/>
          </w:tcPr>
          <w:p>
            <w:pPr>
              <w:pStyle w:val="1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 xml:space="preserve">计量  </w:t>
            </w:r>
            <w:r>
              <w:rPr>
                <w:rFonts w:hint="eastAsia" w:ascii="方正仿宋简体" w:hAnsi="方正仿宋简体" w:eastAsia="方正仿宋简体" w:cs="方正仿宋简体"/>
                <w:lang w:eastAsia="zh-CN"/>
              </w:rPr>
              <w:t>单位</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392" w:type="dxa"/>
            <w:gridSpan w:val="8"/>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w:t>
            </w:r>
            <w:r>
              <w:rPr>
                <w:rFonts w:hint="eastAsia" w:ascii="方正仿宋简体" w:hAnsi="方正仿宋简体" w:eastAsia="方正仿宋简体" w:cs="方正仿宋简体"/>
                <w:lang w:eastAsia="zh-CN"/>
              </w:rPr>
              <w:t>单位</w:t>
            </w:r>
            <w:r>
              <w:rPr>
                <w:rFonts w:hint="eastAsia" w:ascii="方正仿宋简体" w:hAnsi="方正仿宋简体" w:eastAsia="方正仿宋简体" w:cs="方正仿宋简体"/>
              </w:rPr>
              <w:t>预算安排资金）</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sz w:val="15"/>
                <w:szCs w:val="15"/>
              </w:rPr>
              <w:t>2022年  预留中  小微企</w:t>
            </w:r>
            <w:r>
              <w:rPr>
                <w:rFonts w:hint="eastAsia" w:ascii="方正仿宋简体" w:hAnsi="方正仿宋简体" w:eastAsia="方正仿宋简体" w:cs="方正仿宋简体"/>
              </w:rPr>
              <w:t xml:space="preserve">  </w:t>
            </w:r>
            <w:r>
              <w:rPr>
                <w:rFonts w:hint="eastAsia" w:ascii="方正仿宋简体" w:hAnsi="方正仿宋简体" w:eastAsia="方正仿宋简体" w:cs="方正仿宋简体"/>
                <w:sz w:val="15"/>
                <w:szCs w:val="15"/>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exact"/>
          <w:tblHeader/>
          <w:jc w:val="center"/>
        </w:trPr>
        <w:tc>
          <w:tcPr>
            <w:tcW w:w="924" w:type="dxa"/>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24" w:type="dxa"/>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合计</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一般公共预算拨款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基金预算拨款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国有资本经营预算拨款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财政专户核拨</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lang w:eastAsia="zh-CN"/>
              </w:rPr>
              <w:t>单位</w:t>
            </w:r>
            <w:r>
              <w:rPr>
                <w:rFonts w:hint="eastAsia" w:ascii="方正仿宋简体" w:hAnsi="方正仿宋简体" w:eastAsia="方正仿宋简体" w:cs="方正仿宋简体"/>
                <w:sz w:val="15"/>
                <w:szCs w:val="15"/>
              </w:rPr>
              <w:t xml:space="preserve">    资金</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财政拨    款结转</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非财政    拨款结    转结余</w:t>
            </w:r>
          </w:p>
        </w:tc>
        <w:tc>
          <w:tcPr>
            <w:tcW w:w="924"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6"/>
              <w:rPr>
                <w:rFonts w:hint="eastAsia" w:ascii="方正仿宋简体" w:hAnsi="方正仿宋简体" w:eastAsia="方正仿宋简体" w:cs="方正仿宋简体"/>
              </w:rPr>
            </w:pPr>
          </w:p>
        </w:tc>
        <w:tc>
          <w:tcPr>
            <w:tcW w:w="924" w:type="dxa"/>
            <w:vAlign w:val="center"/>
          </w:tcPr>
          <w:p>
            <w:pPr>
              <w:pStyle w:val="16"/>
              <w:rPr>
                <w:rFonts w:hint="eastAsia" w:ascii="方正仿宋简体" w:hAnsi="方正仿宋简体" w:eastAsia="方正仿宋简体" w:cs="方正仿宋简体"/>
              </w:rPr>
            </w:pPr>
          </w:p>
        </w:tc>
        <w:tc>
          <w:tcPr>
            <w:tcW w:w="924" w:type="dxa"/>
            <w:vAlign w:val="center"/>
          </w:tcPr>
          <w:p>
            <w:pPr>
              <w:pStyle w:val="14"/>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台式计算机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A02010104</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便携式计算机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A02010105</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激光打印机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A0201060102</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空调机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A0206180203</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空调机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A0206180203</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bookmarkStart w:id="18" w:name="_Toc_3_3_0000000016"/>
      <w:r>
        <w:rPr>
          <w:rFonts w:ascii="黑体" w:hAnsi="黑体" w:eastAsia="黑体" w:cs="黑体"/>
          <w:color w:val="000000"/>
          <w:sz w:val="32"/>
        </w:rPr>
        <w:t>七、国有资产信息</w:t>
      </w:r>
      <w:bookmarkEnd w:id="1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27.53</w:t>
      </w:r>
      <w:r>
        <w:rPr>
          <w:rFonts w:hint="eastAsia" w:ascii="仿宋_GB2312" w:hAnsi="仿宋_GB2312" w:eastAsia="仿宋_GB2312" w:cs="仿宋_GB2312"/>
          <w:sz w:val="32"/>
          <w:szCs w:val="32"/>
        </w:rPr>
        <w:t>万元（详见下表），本年度拟购置固定资产主要为计算机设备、空调设备</w:t>
      </w:r>
      <w:r>
        <w:rPr>
          <w:rFonts w:hint="eastAsia" w:ascii="仿宋_GB2312" w:hAnsi="仿宋_GB2312" w:eastAsia="仿宋_GB2312" w:cs="仿宋_GB2312"/>
          <w:sz w:val="32"/>
          <w:szCs w:val="32"/>
          <w:lang w:eastAsia="zh-CN"/>
        </w:rPr>
        <w:t>、打印机</w:t>
      </w:r>
      <w:r>
        <w:rPr>
          <w:rFonts w:hint="eastAsia" w:ascii="仿宋_GB2312" w:hAnsi="仿宋_GB2312" w:eastAsia="仿宋_GB2312" w:cs="仿宋_GB2312"/>
          <w:sz w:val="32"/>
          <w:szCs w:val="32"/>
        </w:rPr>
        <w:t>等,合计</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万元，已列入政府采购预算。</w:t>
      </w:r>
    </w:p>
    <w:p>
      <w:pPr>
        <w:adjustRightInd w:val="0"/>
        <w:snapToGrid w:val="0"/>
        <w:spacing w:line="560" w:lineRule="exact"/>
        <w:ind w:firstLine="640" w:firstLineChars="200"/>
        <w:rPr>
          <w:rFonts w:ascii="仿宋_GB2312" w:hAnsi="仿宋_GB2312" w:eastAsia="仿宋_GB2312" w:cs="仿宋_GB2312"/>
          <w:sz w:val="32"/>
          <w:szCs w:val="32"/>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w:t>
            </w:r>
            <w:r>
              <w:rPr>
                <w:rFonts w:hint="eastAsia" w:ascii="宋体" w:hAnsi="宋体" w:cs="宋体"/>
                <w:kern w:val="0"/>
                <w:szCs w:val="21"/>
                <w:lang w:eastAsia="zh-CN"/>
              </w:rPr>
              <w:t>单位</w:t>
            </w:r>
            <w:r>
              <w:rPr>
                <w:rFonts w:hint="eastAsia" w:ascii="宋体" w:hAnsi="宋体" w:cs="宋体"/>
                <w:kern w:val="0"/>
                <w:szCs w:val="21"/>
              </w:rPr>
              <w:t>：人大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21</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w:t>
            </w:r>
            <w:r>
              <w:rPr>
                <w:rFonts w:hint="eastAsia" w:ascii="宋体" w:hAnsi="宋体" w:eastAsia="宋体" w:cs="宋体"/>
                <w:b/>
                <w:bCs/>
                <w:kern w:val="0"/>
                <w:szCs w:val="21"/>
                <w:lang w:eastAsia="zh-CN"/>
              </w:rPr>
              <w:t>单位</w:t>
            </w:r>
            <w:r>
              <w:rPr>
                <w:rFonts w:hint="eastAsia" w:ascii="宋体" w:hAnsi="宋体" w:cs="宋体"/>
                <w:b/>
                <w:bCs/>
                <w:kern w:val="0"/>
                <w:szCs w:val="21"/>
              </w:rPr>
              <w:t>：万元）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27.53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440" w:firstLineChars="6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ind w:firstLine="2400" w:firstLineChars="10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20.86</w:t>
            </w:r>
          </w:p>
        </w:tc>
      </w:tr>
    </w:tbl>
    <w:p>
      <w:pPr>
        <w:adjustRightInd w:val="0"/>
        <w:snapToGrid w:val="0"/>
        <w:spacing w:line="560" w:lineRule="exact"/>
        <w:rPr>
          <w:rFonts w:ascii="仿宋_GB2312" w:hAnsi="仿宋_GB2312" w:eastAsia="仿宋_GB2312" w:cs="仿宋_GB2312"/>
          <w:sz w:val="32"/>
          <w:szCs w:val="32"/>
        </w:rPr>
      </w:pP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、名词解释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1、一般共预算拨款收入：指财政当年拨付的资金。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开展专业业务活动及辅助活动所取得的收入。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3、其他收入：指除上述“财政拨款收入”、“事业收入”等以外的收入。主要是按规定动用的租房收入、存款利息收入等。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4、基本支出：指为保障机构正常运转、完成日常工作任务而发生的人员支出和公用支出。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6、上缴上级支出：指所属</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上缴上级的支出。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7、“三公”经费：纳入财政预算管理的“三公”经费，是指各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用财政拨款安排的因公出国（境）费、公务用车购置及运行费和公务接待费。其中，因公出国（境）费反映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公务出国（境）的住宿费、旅费、伙食补助费、杂费、培训费等支出；公务用车购置及运行费反映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公务用车购置费及租用费、燃料费、维修费、过路过桥费、保险费、安全奖励费用等支出；公务接待费反映</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按规定开支的各类公务接待（含外宾接待）支出。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8、机关运行费：为保障行政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（含参照公务员法管理的事业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、其他重要事项的情况说明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1、开平区人大20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预算中未安排政府性基金预算，故政府性基金预算支出表为空。</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2、开平区人大20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预算中未安排国有资本经营预算，故国有资本经营预算支出表为空。</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numPr>
          <w:ilvl w:val="0"/>
          <w:numId w:val="0"/>
        </w:numPr>
        <w:jc w:val="both"/>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p>
    <w:p>
      <w:pPr>
        <w:jc w:val="both"/>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A7"/>
    <w:rsid w:val="006822A7"/>
    <w:rsid w:val="0088027D"/>
    <w:rsid w:val="03267919"/>
    <w:rsid w:val="05E1277F"/>
    <w:rsid w:val="0DEE1C16"/>
    <w:rsid w:val="0EE953AF"/>
    <w:rsid w:val="14213924"/>
    <w:rsid w:val="1908192E"/>
    <w:rsid w:val="19A66969"/>
    <w:rsid w:val="21113FDC"/>
    <w:rsid w:val="267225B2"/>
    <w:rsid w:val="2C8B3426"/>
    <w:rsid w:val="2EB66D05"/>
    <w:rsid w:val="35CB207C"/>
    <w:rsid w:val="3C4C47DB"/>
    <w:rsid w:val="3C8F1EF5"/>
    <w:rsid w:val="3CF37701"/>
    <w:rsid w:val="45CE7D8C"/>
    <w:rsid w:val="4AD67C1B"/>
    <w:rsid w:val="52A226AA"/>
    <w:rsid w:val="570468D2"/>
    <w:rsid w:val="57DF0486"/>
    <w:rsid w:val="60C37A33"/>
    <w:rsid w:val="63EB6BD8"/>
    <w:rsid w:val="680E7542"/>
    <w:rsid w:val="6C0020E8"/>
    <w:rsid w:val="6C9205D9"/>
    <w:rsid w:val="6CCE54A7"/>
    <w:rsid w:val="75465CBC"/>
    <w:rsid w:val="79BA1058"/>
    <w:rsid w:val="79C8215A"/>
    <w:rsid w:val="7EE3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2022-06-07T12:49:25Z</dcterms:created>
  <dcterms:modified xsi:type="dcterms:W3CDTF">2022-06-07T04:49:25Z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2022-06-07T12:49:20Z</dcterms:created>
  <dcterms:modified xsi:type="dcterms:W3CDTF">2022-06-07T04:49:20Z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2022-06-07T12:49:12Z</dcterms:created>
  <dcterms:modified xsi:type="dcterms:W3CDTF">2022-06-07T04:49:12Z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2022-06-07T12:49:24Z</dcterms:created>
  <dcterms:modified xsi:type="dcterms:W3CDTF">2022-06-07T04:49:24Z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2022-06-07T12:49:26Z</dcterms:created>
  <dcterms:modified xsi:type="dcterms:W3CDTF">2022-06-07T04:49:26Z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2022-06-07T12:49:15Z</dcterms:created>
  <dcterms:modified xsi:type="dcterms:W3CDTF">2022-06-07T04:49:15Z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Props1.xml><?xml version="1.0" encoding="utf-8"?>
<ds:datastoreItem xmlns:ds="http://schemas.openxmlformats.org/officeDocument/2006/customXml" ds:itemID="{D1A2E5D3-B455-465A-BF8A-CE4F89DABFD5}">
  <ds:schemaRefs/>
</ds:datastoreItem>
</file>

<file path=customXml/itemProps10.xml><?xml version="1.0" encoding="utf-8"?>
<ds:datastoreItem xmlns:ds="http://schemas.openxmlformats.org/officeDocument/2006/customXml" ds:itemID="{4B4F40A1-AF38-43E4-A34D-96421A7D1900}">
  <ds:schemaRefs/>
</ds:datastoreItem>
</file>

<file path=customXml/itemProps11.xml><?xml version="1.0" encoding="utf-8"?>
<ds:datastoreItem xmlns:ds="http://schemas.openxmlformats.org/officeDocument/2006/customXml" ds:itemID="{7CBF9967-CED3-426D-8C75-4ADE97B12426}">
  <ds:schemaRefs/>
</ds:datastoreItem>
</file>

<file path=customXml/itemProps12.xml><?xml version="1.0" encoding="utf-8"?>
<ds:datastoreItem xmlns:ds="http://schemas.openxmlformats.org/officeDocument/2006/customXml" ds:itemID="{A7C06324-4384-43A5-A681-9B8B8537094C}">
  <ds:schemaRefs/>
</ds:datastoreItem>
</file>

<file path=customXml/itemProps13.xml><?xml version="1.0" encoding="utf-8"?>
<ds:datastoreItem xmlns:ds="http://schemas.openxmlformats.org/officeDocument/2006/customXml" ds:itemID="{9C52369D-68ED-4CA9-9478-F8C9245C0601}">
  <ds:schemaRefs/>
</ds:datastoreItem>
</file>

<file path=customXml/itemProps14.xml><?xml version="1.0" encoding="utf-8"?>
<ds:datastoreItem xmlns:ds="http://schemas.openxmlformats.org/officeDocument/2006/customXml" ds:itemID="{D49F1E10-C9CB-40C5-9042-9623419040F4}">
  <ds:schemaRefs/>
</ds:datastoreItem>
</file>

<file path=customXml/itemProps15.xml><?xml version="1.0" encoding="utf-8"?>
<ds:datastoreItem xmlns:ds="http://schemas.openxmlformats.org/officeDocument/2006/customXml" ds:itemID="{FAA7D236-58A2-4F1D-9C02-958088791A82}">
  <ds:schemaRefs/>
</ds:datastoreItem>
</file>

<file path=customXml/itemProps16.xml><?xml version="1.0" encoding="utf-8"?>
<ds:datastoreItem xmlns:ds="http://schemas.openxmlformats.org/officeDocument/2006/customXml" ds:itemID="{5A5BEB41-62B8-4248-838B-AD717D912B5B}">
  <ds:schemaRefs/>
</ds:datastoreItem>
</file>

<file path=customXml/itemProps17.xml><?xml version="1.0" encoding="utf-8"?>
<ds:datastoreItem xmlns:ds="http://schemas.openxmlformats.org/officeDocument/2006/customXml" ds:itemID="{A729A491-DA38-47D4-A0DA-2808E3111D92}">
  <ds:schemaRefs/>
</ds:datastoreItem>
</file>

<file path=customXml/itemProps18.xml><?xml version="1.0" encoding="utf-8"?>
<ds:datastoreItem xmlns:ds="http://schemas.openxmlformats.org/officeDocument/2006/customXml" ds:itemID="{0B891607-AAE0-46A7-924F-E4B3F1EA92FE}">
  <ds:schemaRefs/>
</ds:datastoreItem>
</file>

<file path=customXml/itemProps2.xml><?xml version="1.0" encoding="utf-8"?>
<ds:datastoreItem xmlns:ds="http://schemas.openxmlformats.org/officeDocument/2006/customXml" ds:itemID="{1D8D14C4-CE2D-4CAD-9B8E-C7A06B3B9B30}">
  <ds:schemaRefs/>
</ds:datastoreItem>
</file>

<file path=customXml/itemProps3.xml><?xml version="1.0" encoding="utf-8"?>
<ds:datastoreItem xmlns:ds="http://schemas.openxmlformats.org/officeDocument/2006/customXml" ds:itemID="{FBDBA8E0-057C-4CDB-A7EB-99D2CDB48A83}">
  <ds:schemaRefs/>
</ds:datastoreItem>
</file>

<file path=customXml/itemProps4.xml><?xml version="1.0" encoding="utf-8"?>
<ds:datastoreItem xmlns:ds="http://schemas.openxmlformats.org/officeDocument/2006/customXml" ds:itemID="{6F727191-A1DB-4BCE-89D5-7DBC10B1AD01}">
  <ds:schemaRefs/>
</ds:datastoreItem>
</file>

<file path=customXml/itemProps5.xml><?xml version="1.0" encoding="utf-8"?>
<ds:datastoreItem xmlns:ds="http://schemas.openxmlformats.org/officeDocument/2006/customXml" ds:itemID="{6C1086CA-161F-4572-B56D-E00A255A4F6E}">
  <ds:schemaRefs/>
</ds:datastoreItem>
</file>

<file path=customXml/itemProps6.xml><?xml version="1.0" encoding="utf-8"?>
<ds:datastoreItem xmlns:ds="http://schemas.openxmlformats.org/officeDocument/2006/customXml" ds:itemID="{1F5E3717-DE6E-4613-B5C1-F19D32AB14F1}">
  <ds:schemaRefs/>
</ds:datastoreItem>
</file>

<file path=customXml/itemProps7.xml><?xml version="1.0" encoding="utf-8"?>
<ds:datastoreItem xmlns:ds="http://schemas.openxmlformats.org/officeDocument/2006/customXml" ds:itemID="{FFA2379E-602E-4813-B38F-B85C833C3586}">
  <ds:schemaRefs/>
</ds:datastoreItem>
</file>

<file path=customXml/itemProps8.xml><?xml version="1.0" encoding="utf-8"?>
<ds:datastoreItem xmlns:ds="http://schemas.openxmlformats.org/officeDocument/2006/customXml" ds:itemID="{9ADF7E4F-0D4D-486D-84D1-1967E8E5BA25}">
  <ds:schemaRefs/>
</ds:datastoreItem>
</file>

<file path=customXml/itemProps9.xml><?xml version="1.0" encoding="utf-8"?>
<ds:datastoreItem xmlns:ds="http://schemas.openxmlformats.org/officeDocument/2006/customXml" ds:itemID="{CF4FE83A-DBA4-4CD5-931F-83D3ABCABB0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2886</Words>
  <Characters>16451</Characters>
  <Lines>137</Lines>
  <Paragraphs>38</Paragraphs>
  <TotalTime>8</TotalTime>
  <ScaleCrop>false</ScaleCrop>
  <LinksUpToDate>false</LinksUpToDate>
  <CharactersWithSpaces>19299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2022-06-07T12:49:00Z</dcterms:created>
  <dc:creator>Administrator</dc:creator>
  <cp:lastModifiedBy>Administrator</cp:lastModifiedBy>
  <dcterms:modified xsi:type="dcterms:W3CDTF">2025-01-06T09:06:17Z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73CD07C4D93A495D919305A43F1AB39C</vt:lpwstr>
  </property>
</Properties>
</file>