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hint="eastAsia"/>
          <w:sz w:val="44"/>
          <w:szCs w:val="44"/>
          <w:lang w:val="en-US" w:eastAsia="zh-CN"/>
        </w:rPr>
      </w:pPr>
      <w:r>
        <w:rPr>
          <w:rFonts w:hint="eastAsia"/>
          <w:sz w:val="44"/>
          <w:szCs w:val="44"/>
          <w:lang w:val="en-US" w:eastAsia="zh-CN"/>
        </w:rPr>
        <w:t>开平区</w:t>
      </w:r>
      <w:r>
        <w:rPr>
          <w:rFonts w:hint="eastAsia"/>
          <w:sz w:val="44"/>
          <w:szCs w:val="44"/>
        </w:rPr>
        <w:t>建设工程消防审查验收</w:t>
      </w:r>
      <w:r>
        <w:rPr>
          <w:rFonts w:hint="eastAsia"/>
          <w:sz w:val="44"/>
          <w:szCs w:val="44"/>
          <w:lang w:val="en-US" w:eastAsia="zh-CN"/>
        </w:rPr>
        <w:t>和备案抽查</w:t>
      </w:r>
    </w:p>
    <w:p>
      <w:pPr>
        <w:jc w:val="center"/>
        <w:rPr>
          <w:rFonts w:hint="default" w:eastAsiaTheme="minorEastAsia"/>
          <w:sz w:val="44"/>
          <w:szCs w:val="44"/>
          <w:lang w:val="en-US" w:eastAsia="zh-CN"/>
        </w:rPr>
      </w:pPr>
      <w:r>
        <w:rPr>
          <w:rFonts w:hint="eastAsia"/>
          <w:sz w:val="44"/>
          <w:szCs w:val="44"/>
          <w:lang w:val="en-US" w:eastAsia="zh-CN"/>
        </w:rPr>
        <w:t>办 事 指 南</w:t>
      </w:r>
    </w:p>
    <w:p>
      <w:pPr>
        <w:jc w:val="left"/>
        <w:rPr>
          <w:rFonts w:ascii="黑体" w:hAnsi="黑体" w:eastAsia="黑体"/>
          <w:sz w:val="32"/>
          <w:szCs w:val="32"/>
        </w:rPr>
      </w:pPr>
      <w:r>
        <w:rPr>
          <w:rFonts w:hint="eastAsia" w:ascii="黑体" w:hAnsi="黑体" w:eastAsia="黑体"/>
          <w:sz w:val="32"/>
          <w:szCs w:val="32"/>
        </w:rPr>
        <w:t>一、审查验收备案范围及程序</w:t>
      </w:r>
    </w:p>
    <w:p>
      <w:pPr>
        <w:widowControl/>
        <w:jc w:val="left"/>
        <w:rPr>
          <w:rFonts w:ascii="仿宋" w:hAnsi="仿宋" w:eastAsia="仿宋" w:cs="宋体"/>
          <w:b/>
          <w:color w:val="000000"/>
          <w:kern w:val="0"/>
          <w:sz w:val="30"/>
          <w:szCs w:val="30"/>
        </w:rPr>
      </w:pPr>
      <w:r>
        <w:rPr>
          <w:rFonts w:hint="eastAsia" w:ascii="仿宋" w:hAnsi="仿宋" w:eastAsia="仿宋" w:cs="宋体"/>
          <w:b/>
          <w:color w:val="000000"/>
          <w:kern w:val="0"/>
          <w:sz w:val="30"/>
          <w:szCs w:val="30"/>
        </w:rPr>
        <w:t>1、具有下列情形之一的建设工程是特殊建设工程</w:t>
      </w:r>
      <w:r>
        <w:rPr>
          <w:rFonts w:hint="eastAsia" w:ascii="仿宋" w:hAnsi="仿宋" w:eastAsia="仿宋" w:cs="宋体"/>
          <w:color w:val="000000"/>
          <w:kern w:val="0"/>
          <w:sz w:val="30"/>
          <w:szCs w:val="30"/>
        </w:rPr>
        <w:t>：</w:t>
      </w:r>
      <w:r>
        <w:rPr>
          <w:rFonts w:hint="eastAsia" w:ascii="仿宋" w:hAnsi="仿宋" w:eastAsia="仿宋" w:cs="宋体"/>
          <w:b/>
          <w:color w:val="000000"/>
          <w:kern w:val="0"/>
          <w:sz w:val="30"/>
          <w:szCs w:val="30"/>
        </w:rPr>
        <w:t>（审查验收）</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（一）总建筑面积大于二万平方米的体育场馆、会堂，公共展览馆、博物馆的展示厅；</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（二）总建筑面积大于一万五千平方米的民用机场航站楼、客运车站候车室、客运码头候船厅；</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（三）总建筑面积大于一万平方米的宾馆、饭店、商场、市场；</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（四）总建筑面积大于二千五百平方米的影剧院，公共图书馆的阅览室，营业性室内健身、休闲场馆，医院的门诊楼，大学的教学楼、图书馆、食堂，劳动密集型企业的生产加工车间，寺庙、教堂；</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五）总建筑面积大于一千平方米的托儿所、幼儿园的儿童用房，儿童游乐厅等室内儿童活动场所，养老院、福利院，医院、疗养院的病房楼，中小学校的教学楼、图书馆、食堂，学校的集体宿舍，劳动密集型企业的员工集体宿舍；</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（六）总建筑面积大于五百平方米的歌舞厅、录像厅、放映厅、卡拉ＯＫ厅、夜总会、游艺厅、桑拿浴室、网吧、酒吧，具有娱乐功能的餐馆、茶馆、咖啡厅；</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（七）国家工程建设消防技术标准规定的一类高层住宅建筑；</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（八）城市轨道交通、隧道工程，大型发电、变配电工程；</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（九）生产、储存、装卸易燃易爆危险物品的工厂、仓库和专用车站、码头，易燃易爆气体和液体的充装站、供应站、调压站；</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（十）国家机关办公楼、电力调度楼、电信楼、邮政楼、防灾指挥调度楼、广播电视楼、档案楼；</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（十一）设有本条第一项至第六项所列情形的建设工程；</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（十二）本条第十项、第十一项规定以外的单体建筑面积大于四万平方米或者建筑高度超过五十米的公共建筑。</w:t>
      </w:r>
    </w:p>
    <w:p>
      <w:pPr>
        <w:jc w:val="left"/>
        <w:rPr>
          <w:rFonts w:ascii="仿宋" w:hAnsi="仿宋" w:eastAsia="仿宋" w:cs="宋体"/>
          <w:b/>
          <w:color w:val="000000"/>
          <w:kern w:val="0"/>
          <w:sz w:val="30"/>
          <w:szCs w:val="30"/>
        </w:rPr>
      </w:pPr>
      <w:r>
        <w:rPr>
          <w:rFonts w:hint="eastAsia" w:ascii="仿宋" w:hAnsi="仿宋" w:eastAsia="仿宋" w:cs="宋体"/>
          <w:color w:val="000000"/>
          <w:kern w:val="0"/>
          <w:sz w:val="30"/>
          <w:szCs w:val="30"/>
        </w:rPr>
        <w:t>　　</w:t>
      </w:r>
      <w:r>
        <w:rPr>
          <w:rFonts w:hint="eastAsia" w:ascii="仿宋" w:hAnsi="仿宋" w:eastAsia="仿宋" w:cs="宋体"/>
          <w:b/>
          <w:color w:val="000000"/>
          <w:kern w:val="0"/>
          <w:sz w:val="30"/>
          <w:szCs w:val="30"/>
        </w:rPr>
        <w:t>2、本规定所称其他建设工程，是指特殊建设工程以外的其他按照国家工程建设消防技术标准需要进行消防设计的建设工程。（备案抽查）</w:t>
      </w:r>
    </w:p>
    <w:p>
      <w:pPr>
        <w:jc w:val="center"/>
        <w:rPr>
          <w:rFonts w:ascii="仿宋" w:hAnsi="仿宋" w:eastAsia="仿宋"/>
          <w:b/>
          <w:sz w:val="30"/>
          <w:szCs w:val="30"/>
        </w:rPr>
      </w:pPr>
      <w:r>
        <w:rPr>
          <w:rFonts w:ascii="仿宋" w:hAnsi="仿宋" w:eastAsia="仿宋"/>
          <w:b/>
          <w:sz w:val="30"/>
          <w:szCs w:val="30"/>
        </w:rPr>
        <w:drawing>
          <wp:inline distT="0" distB="0" distL="0" distR="0">
            <wp:extent cx="4829175" cy="4200525"/>
            <wp:effectExtent l="19050" t="0" r="9525" b="0"/>
            <wp:docPr id="3" name="图片 1" descr="G:\执行部51号令\验收工作程序\7a审查程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descr="G:\执行部51号令\验收工作程序\7a审查程序.jpg"/>
                    <pic:cNvPicPr>
                      <a:picLocks noChangeAspect="1" noChangeArrowheads="1"/>
                    </pic:cNvPicPr>
                  </pic:nvPicPr>
                  <pic:blipFill>
                    <a:blip r:embed="rId6"/>
                    <a:srcRect/>
                    <a:stretch>
                      <a:fillRect/>
                    </a:stretch>
                  </pic:blipFill>
                  <pic:spPr>
                    <a:xfrm>
                      <a:off x="0" y="0"/>
                      <a:ext cx="4834759" cy="4205382"/>
                    </a:xfrm>
                    <a:prstGeom prst="rect">
                      <a:avLst/>
                    </a:prstGeom>
                    <a:noFill/>
                    <a:ln w="9525">
                      <a:noFill/>
                      <a:miter lim="800000"/>
                      <a:headEnd/>
                      <a:tailEnd/>
                    </a:ln>
                  </pic:spPr>
                </pic:pic>
              </a:graphicData>
            </a:graphic>
          </wp:inline>
        </w:drawing>
      </w:r>
    </w:p>
    <w:p>
      <w:pPr>
        <w:jc w:val="center"/>
        <w:rPr>
          <w:rFonts w:ascii="仿宋" w:hAnsi="仿宋" w:eastAsia="仿宋"/>
          <w:b/>
          <w:sz w:val="30"/>
          <w:szCs w:val="30"/>
        </w:rPr>
      </w:pPr>
      <w:r>
        <w:rPr>
          <w:rFonts w:ascii="仿宋" w:hAnsi="仿宋" w:eastAsia="仿宋"/>
          <w:b/>
          <w:sz w:val="30"/>
          <w:szCs w:val="30"/>
        </w:rPr>
        <w:drawing>
          <wp:inline distT="0" distB="0" distL="0" distR="0">
            <wp:extent cx="4868545" cy="4037965"/>
            <wp:effectExtent l="19050" t="0" r="7781" b="0"/>
            <wp:docPr id="4" name="图片 2" descr="G:\执行部51号令\验收工作程序\7c验收程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G:\执行部51号令\验收工作程序\7c验收程序.jpg"/>
                    <pic:cNvPicPr>
                      <a:picLocks noChangeAspect="1" noChangeArrowheads="1"/>
                    </pic:cNvPicPr>
                  </pic:nvPicPr>
                  <pic:blipFill>
                    <a:blip r:embed="rId7"/>
                    <a:srcRect/>
                    <a:stretch>
                      <a:fillRect/>
                    </a:stretch>
                  </pic:blipFill>
                  <pic:spPr>
                    <a:xfrm>
                      <a:off x="0" y="0"/>
                      <a:ext cx="4870110" cy="4039065"/>
                    </a:xfrm>
                    <a:prstGeom prst="rect">
                      <a:avLst/>
                    </a:prstGeom>
                    <a:noFill/>
                    <a:ln w="9525">
                      <a:noFill/>
                      <a:miter lim="800000"/>
                      <a:headEnd/>
                      <a:tailEnd/>
                    </a:ln>
                  </pic:spPr>
                </pic:pic>
              </a:graphicData>
            </a:graphic>
          </wp:inline>
        </w:drawing>
      </w:r>
    </w:p>
    <w:p>
      <w:pPr>
        <w:jc w:val="center"/>
        <w:rPr>
          <w:rFonts w:ascii="仿宋" w:hAnsi="仿宋" w:eastAsia="仿宋"/>
          <w:b/>
          <w:sz w:val="30"/>
          <w:szCs w:val="30"/>
        </w:rPr>
      </w:pPr>
      <w:r>
        <w:rPr>
          <w:rFonts w:ascii="仿宋" w:hAnsi="仿宋" w:eastAsia="仿宋"/>
          <w:b/>
          <w:sz w:val="30"/>
          <w:szCs w:val="30"/>
        </w:rPr>
        <w:drawing>
          <wp:inline distT="0" distB="0" distL="0" distR="0">
            <wp:extent cx="4822190" cy="4423410"/>
            <wp:effectExtent l="19050" t="0" r="0" b="0"/>
            <wp:docPr id="5" name="图片 3" descr="G:\执行部51号令\验收工作程序\7d备案程序.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descr="G:\执行部51号令\验收工作程序\7d备案程序.jpg"/>
                    <pic:cNvPicPr>
                      <a:picLocks noChangeAspect="1" noChangeArrowheads="1"/>
                    </pic:cNvPicPr>
                  </pic:nvPicPr>
                  <pic:blipFill>
                    <a:blip r:embed="rId8"/>
                    <a:srcRect/>
                    <a:stretch>
                      <a:fillRect/>
                    </a:stretch>
                  </pic:blipFill>
                  <pic:spPr>
                    <a:xfrm>
                      <a:off x="0" y="0"/>
                      <a:ext cx="4822311" cy="4423820"/>
                    </a:xfrm>
                    <a:prstGeom prst="rect">
                      <a:avLst/>
                    </a:prstGeom>
                    <a:noFill/>
                    <a:ln w="9525">
                      <a:noFill/>
                      <a:miter lim="800000"/>
                      <a:headEnd/>
                      <a:tailEnd/>
                    </a:ln>
                  </pic:spPr>
                </pic:pic>
              </a:graphicData>
            </a:graphic>
          </wp:inline>
        </w:drawing>
      </w:r>
    </w:p>
    <w:p>
      <w:pPr>
        <w:jc w:val="left"/>
        <w:rPr>
          <w:rFonts w:ascii="黑体" w:hAnsi="黑体" w:eastAsia="黑体"/>
          <w:b/>
          <w:sz w:val="30"/>
          <w:szCs w:val="30"/>
        </w:rPr>
      </w:pPr>
      <w:r>
        <w:rPr>
          <w:rFonts w:hint="eastAsia" w:ascii="黑体" w:hAnsi="黑体" w:eastAsia="黑体"/>
          <w:b/>
          <w:sz w:val="30"/>
          <w:szCs w:val="30"/>
        </w:rPr>
        <w:t>二、审查验收步骤</w:t>
      </w:r>
    </w:p>
    <w:p>
      <w:pPr>
        <w:jc w:val="left"/>
        <w:rPr>
          <w:rFonts w:ascii="仿宋" w:hAnsi="仿宋" w:eastAsia="仿宋"/>
          <w:b/>
          <w:sz w:val="30"/>
          <w:szCs w:val="30"/>
        </w:rPr>
      </w:pPr>
      <w:r>
        <w:rPr>
          <w:rFonts w:hint="eastAsia" w:ascii="仿宋" w:hAnsi="仿宋" w:eastAsia="仿宋"/>
          <w:b/>
          <w:sz w:val="30"/>
          <w:szCs w:val="30"/>
        </w:rPr>
        <w:t>（一）审查</w:t>
      </w:r>
    </w:p>
    <w:p>
      <w:pPr>
        <w:jc w:val="left"/>
        <w:rPr>
          <w:rFonts w:ascii="仿宋" w:hAnsi="仿宋" w:eastAsia="仿宋"/>
          <w:b/>
          <w:sz w:val="30"/>
          <w:szCs w:val="30"/>
        </w:rPr>
      </w:pPr>
      <w:r>
        <w:rPr>
          <w:rFonts w:hint="eastAsia" w:ascii="仿宋" w:hAnsi="仿宋" w:eastAsia="仿宋"/>
          <w:b/>
          <w:sz w:val="30"/>
          <w:szCs w:val="30"/>
        </w:rPr>
        <w:t>1、准备：</w:t>
      </w:r>
    </w:p>
    <w:p>
      <w:pPr>
        <w:jc w:val="left"/>
        <w:rPr>
          <w:rFonts w:ascii="仿宋" w:hAnsi="仿宋" w:eastAsia="仿宋"/>
          <w:sz w:val="30"/>
          <w:szCs w:val="30"/>
        </w:rPr>
      </w:pPr>
      <w:r>
        <w:rPr>
          <w:rFonts w:hint="eastAsia" w:ascii="仿宋" w:hAnsi="仿宋" w:eastAsia="仿宋"/>
          <w:b/>
          <w:sz w:val="30"/>
          <w:szCs w:val="30"/>
        </w:rPr>
        <w:t>a、</w:t>
      </w:r>
      <w:bookmarkStart w:id="0" w:name="_Toc25911"/>
      <w:r>
        <w:rPr>
          <w:rFonts w:hint="eastAsia" w:ascii="仿宋" w:hAnsi="仿宋" w:eastAsia="仿宋"/>
          <w:sz w:val="30"/>
          <w:szCs w:val="30"/>
        </w:rPr>
        <w:t>登录</w:t>
      </w:r>
      <w:bookmarkEnd w:id="0"/>
      <w:bookmarkStart w:id="1" w:name="_Toc19451"/>
    </w:p>
    <w:p>
      <w:pPr>
        <w:jc w:val="left"/>
        <w:rPr>
          <w:rFonts w:ascii="仿宋" w:hAnsi="仿宋" w:eastAsia="仿宋"/>
          <w:b/>
          <w:sz w:val="30"/>
          <w:szCs w:val="30"/>
        </w:rPr>
      </w:pPr>
      <w:r>
        <w:rPr>
          <w:rFonts w:hint="eastAsia" w:ascii="仿宋" w:hAnsi="仿宋" w:eastAsia="仿宋"/>
          <w:sz w:val="30"/>
          <w:szCs w:val="30"/>
        </w:rPr>
        <w:t>a1 登录地址</w:t>
      </w:r>
      <w:bookmarkEnd w:id="1"/>
    </w:p>
    <w:p>
      <w:pPr>
        <w:ind w:firstLine="600" w:firstLineChars="200"/>
        <w:rPr>
          <w:rFonts w:ascii="仿宋" w:hAnsi="仿宋" w:eastAsia="仿宋" w:cs="宋体"/>
          <w:sz w:val="30"/>
          <w:szCs w:val="30"/>
        </w:rPr>
      </w:pPr>
      <w:r>
        <w:rPr>
          <w:rFonts w:hint="eastAsia" w:ascii="仿宋" w:hAnsi="仿宋" w:eastAsia="仿宋" w:cs="宋体"/>
          <w:sz w:val="30"/>
          <w:szCs w:val="30"/>
        </w:rPr>
        <w:t>系统访问地址为：http://211.90.38.38/xf，建设单位和主管部门入口为第一个“消防设计审查和验收办事入口”；检测机构登录入口为第二个“消防技术服务机构信息化管理入口”；专家登录入口为第三个“消防技术专家库系统入口”</w:t>
      </w:r>
    </w:p>
    <w:p>
      <w:pPr>
        <w:jc w:val="left"/>
        <w:rPr>
          <w:rFonts w:ascii="仿宋" w:hAnsi="仿宋" w:eastAsia="仿宋"/>
          <w:b/>
          <w:sz w:val="30"/>
          <w:szCs w:val="30"/>
        </w:rPr>
      </w:pPr>
      <w:r>
        <w:rPr>
          <w:rFonts w:ascii="仿宋" w:hAnsi="仿宋" w:eastAsia="仿宋"/>
          <w:b/>
          <w:sz w:val="30"/>
          <w:szCs w:val="30"/>
        </w:rPr>
        <w:drawing>
          <wp:inline distT="0" distB="0" distL="114300" distR="114300">
            <wp:extent cx="5266690" cy="2962910"/>
            <wp:effectExtent l="0" t="0" r="10160" b="8890"/>
            <wp:docPr id="6"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
                    <pic:cNvPicPr>
                      <a:picLocks noChangeAspect="1"/>
                    </pic:cNvPicPr>
                  </pic:nvPicPr>
                  <pic:blipFill>
                    <a:blip r:embed="rId9" cstate="print"/>
                    <a:stretch>
                      <a:fillRect/>
                    </a:stretch>
                  </pic:blipFill>
                  <pic:spPr>
                    <a:xfrm>
                      <a:off x="0" y="0"/>
                      <a:ext cx="5266690" cy="2962910"/>
                    </a:xfrm>
                    <a:prstGeom prst="rect">
                      <a:avLst/>
                    </a:prstGeom>
                    <a:noFill/>
                    <a:ln>
                      <a:noFill/>
                    </a:ln>
                  </pic:spPr>
                </pic:pic>
              </a:graphicData>
            </a:graphic>
          </wp:inline>
        </w:drawing>
      </w:r>
      <w:bookmarkStart w:id="2" w:name="_Toc17706"/>
      <w:r>
        <w:rPr>
          <w:rFonts w:hint="eastAsia" w:ascii="仿宋" w:hAnsi="仿宋" w:eastAsia="仿宋"/>
          <w:sz w:val="30"/>
          <w:szCs w:val="30"/>
        </w:rPr>
        <w:t>a2账号</w:t>
      </w:r>
      <w:bookmarkEnd w:id="2"/>
    </w:p>
    <w:p>
      <w:pPr>
        <w:ind w:firstLine="600" w:firstLineChars="200"/>
        <w:rPr>
          <w:rFonts w:ascii="仿宋" w:hAnsi="仿宋" w:eastAsia="仿宋"/>
          <w:sz w:val="30"/>
          <w:szCs w:val="30"/>
        </w:rPr>
      </w:pPr>
      <w:r>
        <w:rPr>
          <w:rFonts w:hint="eastAsia" w:ascii="仿宋" w:hAnsi="仿宋" w:eastAsia="仿宋"/>
          <w:color w:val="FF0000"/>
          <w:sz w:val="30"/>
          <w:szCs w:val="30"/>
        </w:rPr>
        <w:t>建设单位进入登录页面</w:t>
      </w:r>
      <w:r>
        <w:rPr>
          <w:rFonts w:hint="eastAsia" w:ascii="仿宋" w:hAnsi="仿宋" w:eastAsia="仿宋"/>
          <w:sz w:val="30"/>
          <w:szCs w:val="30"/>
        </w:rPr>
        <w:t>，使用河北</w:t>
      </w:r>
      <w:r>
        <w:rPr>
          <w:rFonts w:hint="eastAsia" w:ascii="仿宋" w:hAnsi="仿宋" w:eastAsia="仿宋"/>
          <w:color w:val="FF0000"/>
          <w:sz w:val="30"/>
          <w:szCs w:val="30"/>
          <w:u w:val="single"/>
        </w:rPr>
        <w:t>施工图审查管理系统里注册的账号密码登录</w:t>
      </w:r>
      <w:r>
        <w:rPr>
          <w:rFonts w:hint="eastAsia" w:ascii="仿宋" w:hAnsi="仿宋" w:eastAsia="仿宋"/>
          <w:sz w:val="30"/>
          <w:szCs w:val="30"/>
        </w:rPr>
        <w:t>；检测机构和专家账户通过注册登录。</w:t>
      </w:r>
    </w:p>
    <w:p>
      <w:pPr>
        <w:ind w:firstLine="560" w:firstLineChars="200"/>
        <w:rPr>
          <w:rFonts w:ascii="仿宋" w:hAnsi="仿宋" w:eastAsia="仿宋"/>
          <w:sz w:val="30"/>
          <w:szCs w:val="30"/>
        </w:rPr>
      </w:pPr>
      <w:r>
        <w:rPr>
          <w:sz w:val="28"/>
          <w:szCs w:val="28"/>
        </w:rPr>
        <w:drawing>
          <wp:inline distT="0" distB="0" distL="114300" distR="114300">
            <wp:extent cx="5266690" cy="2962910"/>
            <wp:effectExtent l="0" t="0" r="10160" b="889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0" cstate="print"/>
                    <a:stretch>
                      <a:fillRect/>
                    </a:stretch>
                  </pic:blipFill>
                  <pic:spPr>
                    <a:xfrm>
                      <a:off x="0" y="0"/>
                      <a:ext cx="5266690" cy="2962910"/>
                    </a:xfrm>
                    <a:prstGeom prst="rect">
                      <a:avLst/>
                    </a:prstGeom>
                    <a:noFill/>
                    <a:ln>
                      <a:noFill/>
                    </a:ln>
                  </pic:spPr>
                </pic:pic>
              </a:graphicData>
            </a:graphic>
          </wp:inline>
        </w:drawing>
      </w:r>
      <w:bookmarkStart w:id="3" w:name="_Toc1949"/>
      <w:r>
        <w:rPr>
          <w:rFonts w:hint="eastAsia" w:ascii="仿宋" w:hAnsi="仿宋" w:eastAsia="仿宋"/>
          <w:sz w:val="30"/>
          <w:szCs w:val="30"/>
        </w:rPr>
        <w:t>b.建设单位</w:t>
      </w:r>
      <w:bookmarkEnd w:id="3"/>
      <w:bookmarkStart w:id="4" w:name="_Toc21237"/>
      <w:r>
        <w:rPr>
          <w:rFonts w:hint="eastAsia" w:ascii="仿宋" w:hAnsi="仿宋" w:eastAsia="仿宋"/>
          <w:sz w:val="30"/>
          <w:szCs w:val="30"/>
        </w:rPr>
        <w:t>项目管理</w:t>
      </w:r>
      <w:bookmarkEnd w:id="4"/>
      <w:bookmarkStart w:id="5" w:name="_Toc8903"/>
    </w:p>
    <w:p>
      <w:pPr>
        <w:ind w:firstLine="600" w:firstLineChars="200"/>
        <w:rPr>
          <w:rFonts w:ascii="仿宋" w:hAnsi="仿宋" w:eastAsia="仿宋"/>
          <w:sz w:val="30"/>
          <w:szCs w:val="30"/>
        </w:rPr>
      </w:pPr>
      <w:r>
        <w:rPr>
          <w:rFonts w:hint="eastAsia" w:ascii="仿宋" w:hAnsi="仿宋" w:eastAsia="仿宋"/>
          <w:sz w:val="30"/>
          <w:szCs w:val="30"/>
        </w:rPr>
        <w:t>b1</w:t>
      </w:r>
      <w:r>
        <w:rPr>
          <w:rFonts w:ascii="仿宋" w:hAnsi="仿宋" w:eastAsia="仿宋"/>
          <w:sz w:val="30"/>
          <w:szCs w:val="30"/>
        </w:rPr>
        <w:t>消防设计审查</w:t>
      </w:r>
      <w:bookmarkEnd w:id="5"/>
    </w:p>
    <w:p>
      <w:pPr>
        <w:ind w:firstLine="600" w:firstLineChars="200"/>
        <w:rPr>
          <w:rFonts w:ascii="仿宋" w:hAnsi="仿宋" w:eastAsia="仿宋"/>
          <w:sz w:val="30"/>
          <w:szCs w:val="30"/>
        </w:rPr>
      </w:pPr>
      <w:r>
        <w:rPr>
          <w:rFonts w:hint="eastAsia" w:ascii="仿宋" w:hAnsi="仿宋" w:eastAsia="仿宋"/>
          <w:sz w:val="30"/>
          <w:szCs w:val="30"/>
        </w:rPr>
        <w:t>b1.1新增/申报项目</w:t>
      </w:r>
    </w:p>
    <w:p>
      <w:pPr>
        <w:ind w:firstLine="600" w:firstLineChars="200"/>
        <w:rPr>
          <w:rFonts w:ascii="仿宋" w:hAnsi="仿宋" w:eastAsia="仿宋"/>
          <w:sz w:val="30"/>
          <w:szCs w:val="30"/>
        </w:rPr>
      </w:pPr>
      <w:r>
        <w:rPr>
          <w:rFonts w:hint="eastAsia" w:ascii="仿宋" w:hAnsi="仿宋" w:eastAsia="仿宋"/>
          <w:sz w:val="30"/>
          <w:szCs w:val="30"/>
        </w:rPr>
        <w:t>建设单位登录系统之后再左侧菜单点击“项目管理”展开子菜单，点击“消防设计审查”，打开消防设计审查界面，点击【新增】按钮，（如图1）弹出建设工程消防审查申报表（如图2），填写工程信息，点击【暂存】按钮，保存工程信息，点击【提交】按钮，工程上报给工程地所在主管部门。</w:t>
      </w:r>
    </w:p>
    <w:p>
      <w:pPr>
        <w:ind w:firstLine="600" w:firstLineChars="200"/>
        <w:jc w:val="center"/>
        <w:rPr>
          <w:rFonts w:ascii="仿宋" w:hAnsi="仿宋" w:eastAsia="仿宋"/>
          <w:sz w:val="30"/>
          <w:szCs w:val="30"/>
        </w:rPr>
      </w:pPr>
      <w:r>
        <w:rPr>
          <w:rFonts w:ascii="仿宋" w:hAnsi="仿宋" w:eastAsia="仿宋"/>
          <w:sz w:val="30"/>
          <w:szCs w:val="30"/>
        </w:rPr>
        <w:drawing>
          <wp:inline distT="0" distB="0" distL="114300" distR="114300">
            <wp:extent cx="4680585" cy="1807845"/>
            <wp:effectExtent l="19050" t="0" r="5449" b="0"/>
            <wp:docPr id="1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3"/>
                    <pic:cNvPicPr>
                      <a:picLocks noChangeAspect="1"/>
                    </pic:cNvPicPr>
                  </pic:nvPicPr>
                  <pic:blipFill>
                    <a:blip r:embed="rId11" cstate="print"/>
                    <a:stretch>
                      <a:fillRect/>
                    </a:stretch>
                  </pic:blipFill>
                  <pic:spPr>
                    <a:xfrm>
                      <a:off x="0" y="0"/>
                      <a:ext cx="4680851" cy="1807923"/>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w:t>
      </w:r>
    </w:p>
    <w:p>
      <w:pPr>
        <w:ind w:firstLine="560" w:firstLineChars="200"/>
        <w:rPr>
          <w:sz w:val="28"/>
          <w:szCs w:val="28"/>
        </w:rPr>
      </w:pPr>
      <w:r>
        <w:rPr>
          <w:sz w:val="28"/>
          <w:szCs w:val="28"/>
        </w:rPr>
        <w:drawing>
          <wp:inline distT="0" distB="0" distL="114300" distR="114300">
            <wp:extent cx="4926330" cy="2962910"/>
            <wp:effectExtent l="19050" t="0" r="7046" b="0"/>
            <wp:docPr id="1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4"/>
                    <pic:cNvPicPr>
                      <a:picLocks noChangeAspect="1"/>
                    </pic:cNvPicPr>
                  </pic:nvPicPr>
                  <pic:blipFill>
                    <a:blip r:embed="rId12" cstate="print"/>
                    <a:stretch>
                      <a:fillRect/>
                    </a:stretch>
                  </pic:blipFill>
                  <pic:spPr>
                    <a:xfrm>
                      <a:off x="0" y="0"/>
                      <a:ext cx="4926172" cy="2962910"/>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图2</w:t>
      </w:r>
    </w:p>
    <w:p>
      <w:pPr>
        <w:rPr>
          <w:rFonts w:ascii="仿宋" w:hAnsi="仿宋" w:eastAsia="仿宋" w:cs="宋体"/>
          <w:color w:val="FF0000"/>
          <w:sz w:val="30"/>
          <w:szCs w:val="30"/>
        </w:rPr>
      </w:pPr>
      <w:r>
        <w:rPr>
          <w:rFonts w:hint="eastAsia" w:ascii="仿宋" w:hAnsi="仿宋" w:eastAsia="仿宋" w:cs="宋体"/>
          <w:color w:val="FF0000"/>
          <w:sz w:val="30"/>
          <w:szCs w:val="30"/>
        </w:rPr>
        <w:t>注：1，审图编号是该工程在河北省施工图审查管理系统里的合格书编号，输入编号可以直接获取相关的工程信息以及图纸</w:t>
      </w:r>
    </w:p>
    <w:p>
      <w:pPr>
        <w:rPr>
          <w:rFonts w:ascii="仿宋" w:hAnsi="仿宋" w:eastAsia="仿宋" w:cs="宋体"/>
          <w:color w:val="FF0000"/>
          <w:sz w:val="30"/>
          <w:szCs w:val="30"/>
        </w:rPr>
      </w:pPr>
      <w:r>
        <w:rPr>
          <w:rFonts w:hint="eastAsia" w:ascii="仿宋" w:hAnsi="仿宋" w:eastAsia="仿宋" w:cs="宋体"/>
          <w:sz w:val="30"/>
          <w:szCs w:val="30"/>
        </w:rPr>
        <w:t xml:space="preserve">    </w:t>
      </w:r>
      <w:r>
        <w:rPr>
          <w:rFonts w:hint="eastAsia" w:ascii="仿宋" w:hAnsi="仿宋" w:eastAsia="仿宋" w:cs="宋体"/>
          <w:color w:val="FF0000"/>
          <w:sz w:val="30"/>
          <w:szCs w:val="30"/>
        </w:rPr>
        <w:t>2，单位信息和工程情况信息如果有多个的话可以点击后面的“+”按钮，进行添加</w:t>
      </w:r>
    </w:p>
    <w:p>
      <w:pPr>
        <w:rPr>
          <w:rFonts w:ascii="仿宋" w:hAnsi="仿宋" w:eastAsia="仿宋" w:cs="宋体"/>
          <w:color w:val="FF0000"/>
          <w:sz w:val="30"/>
          <w:szCs w:val="30"/>
        </w:rPr>
      </w:pPr>
      <w:r>
        <w:rPr>
          <w:rFonts w:hint="eastAsia" w:ascii="仿宋" w:hAnsi="仿宋" w:eastAsia="仿宋" w:cs="宋体"/>
          <w:color w:val="FF0000"/>
          <w:sz w:val="30"/>
          <w:szCs w:val="30"/>
        </w:rPr>
        <w:t xml:space="preserve">     3，如果是特殊消防设计工程，选择特殊消防申请编号之前应该先进行特殊消防设计评审，评审通过之后才能选择</w:t>
      </w:r>
    </w:p>
    <w:p>
      <w:pPr>
        <w:rPr>
          <w:rFonts w:ascii="仿宋" w:hAnsi="仿宋" w:eastAsia="仿宋" w:cs="宋体"/>
          <w:color w:val="FF0000"/>
          <w:sz w:val="30"/>
          <w:szCs w:val="30"/>
        </w:rPr>
      </w:pPr>
      <w:r>
        <w:rPr>
          <w:rFonts w:hint="eastAsia" w:ascii="仿宋" w:hAnsi="仿宋" w:eastAsia="仿宋" w:cs="宋体"/>
          <w:color w:val="FF0000"/>
          <w:sz w:val="30"/>
          <w:szCs w:val="30"/>
        </w:rPr>
        <w:t>b1.1.2</w:t>
      </w:r>
      <w:r>
        <w:rPr>
          <w:rFonts w:hint="eastAsia" w:ascii="仿宋" w:hAnsi="仿宋" w:eastAsia="仿宋"/>
          <w:sz w:val="30"/>
          <w:szCs w:val="30"/>
        </w:rPr>
        <w:t>重新申请</w:t>
      </w:r>
    </w:p>
    <w:p>
      <w:pPr>
        <w:ind w:firstLine="560"/>
        <w:rPr>
          <w:rFonts w:ascii="仿宋" w:hAnsi="仿宋" w:eastAsia="仿宋"/>
          <w:sz w:val="30"/>
          <w:szCs w:val="30"/>
        </w:rPr>
      </w:pPr>
      <w:r>
        <w:rPr>
          <w:rFonts w:hint="eastAsia" w:ascii="仿宋" w:hAnsi="仿宋" w:eastAsia="仿宋"/>
          <w:sz w:val="30"/>
          <w:szCs w:val="30"/>
        </w:rPr>
        <w:t>住建局拒绝受理出具不受理凭证、驳回以及审查不合格这三种情况下，建设单位需要重新发起申请。点击【重新申请】按钮（如图3），打开重新申请页面（如图4），可以针对工程信息以及文件进行修改再提交。</w:t>
      </w:r>
    </w:p>
    <w:p>
      <w:pPr>
        <w:ind w:firstLine="560"/>
        <w:rPr>
          <w:rFonts w:ascii="仿宋" w:hAnsi="仿宋" w:eastAsia="仿宋"/>
          <w:sz w:val="30"/>
          <w:szCs w:val="30"/>
        </w:rPr>
      </w:pPr>
    </w:p>
    <w:p>
      <w:pPr>
        <w:ind w:firstLine="560" w:firstLineChars="200"/>
        <w:rPr>
          <w:sz w:val="28"/>
          <w:szCs w:val="28"/>
        </w:rPr>
      </w:pPr>
    </w:p>
    <w:p>
      <w:pPr>
        <w:ind w:firstLine="560" w:firstLineChars="200"/>
        <w:rPr>
          <w:sz w:val="28"/>
          <w:szCs w:val="28"/>
        </w:rPr>
      </w:pPr>
    </w:p>
    <w:p>
      <w:pPr>
        <w:ind w:firstLine="560" w:firstLineChars="200"/>
        <w:rPr>
          <w:sz w:val="28"/>
          <w:szCs w:val="28"/>
        </w:rPr>
      </w:pPr>
      <w:r>
        <w:rPr>
          <w:sz w:val="28"/>
          <w:szCs w:val="28"/>
        </w:rPr>
        <w:drawing>
          <wp:inline distT="0" distB="0" distL="114300" distR="114300">
            <wp:extent cx="4715510" cy="2200275"/>
            <wp:effectExtent l="19050" t="0" r="8621" b="0"/>
            <wp:docPr id="1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5"/>
                    <pic:cNvPicPr>
                      <a:picLocks noChangeAspect="1"/>
                    </pic:cNvPicPr>
                  </pic:nvPicPr>
                  <pic:blipFill>
                    <a:blip r:embed="rId13" cstate="print"/>
                    <a:stretch>
                      <a:fillRect/>
                    </a:stretch>
                  </pic:blipFill>
                  <pic:spPr>
                    <a:xfrm>
                      <a:off x="0" y="0"/>
                      <a:ext cx="4713261" cy="2199231"/>
                    </a:xfrm>
                    <a:prstGeom prst="rect">
                      <a:avLst/>
                    </a:prstGeom>
                    <a:noFill/>
                    <a:ln>
                      <a:noFill/>
                    </a:ln>
                  </pic:spPr>
                </pic:pic>
              </a:graphicData>
            </a:graphic>
          </wp:inline>
        </w:drawing>
      </w:r>
    </w:p>
    <w:p>
      <w:pPr>
        <w:jc w:val="center"/>
        <w:rPr>
          <w:sz w:val="28"/>
          <w:szCs w:val="28"/>
        </w:rPr>
      </w:pPr>
      <w:r>
        <w:rPr>
          <w:rFonts w:hint="eastAsia"/>
          <w:sz w:val="28"/>
          <w:szCs w:val="28"/>
        </w:rPr>
        <w:t>图3</w:t>
      </w:r>
    </w:p>
    <w:p>
      <w:pPr>
        <w:ind w:firstLine="560" w:firstLineChars="200"/>
        <w:jc w:val="center"/>
        <w:rPr>
          <w:sz w:val="28"/>
          <w:szCs w:val="28"/>
        </w:rPr>
      </w:pPr>
      <w:r>
        <w:rPr>
          <w:sz w:val="28"/>
          <w:szCs w:val="28"/>
        </w:rPr>
        <w:drawing>
          <wp:inline distT="0" distB="0" distL="114300" distR="114300">
            <wp:extent cx="4547235" cy="2492375"/>
            <wp:effectExtent l="19050" t="0" r="5715" b="0"/>
            <wp:docPr id="1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
                    <pic:cNvPicPr>
                      <a:picLocks noChangeAspect="1"/>
                    </pic:cNvPicPr>
                  </pic:nvPicPr>
                  <pic:blipFill>
                    <a:blip r:embed="rId14" cstate="print"/>
                    <a:stretch>
                      <a:fillRect/>
                    </a:stretch>
                  </pic:blipFill>
                  <pic:spPr>
                    <a:xfrm>
                      <a:off x="0" y="0"/>
                      <a:ext cx="4546272" cy="2492151"/>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图4</w:t>
      </w:r>
    </w:p>
    <w:p>
      <w:pPr>
        <w:jc w:val="left"/>
        <w:rPr>
          <w:rFonts w:ascii="仿宋" w:hAnsi="仿宋" w:eastAsia="仿宋"/>
          <w:sz w:val="30"/>
          <w:szCs w:val="30"/>
        </w:rPr>
      </w:pPr>
      <w:r>
        <w:rPr>
          <w:rFonts w:hint="eastAsia" w:ascii="仿宋" w:hAnsi="仿宋" w:eastAsia="仿宋" w:cs="宋体"/>
          <w:sz w:val="30"/>
          <w:szCs w:val="30"/>
        </w:rPr>
        <w:t>b1.1.3</w:t>
      </w:r>
      <w:r>
        <w:rPr>
          <w:rFonts w:hint="eastAsia" w:ascii="仿宋" w:hAnsi="仿宋" w:eastAsia="仿宋"/>
          <w:sz w:val="30"/>
          <w:szCs w:val="30"/>
        </w:rPr>
        <w:t>文件下载</w:t>
      </w:r>
    </w:p>
    <w:p>
      <w:pPr>
        <w:jc w:val="left"/>
        <w:rPr>
          <w:rFonts w:ascii="仿宋" w:hAnsi="仿宋" w:eastAsia="仿宋"/>
          <w:sz w:val="30"/>
          <w:szCs w:val="30"/>
        </w:rPr>
      </w:pPr>
      <w:r>
        <w:rPr>
          <w:rFonts w:hint="eastAsia" w:ascii="仿宋" w:hAnsi="仿宋" w:eastAsia="仿宋"/>
          <w:sz w:val="30"/>
          <w:szCs w:val="30"/>
        </w:rPr>
        <w:t xml:space="preserve">   建设单位能够下载的文件包括消防设计审查受理（不受理）凭证、消防设计审查意见书（合格/不合格）。</w:t>
      </w:r>
      <w:bookmarkStart w:id="6" w:name="_Toc8176"/>
    </w:p>
    <w:p>
      <w:pPr>
        <w:jc w:val="left"/>
        <w:rPr>
          <w:rFonts w:ascii="仿宋" w:hAnsi="仿宋" w:eastAsia="仿宋"/>
          <w:sz w:val="30"/>
          <w:szCs w:val="30"/>
        </w:rPr>
      </w:pPr>
      <w:r>
        <w:rPr>
          <w:rFonts w:hint="eastAsia" w:ascii="仿宋" w:hAnsi="仿宋" w:eastAsia="仿宋"/>
          <w:sz w:val="30"/>
          <w:szCs w:val="30"/>
        </w:rPr>
        <w:t>b1.2</w:t>
      </w:r>
      <w:r>
        <w:rPr>
          <w:rFonts w:ascii="仿宋" w:hAnsi="仿宋" w:eastAsia="仿宋"/>
          <w:sz w:val="30"/>
          <w:szCs w:val="30"/>
        </w:rPr>
        <w:t>消防竣工验收</w:t>
      </w:r>
      <w:bookmarkEnd w:id="6"/>
    </w:p>
    <w:p>
      <w:pPr>
        <w:jc w:val="left"/>
        <w:rPr>
          <w:rFonts w:ascii="仿宋" w:hAnsi="仿宋" w:eastAsia="仿宋"/>
          <w:sz w:val="30"/>
          <w:szCs w:val="30"/>
        </w:rPr>
      </w:pPr>
      <w:r>
        <w:rPr>
          <w:rFonts w:hint="eastAsia" w:ascii="仿宋" w:hAnsi="仿宋" w:eastAsia="仿宋"/>
          <w:sz w:val="30"/>
          <w:szCs w:val="30"/>
        </w:rPr>
        <w:t>b1.2.1新增/申报项目</w:t>
      </w:r>
    </w:p>
    <w:p>
      <w:pPr>
        <w:ind w:firstLine="600" w:firstLineChars="200"/>
        <w:rPr>
          <w:rFonts w:ascii="仿宋" w:hAnsi="仿宋" w:eastAsia="仿宋"/>
          <w:sz w:val="30"/>
          <w:szCs w:val="30"/>
        </w:rPr>
      </w:pPr>
      <w:r>
        <w:rPr>
          <w:rFonts w:hint="eastAsia" w:ascii="仿宋" w:hAnsi="仿宋" w:eastAsia="仿宋"/>
          <w:sz w:val="30"/>
          <w:szCs w:val="30"/>
        </w:rPr>
        <w:t>建设单位登录系统之后再左侧菜单点击“项目管理”展开子菜单，点击“消防验收”，打开消防验收界面，点击【新增】按钮，（如图5）弹出特殊建设工程消防验收申报表（如图6），填写工程信息，点击【暂存】按钮，保存工程信息，点击【提交】按钮，工程上报给工程地所在主管部门。</w:t>
      </w:r>
    </w:p>
    <w:p>
      <w:pPr>
        <w:ind w:firstLine="560" w:firstLineChars="200"/>
        <w:jc w:val="center"/>
        <w:rPr>
          <w:sz w:val="28"/>
          <w:szCs w:val="28"/>
        </w:rPr>
      </w:pPr>
      <w:r>
        <w:rPr>
          <w:sz w:val="28"/>
          <w:szCs w:val="28"/>
        </w:rPr>
        <w:drawing>
          <wp:inline distT="0" distB="0" distL="114300" distR="114300">
            <wp:extent cx="4827905" cy="2145665"/>
            <wp:effectExtent l="19050" t="0" r="0" b="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5" cstate="print"/>
                    <a:stretch>
                      <a:fillRect/>
                    </a:stretch>
                  </pic:blipFill>
                  <pic:spPr>
                    <a:xfrm>
                      <a:off x="0" y="0"/>
                      <a:ext cx="4825979" cy="2144995"/>
                    </a:xfrm>
                    <a:prstGeom prst="rect">
                      <a:avLst/>
                    </a:prstGeom>
                    <a:noFill/>
                    <a:ln>
                      <a:noFill/>
                    </a:ln>
                  </pic:spPr>
                </pic:pic>
              </a:graphicData>
            </a:graphic>
          </wp:inline>
        </w:drawing>
      </w:r>
    </w:p>
    <w:p>
      <w:pPr>
        <w:jc w:val="center"/>
        <w:rPr>
          <w:sz w:val="28"/>
          <w:szCs w:val="28"/>
        </w:rPr>
      </w:pPr>
      <w:r>
        <w:rPr>
          <w:rFonts w:hint="eastAsia"/>
          <w:sz w:val="28"/>
          <w:szCs w:val="28"/>
        </w:rPr>
        <w:t>图5</w:t>
      </w:r>
    </w:p>
    <w:p>
      <w:pPr>
        <w:ind w:firstLine="560" w:firstLineChars="200"/>
        <w:jc w:val="center"/>
        <w:rPr>
          <w:sz w:val="28"/>
          <w:szCs w:val="28"/>
        </w:rPr>
      </w:pPr>
      <w:r>
        <w:rPr>
          <w:sz w:val="28"/>
          <w:szCs w:val="28"/>
        </w:rPr>
        <w:drawing>
          <wp:inline distT="0" distB="0" distL="114300" distR="114300">
            <wp:extent cx="4948555" cy="2654935"/>
            <wp:effectExtent l="19050" t="0" r="4297" b="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6" cstate="print"/>
                    <a:stretch>
                      <a:fillRect/>
                    </a:stretch>
                  </pic:blipFill>
                  <pic:spPr>
                    <a:xfrm>
                      <a:off x="0" y="0"/>
                      <a:ext cx="4947046" cy="2654629"/>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图6</w:t>
      </w:r>
    </w:p>
    <w:p>
      <w:pPr>
        <w:jc w:val="left"/>
        <w:rPr>
          <w:rFonts w:ascii="宋体" w:hAnsi="宋体" w:eastAsia="宋体" w:cs="宋体"/>
          <w:sz w:val="28"/>
          <w:szCs w:val="28"/>
        </w:rPr>
      </w:pPr>
      <w:r>
        <w:rPr>
          <w:rFonts w:hint="eastAsia" w:ascii="仿宋" w:hAnsi="仿宋" w:eastAsia="仿宋" w:cs="宋体"/>
          <w:sz w:val="30"/>
          <w:szCs w:val="30"/>
        </w:rPr>
        <w:t>b1.2.2</w:t>
      </w:r>
      <w:r>
        <w:rPr>
          <w:rFonts w:hint="eastAsia" w:ascii="仿宋" w:hAnsi="仿宋" w:eastAsia="仿宋"/>
          <w:sz w:val="30"/>
          <w:szCs w:val="30"/>
        </w:rPr>
        <w:t>重新申请</w:t>
      </w:r>
    </w:p>
    <w:p>
      <w:pPr>
        <w:ind w:firstLine="560"/>
        <w:rPr>
          <w:rFonts w:ascii="仿宋" w:hAnsi="仿宋" w:eastAsia="仿宋"/>
          <w:sz w:val="30"/>
          <w:szCs w:val="30"/>
        </w:rPr>
      </w:pPr>
      <w:r>
        <w:rPr>
          <w:rFonts w:hint="eastAsia" w:ascii="仿宋" w:hAnsi="仿宋" w:eastAsia="仿宋"/>
          <w:sz w:val="30"/>
          <w:szCs w:val="30"/>
        </w:rPr>
        <w:t>住建局拒绝受理出具不受理凭证、驳回以及审查不合格这三种情况下，建设单位需要重新发起申请。点击【重新申请】按钮（如图7），打开重新申请页面（如图8），可以针对工程信息以及文件进行修改再提交。如果是审查不合格的项目会带出之前的审查信息以及填写本次的整改情况</w:t>
      </w:r>
    </w:p>
    <w:p>
      <w:pPr>
        <w:ind w:firstLine="560" w:firstLineChars="200"/>
        <w:jc w:val="center"/>
        <w:rPr>
          <w:sz w:val="28"/>
          <w:szCs w:val="28"/>
        </w:rPr>
      </w:pPr>
    </w:p>
    <w:p>
      <w:r>
        <w:drawing>
          <wp:inline distT="0" distB="0" distL="114300" distR="114300">
            <wp:extent cx="5266690" cy="2962910"/>
            <wp:effectExtent l="0" t="0" r="10160" b="889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7" cstate="print"/>
                    <a:stretch>
                      <a:fillRect/>
                    </a:stretch>
                  </pic:blipFill>
                  <pic:spPr>
                    <a:xfrm>
                      <a:off x="0" y="0"/>
                      <a:ext cx="5266690" cy="2962910"/>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图7</w:t>
      </w:r>
    </w:p>
    <w:p>
      <w:pPr>
        <w:jc w:val="left"/>
        <w:rPr>
          <w:rFonts w:ascii="仿宋" w:hAnsi="仿宋" w:eastAsia="仿宋"/>
          <w:sz w:val="30"/>
          <w:szCs w:val="30"/>
        </w:rPr>
      </w:pPr>
      <w:r>
        <w:drawing>
          <wp:inline distT="0" distB="0" distL="114300" distR="114300">
            <wp:extent cx="5266690" cy="2962910"/>
            <wp:effectExtent l="0" t="0" r="10160" b="8890"/>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18" cstate="print"/>
                    <a:stretch>
                      <a:fillRect/>
                    </a:stretch>
                  </pic:blipFill>
                  <pic:spPr>
                    <a:xfrm>
                      <a:off x="0" y="0"/>
                      <a:ext cx="5266690" cy="2962910"/>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图8</w:t>
      </w:r>
    </w:p>
    <w:p>
      <w:pPr>
        <w:jc w:val="left"/>
        <w:rPr>
          <w:rFonts w:ascii="仿宋" w:hAnsi="仿宋" w:eastAsia="仿宋"/>
          <w:sz w:val="30"/>
          <w:szCs w:val="30"/>
        </w:rPr>
      </w:pPr>
      <w:r>
        <w:rPr>
          <w:rFonts w:hint="eastAsia" w:ascii="仿宋" w:hAnsi="仿宋" w:eastAsia="仿宋"/>
          <w:sz w:val="30"/>
          <w:szCs w:val="30"/>
        </w:rPr>
        <w:t>b1.2.3文件下载</w:t>
      </w:r>
    </w:p>
    <w:p>
      <w:pPr>
        <w:ind w:firstLine="600" w:firstLineChars="200"/>
        <w:rPr>
          <w:rFonts w:ascii="仿宋" w:hAnsi="仿宋" w:eastAsia="仿宋"/>
          <w:sz w:val="30"/>
          <w:szCs w:val="30"/>
        </w:rPr>
      </w:pPr>
      <w:r>
        <w:rPr>
          <w:rFonts w:hint="eastAsia" w:ascii="仿宋" w:hAnsi="仿宋" w:eastAsia="仿宋"/>
          <w:sz w:val="30"/>
          <w:szCs w:val="30"/>
        </w:rPr>
        <w:t>建设单位能够下载的文件包括消防验收申请受理（不受理）凭证、消防验收意见书（合格/不合格）。</w:t>
      </w:r>
      <w:bookmarkStart w:id="7" w:name="_Toc7173"/>
    </w:p>
    <w:p>
      <w:pPr>
        <w:ind w:firstLine="600" w:firstLineChars="200"/>
        <w:rPr>
          <w:rFonts w:ascii="仿宋" w:hAnsi="仿宋" w:eastAsia="仿宋"/>
          <w:sz w:val="30"/>
          <w:szCs w:val="30"/>
        </w:rPr>
      </w:pPr>
      <w:r>
        <w:rPr>
          <w:rFonts w:hint="eastAsia" w:ascii="仿宋" w:hAnsi="仿宋" w:eastAsia="仿宋"/>
          <w:sz w:val="30"/>
          <w:szCs w:val="30"/>
        </w:rPr>
        <w:t>b1.3</w:t>
      </w:r>
      <w:r>
        <w:rPr>
          <w:rFonts w:ascii="仿宋" w:hAnsi="仿宋" w:eastAsia="仿宋"/>
          <w:sz w:val="30"/>
          <w:szCs w:val="30"/>
        </w:rPr>
        <w:t>消防竣工验收备案和抽查</w:t>
      </w:r>
      <w:bookmarkEnd w:id="7"/>
      <w:r>
        <w:rPr>
          <w:rFonts w:hint="eastAsia" w:ascii="仿宋" w:hAnsi="仿宋" w:eastAsia="仿宋"/>
          <w:sz w:val="30"/>
          <w:szCs w:val="30"/>
        </w:rPr>
        <w:t>（其他工程）</w:t>
      </w:r>
    </w:p>
    <w:p>
      <w:pPr>
        <w:ind w:firstLine="600" w:firstLineChars="200"/>
        <w:rPr>
          <w:rFonts w:ascii="仿宋" w:hAnsi="仿宋" w:eastAsia="仿宋"/>
          <w:sz w:val="30"/>
          <w:szCs w:val="30"/>
        </w:rPr>
      </w:pPr>
      <w:r>
        <w:rPr>
          <w:rFonts w:hint="eastAsia" w:ascii="仿宋" w:hAnsi="仿宋" w:eastAsia="仿宋"/>
          <w:sz w:val="30"/>
          <w:szCs w:val="30"/>
        </w:rPr>
        <w:t>b1.3.1新增/申报项目</w:t>
      </w:r>
    </w:p>
    <w:p>
      <w:pPr>
        <w:ind w:firstLine="600" w:firstLineChars="200"/>
        <w:rPr>
          <w:rFonts w:ascii="仿宋" w:hAnsi="仿宋" w:eastAsia="仿宋"/>
          <w:sz w:val="30"/>
          <w:szCs w:val="30"/>
        </w:rPr>
      </w:pPr>
      <w:r>
        <w:rPr>
          <w:rFonts w:hint="eastAsia" w:ascii="仿宋" w:hAnsi="仿宋" w:eastAsia="仿宋"/>
          <w:sz w:val="30"/>
          <w:szCs w:val="30"/>
        </w:rPr>
        <w:t>建设单位登录系统之后再左侧菜单点击“项目管理”展开子菜单，点击“消防竣工验收备案和抽查”，打开消防竣工验收备案和抽查界面，点击【新增】按钮，（如图9）弹出建设工程消防验收备案表（如图10），填写工程信息，点击【暂存】按钮，保存工程信息，点击【提交】按钮，弹出抽查对话框。</w:t>
      </w:r>
    </w:p>
    <w:p>
      <w:pPr>
        <w:jc w:val="left"/>
        <w:rPr>
          <w:rFonts w:ascii="仿宋" w:hAnsi="仿宋" w:eastAsia="仿宋"/>
          <w:b/>
          <w:sz w:val="30"/>
          <w:szCs w:val="30"/>
        </w:rPr>
      </w:pPr>
      <w:r>
        <w:rPr>
          <w:rFonts w:ascii="仿宋" w:hAnsi="仿宋" w:eastAsia="仿宋"/>
          <w:b/>
          <w:sz w:val="30"/>
          <w:szCs w:val="30"/>
        </w:rPr>
        <w:drawing>
          <wp:inline distT="0" distB="0" distL="114300" distR="114300">
            <wp:extent cx="5266055" cy="2216785"/>
            <wp:effectExtent l="19050" t="0" r="0" b="0"/>
            <wp:docPr id="21"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7"/>
                    <pic:cNvPicPr>
                      <a:picLocks noChangeAspect="1"/>
                    </pic:cNvPicPr>
                  </pic:nvPicPr>
                  <pic:blipFill>
                    <a:blip r:embed="rId19" cstate="print"/>
                    <a:stretch>
                      <a:fillRect/>
                    </a:stretch>
                  </pic:blipFill>
                  <pic:spPr>
                    <a:xfrm>
                      <a:off x="0" y="0"/>
                      <a:ext cx="5266690" cy="2217232"/>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图9</w:t>
      </w:r>
    </w:p>
    <w:p>
      <w:pPr>
        <w:jc w:val="center"/>
        <w:rPr>
          <w:rFonts w:ascii="仿宋" w:hAnsi="仿宋" w:eastAsia="仿宋"/>
          <w:b/>
          <w:sz w:val="30"/>
          <w:szCs w:val="30"/>
        </w:rPr>
      </w:pPr>
      <w:r>
        <w:rPr>
          <w:rFonts w:ascii="仿宋" w:hAnsi="仿宋" w:eastAsia="仿宋"/>
          <w:b/>
          <w:sz w:val="30"/>
          <w:szCs w:val="30"/>
        </w:rPr>
        <w:drawing>
          <wp:inline distT="0" distB="0" distL="114300" distR="114300">
            <wp:extent cx="5266055" cy="2638425"/>
            <wp:effectExtent l="19050" t="0" r="0" b="0"/>
            <wp:docPr id="22"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8"/>
                    <pic:cNvPicPr>
                      <a:picLocks noChangeAspect="1"/>
                    </pic:cNvPicPr>
                  </pic:nvPicPr>
                  <pic:blipFill>
                    <a:blip r:embed="rId20" cstate="print"/>
                    <a:stretch>
                      <a:fillRect/>
                    </a:stretch>
                  </pic:blipFill>
                  <pic:spPr>
                    <a:xfrm>
                      <a:off x="0" y="0"/>
                      <a:ext cx="5266690" cy="2638965"/>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图10</w:t>
      </w:r>
    </w:p>
    <w:p>
      <w:pPr>
        <w:jc w:val="left"/>
        <w:rPr>
          <w:rFonts w:ascii="仿宋" w:hAnsi="仿宋" w:eastAsia="仿宋" w:cs="宋体"/>
          <w:sz w:val="30"/>
          <w:szCs w:val="30"/>
        </w:rPr>
      </w:pPr>
      <w:r>
        <w:rPr>
          <w:rFonts w:hint="eastAsia" w:ascii="仿宋" w:hAnsi="仿宋" w:eastAsia="仿宋"/>
          <w:sz w:val="30"/>
          <w:szCs w:val="30"/>
        </w:rPr>
        <w:t>b1.3.2抽查</w:t>
      </w:r>
    </w:p>
    <w:p>
      <w:pPr>
        <w:ind w:firstLine="420"/>
        <w:rPr>
          <w:rFonts w:ascii="仿宋" w:hAnsi="仿宋" w:eastAsia="仿宋"/>
          <w:sz w:val="30"/>
          <w:szCs w:val="30"/>
        </w:rPr>
      </w:pPr>
      <w:r>
        <w:rPr>
          <w:rFonts w:hint="eastAsia" w:ascii="仿宋" w:hAnsi="仿宋" w:eastAsia="仿宋"/>
          <w:sz w:val="30"/>
          <w:szCs w:val="30"/>
        </w:rPr>
        <w:t>建设单位提交之后弹出抽查系统（如图11），建设单位可以自己选择一个号码也可以随机生成一个号码（该号码在1-100范围内），点击【开始抽签】按钮，系统根据工程的使用性质对应的抽查比例，抽出数字，如果抽出的数字中包含建设单位选择的号码，则是抽中；如果抽出的数字不包含建设单位选择的号码，则是不抽中（如图12）。</w:t>
      </w:r>
    </w:p>
    <w:p>
      <w:pPr>
        <w:jc w:val="center"/>
        <w:rPr>
          <w:rFonts w:ascii="仿宋" w:hAnsi="仿宋" w:eastAsia="仿宋"/>
          <w:b/>
          <w:sz w:val="30"/>
          <w:szCs w:val="30"/>
        </w:rPr>
      </w:pPr>
      <w:r>
        <w:rPr>
          <w:rFonts w:ascii="仿宋" w:hAnsi="仿宋" w:eastAsia="仿宋"/>
          <w:b/>
          <w:sz w:val="30"/>
          <w:szCs w:val="30"/>
        </w:rPr>
        <w:drawing>
          <wp:inline distT="0" distB="0" distL="114300" distR="114300">
            <wp:extent cx="5266055" cy="2487930"/>
            <wp:effectExtent l="19050" t="0" r="0" b="0"/>
            <wp:docPr id="2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pic:cNvPicPr>
                      <a:picLocks noChangeAspect="1"/>
                    </pic:cNvPicPr>
                  </pic:nvPicPr>
                  <pic:blipFill>
                    <a:blip r:embed="rId21" cstate="print"/>
                    <a:stretch>
                      <a:fillRect/>
                    </a:stretch>
                  </pic:blipFill>
                  <pic:spPr>
                    <a:xfrm>
                      <a:off x="0" y="0"/>
                      <a:ext cx="5266690" cy="2488644"/>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图11</w:t>
      </w:r>
    </w:p>
    <w:p>
      <w:pPr>
        <w:jc w:val="center"/>
        <w:rPr>
          <w:rFonts w:ascii="仿宋" w:hAnsi="仿宋" w:eastAsia="仿宋"/>
          <w:b/>
          <w:sz w:val="30"/>
          <w:szCs w:val="30"/>
        </w:rPr>
      </w:pPr>
      <w:r>
        <w:rPr>
          <w:rFonts w:ascii="仿宋" w:hAnsi="仿宋" w:eastAsia="仿宋"/>
          <w:b/>
          <w:sz w:val="30"/>
          <w:szCs w:val="30"/>
        </w:rPr>
        <w:drawing>
          <wp:inline distT="0" distB="0" distL="114300" distR="114300">
            <wp:extent cx="5266055" cy="2596515"/>
            <wp:effectExtent l="19050" t="0" r="0" b="0"/>
            <wp:docPr id="24"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0"/>
                    <pic:cNvPicPr>
                      <a:picLocks noChangeAspect="1"/>
                    </pic:cNvPicPr>
                  </pic:nvPicPr>
                  <pic:blipFill>
                    <a:blip r:embed="rId22" cstate="print"/>
                    <a:stretch>
                      <a:fillRect/>
                    </a:stretch>
                  </pic:blipFill>
                  <pic:spPr>
                    <a:xfrm>
                      <a:off x="0" y="0"/>
                      <a:ext cx="5266690" cy="2597209"/>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图12</w:t>
      </w:r>
    </w:p>
    <w:p>
      <w:pPr>
        <w:jc w:val="left"/>
        <w:rPr>
          <w:rFonts w:ascii="仿宋" w:hAnsi="仿宋" w:eastAsia="仿宋" w:cs="宋体"/>
          <w:sz w:val="30"/>
          <w:szCs w:val="30"/>
        </w:rPr>
      </w:pPr>
      <w:r>
        <w:rPr>
          <w:rFonts w:hint="eastAsia" w:ascii="仿宋" w:hAnsi="仿宋" w:eastAsia="仿宋"/>
          <w:sz w:val="30"/>
          <w:szCs w:val="30"/>
        </w:rPr>
        <w:t>b1.3.3重新申请</w:t>
      </w:r>
    </w:p>
    <w:p>
      <w:pPr>
        <w:ind w:firstLine="600" w:firstLineChars="200"/>
        <w:rPr>
          <w:rFonts w:ascii="仿宋" w:hAnsi="仿宋" w:eastAsia="仿宋"/>
          <w:sz w:val="30"/>
          <w:szCs w:val="30"/>
        </w:rPr>
      </w:pPr>
      <w:r>
        <w:rPr>
          <w:rFonts w:hint="eastAsia" w:ascii="仿宋" w:hAnsi="仿宋" w:eastAsia="仿宋"/>
          <w:sz w:val="30"/>
          <w:szCs w:val="30"/>
        </w:rPr>
        <w:t>住建局拒绝备案出具不予备案凭证、驳回以及审查不合格这三种情况下，建设单位需要重新发起申请。点击【重新申请】按钮（如图13），打开重新申请页面（如图14），可以针对工程信息以及文件进行修改再提交。如果是审查不合格的项目会带出之前的审查信息以及填写本次的整改情况</w:t>
      </w:r>
    </w:p>
    <w:p>
      <w:pPr>
        <w:jc w:val="center"/>
        <w:rPr>
          <w:rFonts w:ascii="仿宋" w:hAnsi="仿宋" w:eastAsia="仿宋"/>
          <w:b/>
          <w:sz w:val="30"/>
          <w:szCs w:val="30"/>
        </w:rPr>
      </w:pPr>
      <w:r>
        <w:rPr>
          <w:rFonts w:ascii="仿宋" w:hAnsi="仿宋" w:eastAsia="仿宋"/>
          <w:b/>
          <w:sz w:val="30"/>
          <w:szCs w:val="30"/>
        </w:rPr>
        <w:drawing>
          <wp:inline distT="0" distB="0" distL="114300" distR="114300">
            <wp:extent cx="5267325" cy="2279650"/>
            <wp:effectExtent l="19050" t="0" r="9377" b="0"/>
            <wp:docPr id="26"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1"/>
                    <pic:cNvPicPr>
                      <a:picLocks noChangeAspect="1"/>
                    </pic:cNvPicPr>
                  </pic:nvPicPr>
                  <pic:blipFill>
                    <a:blip r:embed="rId23" cstate="print"/>
                    <a:stretch>
                      <a:fillRect/>
                    </a:stretch>
                  </pic:blipFill>
                  <pic:spPr>
                    <a:xfrm>
                      <a:off x="0" y="0"/>
                      <a:ext cx="5266690" cy="2279398"/>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图13</w:t>
      </w:r>
    </w:p>
    <w:p>
      <w:pPr>
        <w:jc w:val="center"/>
        <w:rPr>
          <w:rFonts w:ascii="仿宋" w:hAnsi="仿宋" w:eastAsia="仿宋"/>
          <w:b/>
          <w:sz w:val="30"/>
          <w:szCs w:val="30"/>
        </w:rPr>
      </w:pPr>
      <w:r>
        <w:rPr>
          <w:rFonts w:ascii="仿宋" w:hAnsi="仿宋" w:eastAsia="仿宋"/>
          <w:b/>
          <w:sz w:val="30"/>
          <w:szCs w:val="30"/>
        </w:rPr>
        <w:drawing>
          <wp:inline distT="0" distB="0" distL="114300" distR="114300">
            <wp:extent cx="5266690" cy="2962910"/>
            <wp:effectExtent l="0" t="0" r="10160" b="8890"/>
            <wp:docPr id="27"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2"/>
                    <pic:cNvPicPr>
                      <a:picLocks noChangeAspect="1"/>
                    </pic:cNvPicPr>
                  </pic:nvPicPr>
                  <pic:blipFill>
                    <a:blip r:embed="rId24" cstate="print"/>
                    <a:stretch>
                      <a:fillRect/>
                    </a:stretch>
                  </pic:blipFill>
                  <pic:spPr>
                    <a:xfrm>
                      <a:off x="0" y="0"/>
                      <a:ext cx="5266690" cy="2962910"/>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图14</w:t>
      </w:r>
    </w:p>
    <w:p>
      <w:pPr>
        <w:jc w:val="left"/>
        <w:rPr>
          <w:rFonts w:ascii="仿宋" w:hAnsi="仿宋" w:eastAsia="仿宋" w:cs="宋体"/>
          <w:sz w:val="30"/>
          <w:szCs w:val="30"/>
        </w:rPr>
      </w:pPr>
      <w:r>
        <w:rPr>
          <w:rFonts w:hint="eastAsia" w:ascii="仿宋" w:hAnsi="仿宋" w:eastAsia="仿宋"/>
          <w:sz w:val="30"/>
          <w:szCs w:val="30"/>
        </w:rPr>
        <w:t>b1.3.4文件下载</w:t>
      </w:r>
    </w:p>
    <w:p>
      <w:pPr>
        <w:ind w:firstLine="600" w:firstLineChars="200"/>
        <w:rPr>
          <w:rFonts w:ascii="仿宋" w:hAnsi="仿宋" w:eastAsia="仿宋"/>
          <w:sz w:val="30"/>
          <w:szCs w:val="30"/>
        </w:rPr>
      </w:pPr>
      <w:r>
        <w:rPr>
          <w:rFonts w:hint="eastAsia" w:ascii="仿宋" w:hAnsi="仿宋" w:eastAsia="仿宋"/>
          <w:sz w:val="30"/>
          <w:szCs w:val="30"/>
        </w:rPr>
        <w:t>建设单位能够下载的文件包括建设工程消防验收备案（不予备案/未抽中）凭证、建设工程消防验收备案意见书（合格/不合格）。</w:t>
      </w:r>
      <w:bookmarkStart w:id="8" w:name="_Toc24771"/>
    </w:p>
    <w:p>
      <w:pPr>
        <w:widowControl/>
        <w:jc w:val="left"/>
        <w:rPr>
          <w:rFonts w:ascii="仿宋" w:hAnsi="仿宋" w:eastAsia="仿宋"/>
          <w:sz w:val="30"/>
          <w:szCs w:val="30"/>
        </w:rPr>
      </w:pPr>
      <w:r>
        <w:rPr>
          <w:rFonts w:hint="eastAsia" w:ascii="仿宋" w:hAnsi="仿宋" w:eastAsia="仿宋"/>
          <w:sz w:val="30"/>
          <w:szCs w:val="30"/>
        </w:rPr>
        <w:t>b1.4</w:t>
      </w:r>
      <w:r>
        <w:rPr>
          <w:rFonts w:ascii="仿宋" w:hAnsi="仿宋" w:eastAsia="仿宋"/>
          <w:sz w:val="30"/>
          <w:szCs w:val="30"/>
        </w:rPr>
        <w:t>特殊消防设计评审</w:t>
      </w:r>
      <w:bookmarkEnd w:id="8"/>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提交特殊消防设计技术资料：</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（一）国家工程建设消防技术标准没有规定，必须采用国际标准或者境外工程建设消防技术标准的；</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（二）消防设计文件拟采用的新技术、新工艺、新材料不符合国家工程建设消防技术标准规定的。　</w:t>
      </w:r>
    </w:p>
    <w:p>
      <w:pPr>
        <w:widowControl/>
        <w:jc w:val="left"/>
        <w:rPr>
          <w:rFonts w:ascii="仿宋" w:hAnsi="仿宋" w:eastAsia="仿宋" w:cs="宋体"/>
          <w:color w:val="000000"/>
          <w:kern w:val="0"/>
          <w:sz w:val="30"/>
          <w:szCs w:val="30"/>
        </w:rPr>
      </w:pPr>
      <w:r>
        <w:rPr>
          <w:rFonts w:hint="eastAsia" w:ascii="仿宋" w:hAnsi="仿宋" w:eastAsia="仿宋" w:cs="宋体"/>
          <w:color w:val="000000"/>
          <w:kern w:val="0"/>
          <w:sz w:val="30"/>
          <w:szCs w:val="30"/>
        </w:rPr>
        <w:t>　　前款所称特殊消防设计技术资料，应当包括特殊消防设计文件，设计采用的国际标准、境外工程建设消防技术标准的中文文本，以及有关的应用实例、产品说明等资料。</w:t>
      </w:r>
    </w:p>
    <w:p>
      <w:pPr>
        <w:ind w:firstLine="600" w:firstLineChars="200"/>
        <w:rPr>
          <w:rFonts w:ascii="仿宋" w:hAnsi="仿宋" w:eastAsia="仿宋"/>
          <w:sz w:val="30"/>
          <w:szCs w:val="30"/>
        </w:rPr>
      </w:pPr>
      <w:r>
        <w:rPr>
          <w:rFonts w:hint="eastAsia" w:ascii="仿宋" w:hAnsi="仿宋" w:eastAsia="仿宋"/>
          <w:sz w:val="30"/>
          <w:szCs w:val="30"/>
        </w:rPr>
        <w:t>b1.4.1新增/申报项目</w:t>
      </w:r>
    </w:p>
    <w:p>
      <w:pPr>
        <w:ind w:firstLine="420"/>
        <w:rPr>
          <w:rFonts w:ascii="仿宋" w:hAnsi="仿宋" w:eastAsia="仿宋"/>
          <w:sz w:val="30"/>
          <w:szCs w:val="30"/>
        </w:rPr>
      </w:pPr>
      <w:r>
        <w:rPr>
          <w:rFonts w:hint="eastAsia" w:ascii="仿宋" w:hAnsi="仿宋" w:eastAsia="仿宋"/>
          <w:sz w:val="30"/>
          <w:szCs w:val="30"/>
        </w:rPr>
        <w:t>建设单位登录系统之后再左侧菜单点击“项目管理”展开子菜单，点击“特殊消防设计评审”，打开特殊消防设计评审界面，点击【新增】按钮，（如图15）弹出殊消防设计专家评审申请表（如图16），填写工程信息，点击【暂存】按钮，保存工程信息，点击【提交】按钮，提交给工程地所在主管部门</w:t>
      </w:r>
    </w:p>
    <w:p>
      <w:pPr>
        <w:ind w:firstLine="420"/>
        <w:rPr>
          <w:rFonts w:ascii="仿宋" w:hAnsi="仿宋" w:eastAsia="仿宋"/>
          <w:sz w:val="30"/>
          <w:szCs w:val="30"/>
        </w:rPr>
      </w:pPr>
      <w:r>
        <w:rPr>
          <w:rFonts w:ascii="仿宋" w:hAnsi="仿宋" w:eastAsia="仿宋"/>
          <w:sz w:val="30"/>
          <w:szCs w:val="30"/>
        </w:rPr>
        <w:drawing>
          <wp:inline distT="0" distB="0" distL="114300" distR="114300">
            <wp:extent cx="5266690" cy="2962910"/>
            <wp:effectExtent l="0" t="0" r="10160" b="8890"/>
            <wp:docPr id="28"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pic:cNvPicPr>
                      <a:picLocks noChangeAspect="1"/>
                    </pic:cNvPicPr>
                  </pic:nvPicPr>
                  <pic:blipFill>
                    <a:blip r:embed="rId25" cstate="print"/>
                    <a:stretch>
                      <a:fillRect/>
                    </a:stretch>
                  </pic:blipFill>
                  <pic:spPr>
                    <a:xfrm>
                      <a:off x="0" y="0"/>
                      <a:ext cx="5266690" cy="2962910"/>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图15</w:t>
      </w:r>
    </w:p>
    <w:p>
      <w:pPr>
        <w:jc w:val="center"/>
        <w:rPr>
          <w:rFonts w:ascii="仿宋" w:hAnsi="仿宋" w:eastAsia="仿宋"/>
          <w:b/>
          <w:sz w:val="30"/>
          <w:szCs w:val="30"/>
        </w:rPr>
      </w:pPr>
    </w:p>
    <w:p>
      <w:pPr>
        <w:jc w:val="center"/>
        <w:rPr>
          <w:rFonts w:ascii="仿宋" w:hAnsi="仿宋" w:eastAsia="仿宋"/>
          <w:b/>
          <w:sz w:val="30"/>
          <w:szCs w:val="30"/>
        </w:rPr>
      </w:pPr>
    </w:p>
    <w:p>
      <w:pPr>
        <w:jc w:val="center"/>
        <w:rPr>
          <w:rFonts w:ascii="仿宋" w:hAnsi="仿宋" w:eastAsia="仿宋"/>
          <w:b/>
          <w:sz w:val="30"/>
          <w:szCs w:val="30"/>
        </w:rPr>
      </w:pPr>
      <w:r>
        <w:rPr>
          <w:rFonts w:ascii="仿宋" w:hAnsi="仿宋" w:eastAsia="仿宋"/>
          <w:b/>
          <w:sz w:val="30"/>
          <w:szCs w:val="30"/>
        </w:rPr>
        <w:drawing>
          <wp:inline distT="0" distB="0" distL="114300" distR="114300">
            <wp:extent cx="5266690" cy="2962910"/>
            <wp:effectExtent l="0" t="0" r="10160" b="8890"/>
            <wp:docPr id="2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4"/>
                    <pic:cNvPicPr>
                      <a:picLocks noChangeAspect="1"/>
                    </pic:cNvPicPr>
                  </pic:nvPicPr>
                  <pic:blipFill>
                    <a:blip r:embed="rId26" cstate="print"/>
                    <a:stretch>
                      <a:fillRect/>
                    </a:stretch>
                  </pic:blipFill>
                  <pic:spPr>
                    <a:xfrm>
                      <a:off x="0" y="0"/>
                      <a:ext cx="5266690" cy="2962910"/>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图16</w:t>
      </w:r>
    </w:p>
    <w:p>
      <w:pPr>
        <w:jc w:val="left"/>
        <w:rPr>
          <w:rFonts w:ascii="仿宋" w:hAnsi="仿宋" w:eastAsia="仿宋" w:cs="宋体"/>
          <w:sz w:val="30"/>
          <w:szCs w:val="30"/>
        </w:rPr>
      </w:pPr>
      <w:r>
        <w:rPr>
          <w:rFonts w:hint="eastAsia" w:ascii="仿宋" w:hAnsi="仿宋" w:eastAsia="仿宋"/>
          <w:sz w:val="30"/>
          <w:szCs w:val="30"/>
        </w:rPr>
        <w:t>b1.4.2重新申请</w:t>
      </w:r>
    </w:p>
    <w:p>
      <w:pPr>
        <w:rPr>
          <w:rFonts w:ascii="仿宋" w:hAnsi="仿宋" w:eastAsia="仿宋" w:cs="宋体"/>
          <w:sz w:val="30"/>
          <w:szCs w:val="30"/>
        </w:rPr>
      </w:pPr>
      <w:r>
        <w:rPr>
          <w:rFonts w:hint="eastAsia" w:ascii="仿宋" w:hAnsi="仿宋" w:eastAsia="仿宋" w:cs="宋体"/>
          <w:sz w:val="30"/>
          <w:szCs w:val="30"/>
        </w:rPr>
        <w:t>住建局负责人审批驳回之后建设单位可以重新申请，点击【重新编辑】按钮（如图17），打开重新申请页面</w:t>
      </w:r>
      <w:r>
        <w:rPr>
          <w:rFonts w:hint="eastAsia" w:ascii="仿宋" w:hAnsi="仿宋" w:eastAsia="仿宋"/>
          <w:sz w:val="30"/>
          <w:szCs w:val="30"/>
        </w:rPr>
        <w:t>可以针对工程信息以及文件进行修改再提交（如图18）。</w:t>
      </w:r>
    </w:p>
    <w:p>
      <w:pPr>
        <w:jc w:val="center"/>
        <w:rPr>
          <w:rFonts w:ascii="仿宋" w:hAnsi="仿宋" w:eastAsia="仿宋"/>
          <w:b/>
          <w:sz w:val="30"/>
          <w:szCs w:val="30"/>
        </w:rPr>
      </w:pPr>
      <w:r>
        <w:rPr>
          <w:rFonts w:ascii="仿宋" w:hAnsi="仿宋" w:eastAsia="仿宋"/>
          <w:b/>
          <w:sz w:val="30"/>
          <w:szCs w:val="30"/>
        </w:rPr>
        <w:drawing>
          <wp:inline distT="0" distB="0" distL="114300" distR="114300">
            <wp:extent cx="5266690" cy="2962910"/>
            <wp:effectExtent l="0" t="0" r="10160" b="8890"/>
            <wp:docPr id="30"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5"/>
                    <pic:cNvPicPr>
                      <a:picLocks noChangeAspect="1"/>
                    </pic:cNvPicPr>
                  </pic:nvPicPr>
                  <pic:blipFill>
                    <a:blip r:embed="rId27" cstate="print"/>
                    <a:stretch>
                      <a:fillRect/>
                    </a:stretch>
                  </pic:blipFill>
                  <pic:spPr>
                    <a:xfrm>
                      <a:off x="0" y="0"/>
                      <a:ext cx="5266690" cy="2962910"/>
                    </a:xfrm>
                    <a:prstGeom prst="rect">
                      <a:avLst/>
                    </a:prstGeom>
                    <a:noFill/>
                    <a:ln>
                      <a:noFill/>
                    </a:ln>
                  </pic:spPr>
                </pic:pic>
              </a:graphicData>
            </a:graphic>
          </wp:inline>
        </w:drawing>
      </w:r>
    </w:p>
    <w:p>
      <w:pPr>
        <w:jc w:val="center"/>
        <w:rPr>
          <w:rFonts w:ascii="宋体" w:hAnsi="宋体" w:eastAsia="宋体" w:cs="宋体"/>
          <w:sz w:val="28"/>
          <w:szCs w:val="28"/>
        </w:rPr>
      </w:pPr>
      <w:r>
        <w:rPr>
          <w:rFonts w:hint="eastAsia" w:ascii="宋体" w:hAnsi="宋体" w:eastAsia="宋体" w:cs="宋体"/>
          <w:sz w:val="28"/>
          <w:szCs w:val="28"/>
        </w:rPr>
        <w:t>图17</w:t>
      </w:r>
    </w:p>
    <w:p>
      <w:pPr>
        <w:jc w:val="left"/>
        <w:rPr>
          <w:rFonts w:ascii="黑体" w:hAnsi="黑体" w:eastAsia="黑体" w:cs="宋体"/>
          <w:b/>
          <w:sz w:val="32"/>
          <w:szCs w:val="32"/>
        </w:rPr>
      </w:pPr>
      <w:r>
        <w:rPr>
          <w:rFonts w:hint="eastAsia" w:ascii="黑体" w:hAnsi="黑体" w:eastAsia="黑体" w:cs="宋体"/>
          <w:b/>
          <w:sz w:val="32"/>
          <w:szCs w:val="32"/>
        </w:rPr>
        <w:t>二、建设工程改革及政府相关规定</w:t>
      </w:r>
    </w:p>
    <w:p>
      <w:pPr>
        <w:jc w:val="left"/>
        <w:rPr>
          <w:rFonts w:ascii="仿宋" w:hAnsi="仿宋" w:eastAsia="仿宋" w:cs="宋体"/>
          <w:b/>
          <w:sz w:val="30"/>
          <w:szCs w:val="30"/>
        </w:rPr>
      </w:pPr>
      <w:r>
        <w:rPr>
          <w:rFonts w:hint="eastAsia" w:ascii="仿宋" w:hAnsi="仿宋" w:eastAsia="仿宋" w:cs="宋体"/>
          <w:b/>
          <w:sz w:val="30"/>
          <w:szCs w:val="30"/>
        </w:rPr>
        <w:t>a、建设工程审批改革</w:t>
      </w:r>
    </w:p>
    <w:p>
      <w:pPr>
        <w:jc w:val="left"/>
        <w:rPr>
          <w:rFonts w:ascii="仿宋" w:hAnsi="仿宋" w:eastAsia="仿宋" w:cs="宋体"/>
          <w:b/>
          <w:kern w:val="0"/>
          <w:sz w:val="30"/>
          <w:szCs w:val="30"/>
          <w:shd w:val="clear" w:color="auto" w:fill="FFFFFF"/>
        </w:rPr>
      </w:pPr>
      <w:r>
        <w:rPr>
          <w:rFonts w:hint="eastAsia" w:ascii="仿宋" w:hAnsi="仿宋" w:eastAsia="仿宋" w:cs="宋体"/>
          <w:b/>
          <w:sz w:val="30"/>
          <w:szCs w:val="30"/>
        </w:rPr>
        <w:t>1、改革内容：</w:t>
      </w:r>
      <w:r>
        <w:rPr>
          <w:rFonts w:hint="eastAsia" w:ascii="仿宋" w:hAnsi="仿宋" w:eastAsia="仿宋" w:cs="宋体"/>
          <w:b/>
          <w:color w:val="000000" w:themeColor="text1"/>
          <w:kern w:val="0"/>
          <w:sz w:val="30"/>
          <w:szCs w:val="30"/>
          <w:shd w:val="clear" w:color="auto" w:fill="FFFFFF"/>
        </w:rPr>
        <w:t>改革实现工程建设项目、流程、事项全覆盖。</w:t>
      </w:r>
      <w:r>
        <w:rPr>
          <w:rFonts w:hint="eastAsia" w:ascii="仿宋" w:hAnsi="仿宋" w:eastAsia="仿宋" w:cs="宋体"/>
          <w:b/>
          <w:color w:val="FF0000"/>
          <w:kern w:val="0"/>
          <w:sz w:val="30"/>
          <w:szCs w:val="30"/>
          <w:shd w:val="clear" w:color="auto" w:fill="FFFFFF"/>
        </w:rPr>
        <w:t>工程建设项目覆盖所有房屋建筑和城市基础设施等工程，</w:t>
      </w:r>
      <w:r>
        <w:rPr>
          <w:rFonts w:hint="eastAsia" w:ascii="黑体" w:hAnsi="黑体" w:eastAsia="黑体" w:cs="宋体"/>
          <w:b/>
          <w:color w:val="FF0000"/>
          <w:kern w:val="0"/>
          <w:sz w:val="30"/>
          <w:szCs w:val="30"/>
          <w:u w:val="single"/>
          <w:shd w:val="clear" w:color="auto" w:fill="FFFFFF"/>
        </w:rPr>
        <w:t>不包括特殊工程和交通、水利、能源等领域的重大工程。</w:t>
      </w:r>
      <w:r>
        <w:rPr>
          <w:rFonts w:hint="eastAsia" w:ascii="仿宋" w:hAnsi="仿宋" w:eastAsia="仿宋" w:cs="宋体"/>
          <w:b/>
          <w:kern w:val="0"/>
          <w:sz w:val="30"/>
          <w:szCs w:val="30"/>
          <w:shd w:val="clear" w:color="auto" w:fill="FFFFFF"/>
        </w:rPr>
        <w:t>流程覆盖从项目立项到竣工验收和公共设施接入服务的建设项目审批全过程。</w:t>
      </w:r>
    </w:p>
    <w:p>
      <w:pPr>
        <w:jc w:val="left"/>
        <w:rPr>
          <w:rFonts w:ascii="仿宋" w:hAnsi="仿宋" w:eastAsia="仿宋" w:cs="宋体"/>
          <w:color w:val="FF0000"/>
          <w:kern w:val="0"/>
          <w:sz w:val="30"/>
          <w:szCs w:val="30"/>
          <w:shd w:val="clear" w:color="auto" w:fill="FFFFFF"/>
        </w:rPr>
      </w:pPr>
      <w:r>
        <w:rPr>
          <w:rFonts w:hint="eastAsia" w:ascii="仿宋" w:hAnsi="仿宋" w:eastAsia="仿宋" w:cs="宋体"/>
          <w:b/>
          <w:kern w:val="0"/>
          <w:sz w:val="30"/>
          <w:szCs w:val="30"/>
          <w:shd w:val="clear" w:color="auto" w:fill="FFFFFF"/>
        </w:rPr>
        <w:t>2、</w:t>
      </w:r>
      <w:r>
        <w:rPr>
          <w:rFonts w:hint="eastAsia" w:ascii="仿宋" w:hAnsi="仿宋" w:eastAsia="仿宋" w:cs="宋体"/>
          <w:color w:val="FF0000"/>
          <w:kern w:val="0"/>
          <w:sz w:val="30"/>
          <w:szCs w:val="30"/>
          <w:shd w:val="clear" w:color="auto" w:fill="FFFFFF"/>
        </w:rPr>
        <w:t>将</w:t>
      </w:r>
      <w:r>
        <w:rPr>
          <w:rFonts w:hint="eastAsia" w:ascii="仿宋" w:hAnsi="仿宋" w:eastAsia="仿宋" w:cs="宋体"/>
          <w:color w:val="FF0000"/>
          <w:kern w:val="0"/>
          <w:sz w:val="30"/>
          <w:szCs w:val="30"/>
          <w:u w:val="single"/>
          <w:shd w:val="clear" w:color="auto" w:fill="FFFFFF"/>
        </w:rPr>
        <w:t>消防设计审核</w:t>
      </w:r>
      <w:r>
        <w:rPr>
          <w:rFonts w:hint="eastAsia" w:ascii="仿宋" w:hAnsi="仿宋" w:eastAsia="仿宋" w:cs="宋体"/>
          <w:color w:val="666666"/>
          <w:kern w:val="0"/>
          <w:sz w:val="30"/>
          <w:szCs w:val="30"/>
          <w:shd w:val="clear" w:color="auto" w:fill="FFFFFF"/>
        </w:rPr>
        <w:t>、</w:t>
      </w:r>
      <w:r>
        <w:rPr>
          <w:rFonts w:hint="eastAsia" w:ascii="仿宋" w:hAnsi="仿宋" w:eastAsia="仿宋" w:cs="宋体"/>
          <w:kern w:val="0"/>
          <w:sz w:val="30"/>
          <w:szCs w:val="30"/>
          <w:shd w:val="clear" w:color="auto" w:fill="FFFFFF"/>
        </w:rPr>
        <w:t>人防设计审查、防雷装置设计审核、光纤到户通信设计、建筑节能、绿色建筑等6项技术审查内容</w:t>
      </w:r>
      <w:r>
        <w:rPr>
          <w:rFonts w:hint="eastAsia" w:ascii="仿宋" w:hAnsi="仿宋" w:eastAsia="仿宋" w:cs="宋体"/>
          <w:color w:val="FF0000"/>
          <w:kern w:val="0"/>
          <w:sz w:val="30"/>
          <w:szCs w:val="30"/>
          <w:u w:val="single"/>
          <w:shd w:val="clear" w:color="auto" w:fill="FFFFFF"/>
        </w:rPr>
        <w:t>并入施工图设计文件审查</w:t>
      </w:r>
      <w:r>
        <w:rPr>
          <w:rFonts w:hint="eastAsia" w:ascii="仿宋" w:hAnsi="仿宋" w:eastAsia="仿宋" w:cs="宋体"/>
          <w:color w:val="FF0000"/>
          <w:kern w:val="0"/>
          <w:sz w:val="30"/>
          <w:szCs w:val="30"/>
          <w:shd w:val="clear" w:color="auto" w:fill="FFFFFF"/>
        </w:rPr>
        <w:t>，</w:t>
      </w:r>
      <w:r>
        <w:rPr>
          <w:rFonts w:hint="eastAsia" w:ascii="仿宋" w:hAnsi="仿宋" w:eastAsia="仿宋" w:cs="宋体"/>
          <w:kern w:val="0"/>
          <w:sz w:val="30"/>
          <w:szCs w:val="30"/>
          <w:shd w:val="clear" w:color="auto" w:fill="FFFFFF"/>
        </w:rPr>
        <w:t>由</w:t>
      </w:r>
      <w:r>
        <w:rPr>
          <w:rFonts w:hint="eastAsia" w:ascii="仿宋" w:hAnsi="仿宋" w:eastAsia="仿宋" w:cs="黑体"/>
          <w:b/>
          <w:color w:val="FF0000"/>
          <w:kern w:val="0"/>
          <w:sz w:val="30"/>
          <w:szCs w:val="30"/>
          <w:u w:val="single"/>
          <w:shd w:val="clear" w:color="auto" w:fill="FFFFFF"/>
        </w:rPr>
        <w:t>建设单位</w:t>
      </w:r>
      <w:r>
        <w:rPr>
          <w:rFonts w:hint="eastAsia" w:ascii="仿宋" w:hAnsi="仿宋" w:eastAsia="仿宋" w:cs="宋体"/>
          <w:b/>
          <w:color w:val="FF0000"/>
          <w:kern w:val="0"/>
          <w:sz w:val="30"/>
          <w:szCs w:val="30"/>
          <w:u w:val="single"/>
          <w:shd w:val="clear" w:color="auto" w:fill="FFFFFF"/>
        </w:rPr>
        <w:t>委托</w:t>
      </w:r>
      <w:r>
        <w:rPr>
          <w:rFonts w:hint="eastAsia" w:ascii="仿宋" w:hAnsi="仿宋" w:eastAsia="仿宋" w:cs="宋体"/>
          <w:kern w:val="0"/>
          <w:sz w:val="30"/>
          <w:szCs w:val="30"/>
          <w:shd w:val="clear" w:color="auto" w:fill="FFFFFF"/>
        </w:rPr>
        <w:t>施工图审查机构进行审查，统一出具审查报告，</w:t>
      </w:r>
      <w:r>
        <w:rPr>
          <w:rFonts w:hint="eastAsia" w:ascii="仿宋" w:hAnsi="仿宋" w:eastAsia="仿宋" w:cs="宋体"/>
          <w:color w:val="FF0000"/>
          <w:kern w:val="0"/>
          <w:sz w:val="30"/>
          <w:szCs w:val="30"/>
          <w:u w:val="single"/>
          <w:shd w:val="clear" w:color="auto" w:fill="FFFFFF"/>
        </w:rPr>
        <w:t>相关部门不再进行独立的技术审查</w:t>
      </w:r>
      <w:r>
        <w:rPr>
          <w:rFonts w:hint="eastAsia" w:ascii="仿宋" w:hAnsi="仿宋" w:eastAsia="仿宋" w:cs="宋体"/>
          <w:color w:val="FF0000"/>
          <w:kern w:val="0"/>
          <w:sz w:val="30"/>
          <w:szCs w:val="30"/>
          <w:shd w:val="clear" w:color="auto" w:fill="FFFFFF"/>
        </w:rPr>
        <w:t>。</w:t>
      </w:r>
    </w:p>
    <w:p>
      <w:pPr>
        <w:jc w:val="left"/>
        <w:rPr>
          <w:rFonts w:ascii="仿宋" w:hAnsi="仿宋" w:eastAsia="仿宋" w:cs="宋体"/>
          <w:color w:val="FF0000"/>
          <w:kern w:val="0"/>
          <w:sz w:val="30"/>
          <w:szCs w:val="30"/>
          <w:shd w:val="clear" w:color="auto" w:fill="FFFFFF"/>
        </w:rPr>
      </w:pPr>
      <w:r>
        <w:rPr>
          <w:rFonts w:hint="eastAsia" w:ascii="仿宋" w:hAnsi="仿宋" w:eastAsia="仿宋" w:cs="宋体"/>
          <w:kern w:val="0"/>
          <w:sz w:val="30"/>
          <w:szCs w:val="30"/>
          <w:shd w:val="clear" w:color="auto" w:fill="FFFFFF"/>
        </w:rPr>
        <w:t>3、推行“联合验收”，</w:t>
      </w:r>
      <w:r>
        <w:rPr>
          <w:rFonts w:hint="eastAsia" w:ascii="仿宋" w:hAnsi="仿宋" w:eastAsia="仿宋" w:cs="宋体"/>
          <w:color w:val="FF0000"/>
          <w:kern w:val="0"/>
          <w:sz w:val="30"/>
          <w:szCs w:val="30"/>
          <w:shd w:val="clear" w:color="auto" w:fill="FFFFFF"/>
        </w:rPr>
        <w:t>实行规划、土地、消防、人防、档案等事项联合验收，制定</w:t>
      </w:r>
      <w:r>
        <w:rPr>
          <w:rFonts w:hint="eastAsia" w:ascii="仿宋" w:hAnsi="仿宋" w:eastAsia="仿宋" w:cs="宋体"/>
          <w:color w:val="FF0000"/>
          <w:kern w:val="0"/>
          <w:sz w:val="30"/>
          <w:szCs w:val="30"/>
          <w:u w:val="single"/>
          <w:shd w:val="clear" w:color="auto" w:fill="FFFFFF"/>
        </w:rPr>
        <w:t>限时</w:t>
      </w:r>
      <w:r>
        <w:rPr>
          <w:rFonts w:hint="eastAsia" w:ascii="仿宋" w:hAnsi="仿宋" w:eastAsia="仿宋" w:cs="宋体"/>
          <w:color w:val="FF0000"/>
          <w:kern w:val="0"/>
          <w:sz w:val="30"/>
          <w:szCs w:val="30"/>
          <w:shd w:val="clear" w:color="auto" w:fill="FFFFFF"/>
        </w:rPr>
        <w:t>联合验收办法，</w:t>
      </w:r>
      <w:r>
        <w:rPr>
          <w:rFonts w:hint="eastAsia" w:ascii="仿宋" w:hAnsi="仿宋" w:eastAsia="仿宋" w:cs="宋体"/>
          <w:color w:val="FF0000"/>
          <w:kern w:val="0"/>
          <w:sz w:val="30"/>
          <w:szCs w:val="30"/>
          <w:u w:val="single"/>
          <w:shd w:val="clear" w:color="auto" w:fill="FFFFFF"/>
        </w:rPr>
        <w:t>统一验收图纸和验收标准，</w:t>
      </w:r>
      <w:r>
        <w:rPr>
          <w:rFonts w:hint="eastAsia" w:ascii="仿宋" w:hAnsi="仿宋" w:eastAsia="仿宋" w:cs="宋体"/>
          <w:color w:val="FF0000"/>
          <w:kern w:val="0"/>
          <w:sz w:val="30"/>
          <w:szCs w:val="30"/>
          <w:shd w:val="clear" w:color="auto" w:fill="FFFFFF"/>
        </w:rPr>
        <w:t>依据综合测绘报告和其他必要材料</w:t>
      </w:r>
      <w:r>
        <w:rPr>
          <w:rFonts w:hint="eastAsia" w:ascii="仿宋" w:hAnsi="仿宋" w:eastAsia="仿宋" w:cs="宋体"/>
          <w:color w:val="FF0000"/>
          <w:kern w:val="0"/>
          <w:sz w:val="30"/>
          <w:szCs w:val="30"/>
          <w:u w:val="single"/>
          <w:shd w:val="clear" w:color="auto" w:fill="FFFFFF"/>
        </w:rPr>
        <w:t>统一出具验收意见</w:t>
      </w:r>
      <w:r>
        <w:rPr>
          <w:rFonts w:hint="eastAsia" w:ascii="仿宋" w:hAnsi="仿宋" w:eastAsia="仿宋" w:cs="宋体"/>
          <w:color w:val="FF0000"/>
          <w:kern w:val="0"/>
          <w:sz w:val="30"/>
          <w:szCs w:val="30"/>
          <w:shd w:val="clear" w:color="auto" w:fill="FFFFFF"/>
        </w:rPr>
        <w:t>，同步</w:t>
      </w:r>
      <w:r>
        <w:rPr>
          <w:rFonts w:hint="eastAsia" w:ascii="仿宋" w:hAnsi="仿宋" w:eastAsia="仿宋" w:cs="宋体"/>
          <w:color w:val="FF0000"/>
          <w:kern w:val="0"/>
          <w:sz w:val="30"/>
          <w:szCs w:val="30"/>
          <w:u w:val="single"/>
          <w:shd w:val="clear" w:color="auto" w:fill="FFFFFF"/>
        </w:rPr>
        <w:t>完成验收备案</w:t>
      </w:r>
      <w:r>
        <w:rPr>
          <w:rFonts w:hint="eastAsia" w:ascii="仿宋" w:hAnsi="仿宋" w:eastAsia="仿宋" w:cs="宋体"/>
          <w:color w:val="FF0000"/>
          <w:kern w:val="0"/>
          <w:sz w:val="30"/>
          <w:szCs w:val="30"/>
          <w:shd w:val="clear" w:color="auto" w:fill="FFFFFF"/>
        </w:rPr>
        <w:t>。</w:t>
      </w:r>
    </w:p>
    <w:p>
      <w:pPr>
        <w:jc w:val="left"/>
        <w:rPr>
          <w:rFonts w:ascii="仿宋" w:hAnsi="仿宋" w:eastAsia="仿宋" w:cs="宋体"/>
          <w:kern w:val="0"/>
          <w:sz w:val="30"/>
          <w:szCs w:val="30"/>
          <w:shd w:val="clear" w:color="auto" w:fill="FFFFFF"/>
        </w:rPr>
      </w:pPr>
      <w:r>
        <w:rPr>
          <w:rFonts w:hint="eastAsia" w:ascii="仿宋" w:hAnsi="仿宋" w:eastAsia="仿宋" w:cs="宋体"/>
          <w:kern w:val="0"/>
          <w:sz w:val="30"/>
          <w:szCs w:val="30"/>
          <w:shd w:val="clear" w:color="auto" w:fill="FFFFFF"/>
        </w:rPr>
        <w:t>b、政府相关规定</w:t>
      </w:r>
    </w:p>
    <w:p>
      <w:pPr>
        <w:jc w:val="left"/>
        <w:rPr>
          <w:rFonts w:ascii="仿宋" w:hAnsi="仿宋" w:eastAsia="仿宋" w:cs="宋体"/>
          <w:kern w:val="0"/>
          <w:sz w:val="30"/>
          <w:szCs w:val="30"/>
        </w:rPr>
      </w:pPr>
      <w:r>
        <w:rPr>
          <w:rFonts w:hint="eastAsia" w:ascii="仿宋" w:hAnsi="仿宋" w:eastAsia="仿宋" w:cs="宋体"/>
          <w:kern w:val="0"/>
          <w:sz w:val="30"/>
          <w:szCs w:val="30"/>
          <w:shd w:val="clear" w:color="auto" w:fill="FFFFFF"/>
        </w:rPr>
        <w:t>1、</w:t>
      </w:r>
      <w:r>
        <w:rPr>
          <w:rFonts w:ascii="仿宋" w:hAnsi="仿宋" w:eastAsia="仿宋" w:cs="宋体"/>
          <w:b/>
          <w:color w:val="FF0000"/>
          <w:kern w:val="0"/>
          <w:sz w:val="30"/>
          <w:szCs w:val="30"/>
          <w:u w:val="single"/>
        </w:rPr>
        <w:t>通过互联网登录</w:t>
      </w:r>
      <w:r>
        <w:rPr>
          <w:rFonts w:ascii="仿宋" w:hAnsi="仿宋" w:eastAsia="仿宋" w:cs="宋体"/>
          <w:kern w:val="0"/>
          <w:sz w:val="30"/>
          <w:szCs w:val="30"/>
        </w:rPr>
        <w:t>唐山市工程建设项目审批管理系统网上办事大厅（网址：https://lhsp.xzspj.tangshan.gov.cn进行注册，申请登录账号和密码。登陆成功后进入网上办事大厅进行正式申报。</w:t>
      </w:r>
      <w:r>
        <w:rPr>
          <w:rFonts w:ascii="仿宋" w:hAnsi="仿宋" w:eastAsia="仿宋" w:cs="宋体"/>
          <w:b/>
          <w:color w:val="FF0000"/>
          <w:kern w:val="0"/>
          <w:sz w:val="30"/>
          <w:szCs w:val="30"/>
          <w:u w:val="single"/>
        </w:rPr>
        <w:t>12月28日</w:t>
      </w:r>
      <w:r>
        <w:rPr>
          <w:rFonts w:ascii="仿宋" w:hAnsi="仿宋" w:eastAsia="仿宋" w:cs="宋体"/>
          <w:kern w:val="0"/>
          <w:sz w:val="30"/>
          <w:szCs w:val="30"/>
        </w:rPr>
        <w:t>前已经按照老的流程取得任何相关审批手续的项目可视为老项目。已经完成施工图审查的项目，按照原流程办理相关手续直至取得施工许可；尚未完成施工图审查的项目，以施工图审查为界限，施工图审查前的所有事项审批程序依照老流程进行。施工图审查按照《实施方案》确定的新模式（</w:t>
      </w:r>
      <w:r>
        <w:rPr>
          <w:rFonts w:ascii="仿宋" w:hAnsi="仿宋" w:eastAsia="仿宋" w:cs="宋体"/>
          <w:color w:val="FF0000"/>
          <w:kern w:val="0"/>
          <w:sz w:val="30"/>
          <w:szCs w:val="30"/>
          <w:u w:val="single"/>
        </w:rPr>
        <w:t>取消行政部门施工图联合审查环节，由图审机构负责</w:t>
      </w:r>
      <w:r>
        <w:rPr>
          <w:rFonts w:ascii="仿宋" w:hAnsi="仿宋" w:eastAsia="仿宋" w:cs="宋体"/>
          <w:kern w:val="0"/>
          <w:sz w:val="30"/>
          <w:szCs w:val="30"/>
        </w:rPr>
        <w:t>）进行，完成施工图审查后的事项（包括</w:t>
      </w:r>
      <w:r>
        <w:rPr>
          <w:rFonts w:ascii="仿宋" w:hAnsi="仿宋" w:eastAsia="仿宋" w:cs="宋体"/>
          <w:color w:val="FF0000"/>
          <w:kern w:val="0"/>
          <w:sz w:val="30"/>
          <w:szCs w:val="30"/>
          <w:u w:val="single"/>
        </w:rPr>
        <w:t>消防设计审查</w:t>
      </w:r>
      <w:r>
        <w:rPr>
          <w:rFonts w:ascii="仿宋" w:hAnsi="仿宋" w:eastAsia="仿宋" w:cs="宋体"/>
          <w:kern w:val="0"/>
          <w:sz w:val="30"/>
          <w:szCs w:val="30"/>
        </w:rPr>
        <w:t>、应建防空地下室的民用建筑报建审批、建筑工程施工许可证核发）实行“一次材料申报、同步并联办理”。市本级和路南区、路北区均设立取得施工许可“统一受理窗口”，并实现“同城通办”。即事项审批权限无论在何地、何级，您均可就近自由选择在市本级或区级（路南区、路北区）任一政务服务中心设立的工程建设项目统一受理窗口递交申请材料，领取证照或批复文件。</w:t>
      </w:r>
    </w:p>
    <w:p>
      <w:pPr>
        <w:spacing w:before="199" w:line="319" w:lineRule="auto"/>
        <w:ind w:left="26" w:right="17" w:hanging="2"/>
        <w:rPr>
          <w:rFonts w:ascii="仿宋" w:hAnsi="仿宋" w:eastAsia="仿宋" w:cs="仿宋"/>
          <w:spacing w:val="-2"/>
          <w:sz w:val="30"/>
          <w:szCs w:val="30"/>
        </w:rPr>
      </w:pPr>
      <w:r>
        <w:rPr>
          <w:rFonts w:hint="eastAsia" w:ascii="仿宋" w:hAnsi="仿宋" w:eastAsia="仿宋" w:cs="宋体"/>
          <w:kern w:val="0"/>
          <w:sz w:val="30"/>
          <w:szCs w:val="30"/>
        </w:rPr>
        <w:t>2、</w:t>
      </w:r>
      <w:r>
        <w:rPr>
          <w:rFonts w:ascii="仿宋" w:hAnsi="仿宋" w:eastAsia="仿宋" w:cs="仿宋"/>
          <w:color w:val="FF0000"/>
          <w:spacing w:val="-2"/>
          <w:sz w:val="30"/>
          <w:szCs w:val="30"/>
          <w:u w:val="single"/>
        </w:rPr>
        <w:t>取消</w:t>
      </w:r>
      <w:r>
        <w:rPr>
          <w:rFonts w:ascii="黑体" w:hAnsi="黑体" w:eastAsia="黑体" w:cs="仿宋"/>
          <w:b/>
          <w:color w:val="FF0000"/>
          <w:spacing w:val="-2"/>
          <w:sz w:val="30"/>
          <w:szCs w:val="30"/>
        </w:rPr>
        <w:t>内部装修项目</w:t>
      </w:r>
      <w:r>
        <w:rPr>
          <w:rFonts w:ascii="仿宋" w:hAnsi="仿宋" w:eastAsia="仿宋" w:cs="仿宋"/>
          <w:spacing w:val="-2"/>
          <w:sz w:val="30"/>
          <w:szCs w:val="30"/>
        </w:rPr>
        <w:t>以及</w:t>
      </w:r>
      <w:r>
        <w:rPr>
          <w:rFonts w:ascii="仿宋" w:hAnsi="仿宋" w:eastAsia="仿宋" w:cs="仿宋"/>
          <w:color w:val="FF0000"/>
          <w:spacing w:val="-2"/>
          <w:sz w:val="30"/>
          <w:szCs w:val="30"/>
          <w:u w:val="single"/>
        </w:rPr>
        <w:t>独立单体</w:t>
      </w:r>
      <w:r>
        <w:rPr>
          <w:rFonts w:ascii="仿宋" w:hAnsi="仿宋" w:eastAsia="仿宋" w:cs="仿宋"/>
          <w:spacing w:val="-2"/>
          <w:sz w:val="30"/>
          <w:szCs w:val="30"/>
        </w:rPr>
        <w:t>地上建筑面积</w:t>
      </w:r>
      <w:r>
        <w:rPr>
          <w:rFonts w:ascii="仿宋" w:hAnsi="仿宋" w:eastAsia="仿宋" w:cs="仿宋"/>
          <w:color w:val="FF0000"/>
          <w:spacing w:val="-2"/>
          <w:sz w:val="30"/>
          <w:szCs w:val="30"/>
          <w:u w:val="single"/>
        </w:rPr>
        <w:t>小于</w:t>
      </w:r>
      <w:r>
        <w:rPr>
          <w:rFonts w:ascii="仿宋" w:hAnsi="仿宋" w:eastAsia="仿宋" w:cs="仿宋"/>
          <w:color w:val="FF0000"/>
          <w:spacing w:val="-3"/>
          <w:sz w:val="30"/>
          <w:szCs w:val="30"/>
          <w:u w:val="single"/>
        </w:rPr>
        <w:t>5000</w:t>
      </w:r>
      <w:r>
        <w:rPr>
          <w:rFonts w:ascii="仿宋" w:hAnsi="仿宋" w:eastAsia="仿宋" w:cs="仿宋"/>
          <w:spacing w:val="-3"/>
          <w:sz w:val="30"/>
          <w:szCs w:val="30"/>
        </w:rPr>
        <w:t>平方米、且地下建筑面积</w:t>
      </w:r>
      <w:r>
        <w:rPr>
          <w:rFonts w:ascii="仿宋" w:hAnsi="仿宋" w:eastAsia="仿宋" w:cs="仿宋"/>
          <w:color w:val="FF0000"/>
          <w:spacing w:val="-3"/>
          <w:sz w:val="30"/>
          <w:szCs w:val="30"/>
          <w:u w:val="single"/>
        </w:rPr>
        <w:t>小于2000</w:t>
      </w:r>
      <w:r>
        <w:rPr>
          <w:rFonts w:ascii="仿宋" w:hAnsi="仿宋" w:eastAsia="仿宋" w:cs="仿宋"/>
          <w:spacing w:val="-3"/>
          <w:sz w:val="30"/>
          <w:szCs w:val="30"/>
        </w:rPr>
        <w:t>平方米的</w:t>
      </w:r>
      <w:r>
        <w:rPr>
          <w:rFonts w:ascii="黑体" w:hAnsi="黑体" w:eastAsia="黑体" w:cs="仿宋"/>
          <w:b/>
          <w:color w:val="FF0000"/>
          <w:spacing w:val="-3"/>
          <w:sz w:val="30"/>
          <w:szCs w:val="30"/>
        </w:rPr>
        <w:t>新建扩建</w:t>
      </w:r>
      <w:r>
        <w:rPr>
          <w:rFonts w:ascii="黑体" w:hAnsi="黑体" w:eastAsia="黑体" w:cs="仿宋"/>
          <w:b/>
          <w:color w:val="FF0000"/>
          <w:spacing w:val="11"/>
          <w:sz w:val="30"/>
          <w:szCs w:val="30"/>
        </w:rPr>
        <w:t>房</w:t>
      </w:r>
      <w:r>
        <w:rPr>
          <w:rFonts w:ascii="仿宋" w:hAnsi="仿宋" w:eastAsia="仿宋" w:cs="仿宋"/>
          <w:spacing w:val="11"/>
          <w:sz w:val="30"/>
          <w:szCs w:val="30"/>
        </w:rPr>
        <w:t>屋建筑工程项目（特殊工程和设计规范有特殊要求的除</w:t>
      </w:r>
      <w:r>
        <w:rPr>
          <w:rFonts w:ascii="仿宋" w:hAnsi="仿宋" w:eastAsia="仿宋" w:cs="仿宋"/>
          <w:spacing w:val="-4"/>
          <w:sz w:val="30"/>
          <w:szCs w:val="30"/>
        </w:rPr>
        <w:t>外）的</w:t>
      </w:r>
      <w:r>
        <w:rPr>
          <w:rFonts w:ascii="仿宋" w:hAnsi="仿宋" w:eastAsia="仿宋" w:cs="仿宋"/>
          <w:color w:val="FF0000"/>
          <w:spacing w:val="-4"/>
          <w:sz w:val="30"/>
          <w:szCs w:val="30"/>
          <w:u w:val="single"/>
        </w:rPr>
        <w:t>施工图审查</w:t>
      </w:r>
      <w:r>
        <w:rPr>
          <w:rFonts w:ascii="仿宋" w:hAnsi="仿宋" w:eastAsia="仿宋" w:cs="仿宋"/>
          <w:color w:val="FF0000"/>
          <w:spacing w:val="-4"/>
          <w:sz w:val="30"/>
          <w:szCs w:val="30"/>
        </w:rPr>
        <w:t>，</w:t>
      </w:r>
      <w:r>
        <w:rPr>
          <w:rFonts w:ascii="仿宋" w:hAnsi="仿宋" w:eastAsia="仿宋" w:cs="仿宋"/>
          <w:spacing w:val="-4"/>
          <w:sz w:val="30"/>
          <w:szCs w:val="30"/>
        </w:rPr>
        <w:t>设计质量安全责任由设计人员承担，监</w:t>
      </w:r>
      <w:r>
        <w:rPr>
          <w:rFonts w:ascii="仿宋" w:hAnsi="仿宋" w:eastAsia="仿宋" w:cs="仿宋"/>
          <w:spacing w:val="-2"/>
          <w:sz w:val="30"/>
          <w:szCs w:val="30"/>
        </w:rPr>
        <w:t>管部门进行事后监督检查。</w:t>
      </w:r>
    </w:p>
    <w:p>
      <w:pPr>
        <w:shd w:val="clear" w:color="auto" w:fill="FFFFFF"/>
        <w:spacing w:before="190" w:line="313" w:lineRule="auto"/>
        <w:ind w:left="41" w:right="142" w:firstLine="644"/>
        <w:rPr>
          <w:rFonts w:ascii="仿宋" w:hAnsi="仿宋" w:eastAsia="仿宋" w:cs="仿宋"/>
          <w:spacing w:val="-4"/>
          <w:sz w:val="30"/>
          <w:szCs w:val="30"/>
        </w:rPr>
      </w:pPr>
      <w:r>
        <w:rPr>
          <w:rFonts w:hint="eastAsia" w:ascii="仿宋" w:hAnsi="仿宋" w:eastAsia="仿宋" w:cs="仿宋"/>
          <w:spacing w:val="-2"/>
          <w:sz w:val="30"/>
          <w:szCs w:val="30"/>
        </w:rPr>
        <w:t>3、</w:t>
      </w:r>
      <w:r>
        <w:rPr>
          <w:rFonts w:ascii="仿宋" w:hAnsi="仿宋" w:eastAsia="仿宋" w:cs="仿宋"/>
          <w:spacing w:val="12"/>
          <w:sz w:val="30"/>
          <w:szCs w:val="30"/>
        </w:rPr>
        <w:t>将可不办理施工许可证的房屋建筑工程和市政基础设</w:t>
      </w:r>
      <w:r>
        <w:rPr>
          <w:rFonts w:ascii="仿宋" w:hAnsi="仿宋" w:eastAsia="仿宋" w:cs="仿宋"/>
          <w:spacing w:val="-6"/>
          <w:sz w:val="30"/>
          <w:szCs w:val="30"/>
        </w:rPr>
        <w:t>施工程限额调整为</w:t>
      </w:r>
      <w:r>
        <w:rPr>
          <w:rFonts w:ascii="仿宋" w:hAnsi="仿宋" w:eastAsia="仿宋" w:cs="仿宋"/>
          <w:color w:val="FF0000"/>
          <w:spacing w:val="-6"/>
          <w:sz w:val="30"/>
          <w:szCs w:val="30"/>
          <w:u w:val="single"/>
        </w:rPr>
        <w:t>工程投资额100万元以下（含100万元）</w:t>
      </w:r>
      <w:r>
        <w:rPr>
          <w:rFonts w:ascii="仿宋" w:hAnsi="仿宋" w:eastAsia="仿宋" w:cs="仿宋"/>
          <w:color w:val="FF0000"/>
          <w:spacing w:val="-5"/>
          <w:sz w:val="30"/>
          <w:szCs w:val="30"/>
          <w:u w:val="single"/>
        </w:rPr>
        <w:t>或者建筑面积500平方米以下（含500平方米</w:t>
      </w:r>
      <w:r>
        <w:rPr>
          <w:rFonts w:ascii="仿宋" w:hAnsi="仿宋" w:eastAsia="仿宋" w:cs="仿宋"/>
          <w:color w:val="FF0000"/>
          <w:spacing w:val="-25"/>
          <w:sz w:val="30"/>
          <w:szCs w:val="30"/>
          <w:u w:val="single"/>
        </w:rPr>
        <w:t>）</w:t>
      </w:r>
      <w:r>
        <w:rPr>
          <w:rFonts w:ascii="仿宋" w:hAnsi="仿宋" w:eastAsia="仿宋" w:cs="仿宋"/>
          <w:spacing w:val="-25"/>
          <w:sz w:val="30"/>
          <w:szCs w:val="30"/>
        </w:rPr>
        <w:t>，</w:t>
      </w:r>
      <w:r>
        <w:rPr>
          <w:rFonts w:ascii="仿宋" w:hAnsi="仿宋" w:eastAsia="仿宋" w:cs="仿宋"/>
          <w:spacing w:val="-5"/>
          <w:sz w:val="30"/>
          <w:szCs w:val="30"/>
        </w:rPr>
        <w:t>符合土地</w:t>
      </w:r>
      <w:r>
        <w:rPr>
          <w:rFonts w:ascii="仿宋" w:hAnsi="仿宋" w:eastAsia="仿宋" w:cs="仿宋"/>
          <w:spacing w:val="-2"/>
          <w:sz w:val="30"/>
          <w:szCs w:val="30"/>
        </w:rPr>
        <w:t>和规划要求的房屋建筑和市政基础设施工程，可不办理施工许可证，工程监督机构不开展质量安全监督检查、不对工程竣工验收进行监督，建设单位通过我市工程建设项目审批管理系统向住房和城乡建设主管部门推送相关项目信息、上传质量安全承诺书后即可开工建设，并由建设单位自行组织验</w:t>
      </w:r>
      <w:r>
        <w:rPr>
          <w:rFonts w:ascii="仿宋" w:hAnsi="仿宋" w:eastAsia="仿宋" w:cs="仿宋"/>
          <w:spacing w:val="-4"/>
          <w:sz w:val="30"/>
          <w:szCs w:val="30"/>
        </w:rPr>
        <w:t>收。</w:t>
      </w:r>
    </w:p>
    <w:p>
      <w:pPr>
        <w:spacing w:before="218" w:line="328" w:lineRule="auto"/>
        <w:ind w:left="38" w:right="161" w:firstLine="660"/>
        <w:rPr>
          <w:rFonts w:ascii="仿宋" w:hAnsi="仿宋" w:eastAsia="仿宋" w:cs="仿宋"/>
          <w:spacing w:val="-1"/>
          <w:sz w:val="30"/>
          <w:szCs w:val="30"/>
        </w:rPr>
      </w:pPr>
      <w:r>
        <w:rPr>
          <w:rFonts w:hint="eastAsia" w:ascii="仿宋" w:hAnsi="仿宋" w:eastAsia="仿宋" w:cs="仿宋"/>
          <w:spacing w:val="-4"/>
          <w:sz w:val="30"/>
          <w:szCs w:val="30"/>
        </w:rPr>
        <w:t>4、</w:t>
      </w:r>
      <w:r>
        <w:rPr>
          <w:rFonts w:ascii="仿宋" w:hAnsi="仿宋" w:eastAsia="仿宋" w:cs="仿宋"/>
          <w:spacing w:val="-4"/>
          <w:sz w:val="30"/>
          <w:szCs w:val="30"/>
        </w:rPr>
        <w:t>吸取先进地市经验，制定</w:t>
      </w:r>
      <w:r>
        <w:rPr>
          <w:rFonts w:ascii="仿宋" w:hAnsi="仿宋" w:eastAsia="仿宋" w:cs="仿宋"/>
          <w:color w:val="FF0000"/>
          <w:spacing w:val="-4"/>
          <w:sz w:val="30"/>
          <w:szCs w:val="30"/>
        </w:rPr>
        <w:t>中介机构</w:t>
      </w:r>
      <w:r>
        <w:rPr>
          <w:rFonts w:ascii="仿宋" w:hAnsi="仿宋" w:eastAsia="仿宋" w:cs="仿宋"/>
          <w:spacing w:val="-4"/>
          <w:sz w:val="30"/>
          <w:szCs w:val="30"/>
        </w:rPr>
        <w:t>管理服务规范，将勘</w:t>
      </w:r>
      <w:r>
        <w:rPr>
          <w:rFonts w:ascii="仿宋" w:hAnsi="仿宋" w:eastAsia="仿宋" w:cs="仿宋"/>
          <w:spacing w:val="-2"/>
          <w:sz w:val="30"/>
          <w:szCs w:val="30"/>
        </w:rPr>
        <w:t>察设计、施工图审查机构、各类评估评价事项报告编制机</w:t>
      </w:r>
      <w:r>
        <w:rPr>
          <w:rFonts w:hint="eastAsia" w:ascii="仿宋" w:hAnsi="仿宋" w:eastAsia="仿宋" w:cs="仿宋"/>
          <w:spacing w:val="-2"/>
          <w:sz w:val="30"/>
          <w:szCs w:val="30"/>
        </w:rPr>
        <w:t>构</w:t>
      </w:r>
      <w:r>
        <w:rPr>
          <w:rFonts w:ascii="仿宋" w:hAnsi="仿宋" w:eastAsia="仿宋" w:cs="仿宋"/>
          <w:spacing w:val="11"/>
          <w:sz w:val="30"/>
          <w:szCs w:val="30"/>
        </w:rPr>
        <w:t>及其服务事项全部纳入工程建设项目审批管理系统平台进</w:t>
      </w:r>
      <w:r>
        <w:rPr>
          <w:rFonts w:ascii="仿宋" w:hAnsi="仿宋" w:eastAsia="仿宋" w:cs="仿宋"/>
          <w:spacing w:val="-4"/>
          <w:sz w:val="30"/>
          <w:szCs w:val="30"/>
        </w:rPr>
        <w:t>行统一管理，明确服务流程、标准、时限和收费等情况，综</w:t>
      </w:r>
      <w:r>
        <w:rPr>
          <w:rFonts w:ascii="仿宋" w:hAnsi="仿宋" w:eastAsia="仿宋" w:cs="仿宋"/>
          <w:spacing w:val="-1"/>
          <w:sz w:val="30"/>
          <w:szCs w:val="30"/>
        </w:rPr>
        <w:t>合评定中介机构服务质量，并</w:t>
      </w:r>
      <w:r>
        <w:rPr>
          <w:rFonts w:ascii="仿宋" w:hAnsi="仿宋" w:eastAsia="仿宋" w:cs="仿宋"/>
          <w:color w:val="FF0000"/>
          <w:spacing w:val="-1"/>
          <w:sz w:val="30"/>
          <w:szCs w:val="30"/>
        </w:rPr>
        <w:t>纳入</w:t>
      </w:r>
      <w:r>
        <w:rPr>
          <w:rFonts w:ascii="仿宋" w:hAnsi="仿宋" w:eastAsia="仿宋" w:cs="仿宋"/>
          <w:color w:val="FF0000"/>
          <w:spacing w:val="-1"/>
          <w:sz w:val="30"/>
          <w:szCs w:val="30"/>
          <w:u w:val="single"/>
        </w:rPr>
        <w:t>信用</w:t>
      </w:r>
      <w:r>
        <w:rPr>
          <w:rFonts w:ascii="仿宋" w:hAnsi="仿宋" w:eastAsia="仿宋" w:cs="仿宋"/>
          <w:color w:val="FF0000"/>
          <w:spacing w:val="-1"/>
          <w:sz w:val="30"/>
          <w:szCs w:val="30"/>
        </w:rPr>
        <w:t>评价管理</w:t>
      </w:r>
      <w:r>
        <w:rPr>
          <w:rFonts w:ascii="仿宋" w:hAnsi="仿宋" w:eastAsia="仿宋" w:cs="仿宋"/>
          <w:spacing w:val="-1"/>
          <w:sz w:val="30"/>
          <w:szCs w:val="30"/>
        </w:rPr>
        <w:t>。</w:t>
      </w:r>
    </w:p>
    <w:p>
      <w:pPr>
        <w:spacing w:before="218" w:line="328" w:lineRule="auto"/>
        <w:ind w:left="38" w:right="161" w:firstLine="660"/>
        <w:rPr>
          <w:rFonts w:ascii="仿宋" w:hAnsi="仿宋" w:eastAsia="仿宋" w:cs="仿宋"/>
          <w:sz w:val="30"/>
          <w:szCs w:val="30"/>
        </w:rPr>
      </w:pPr>
      <w:r>
        <w:rPr>
          <w:rFonts w:hint="eastAsia" w:ascii="仿宋" w:hAnsi="仿宋" w:eastAsia="仿宋" w:cs="仿宋"/>
          <w:spacing w:val="-1"/>
          <w:sz w:val="30"/>
          <w:szCs w:val="30"/>
        </w:rPr>
        <w:t>5、</w:t>
      </w:r>
      <w:r>
        <w:rPr>
          <w:rFonts w:hint="eastAsia" w:ascii="仿宋" w:hAnsi="仿宋" w:eastAsia="仿宋"/>
          <w:sz w:val="30"/>
          <w:szCs w:val="30"/>
        </w:rPr>
        <w:t>消防设计</w:t>
      </w:r>
      <w:r>
        <w:rPr>
          <w:rFonts w:hint="eastAsia" w:ascii="仿宋" w:hAnsi="仿宋" w:eastAsia="仿宋"/>
          <w:color w:val="FF0000"/>
          <w:sz w:val="30"/>
          <w:szCs w:val="30"/>
        </w:rPr>
        <w:t>审查验收</w:t>
      </w:r>
      <w:r>
        <w:rPr>
          <w:rFonts w:hint="eastAsia" w:ascii="仿宋" w:hAnsi="仿宋" w:eastAsia="仿宋"/>
          <w:sz w:val="30"/>
          <w:szCs w:val="30"/>
        </w:rPr>
        <w:t>主管部门应当运用互联网技术等信息化手段开展消防设计审查、消防验收、备案和抽查工作，建立健全</w:t>
      </w:r>
      <w:r>
        <w:rPr>
          <w:rFonts w:hint="eastAsia" w:ascii="仿宋" w:hAnsi="仿宋" w:eastAsia="仿宋"/>
          <w:b/>
          <w:color w:val="FF0000"/>
          <w:sz w:val="30"/>
          <w:szCs w:val="30"/>
          <w:u w:val="single"/>
        </w:rPr>
        <w:t>有关单位和从业人员的信用管理制度</w:t>
      </w:r>
      <w:r>
        <w:rPr>
          <w:rFonts w:hint="eastAsia" w:ascii="仿宋" w:hAnsi="仿宋" w:eastAsia="仿宋"/>
          <w:b/>
          <w:sz w:val="30"/>
          <w:szCs w:val="30"/>
        </w:rPr>
        <w:t>，</w:t>
      </w:r>
      <w:r>
        <w:rPr>
          <w:rFonts w:hint="eastAsia" w:ascii="仿宋" w:hAnsi="仿宋" w:eastAsia="仿宋"/>
          <w:sz w:val="30"/>
          <w:szCs w:val="30"/>
        </w:rPr>
        <w:t>不断提升政务服务水平。</w:t>
      </w:r>
    </w:p>
    <w:p>
      <w:pPr>
        <w:rPr>
          <w:rFonts w:ascii="仿宋" w:hAnsi="仿宋" w:eastAsia="仿宋"/>
          <w:sz w:val="30"/>
          <w:szCs w:val="30"/>
        </w:rPr>
        <w:sectPr>
          <w:headerReference r:id="rId3" w:type="default"/>
          <w:footerReference r:id="rId4" w:type="default"/>
          <w:pgSz w:w="11906" w:h="16838"/>
          <w:pgMar w:top="1431" w:right="1643" w:bottom="676" w:left="1771" w:header="0" w:footer="565" w:gutter="0"/>
          <w:pgNumType w:fmt="decimal"/>
          <w:cols w:space="720" w:num="1"/>
        </w:sectPr>
      </w:pPr>
      <w:r>
        <w:rPr>
          <w:rFonts w:hint="eastAsia" w:ascii="仿宋" w:hAnsi="仿宋" w:eastAsia="仿宋"/>
          <w:sz w:val="30"/>
          <w:szCs w:val="30"/>
        </w:rPr>
        <w:t xml:space="preserve">  　提供建设工程</w:t>
      </w:r>
      <w:r>
        <w:rPr>
          <w:rFonts w:hint="eastAsia" w:ascii="仿宋" w:hAnsi="仿宋" w:eastAsia="仿宋"/>
          <w:b/>
          <w:color w:val="FF0000"/>
          <w:sz w:val="30"/>
          <w:szCs w:val="30"/>
        </w:rPr>
        <w:t>消防设计图纸技术审查</w:t>
      </w:r>
      <w:r>
        <w:rPr>
          <w:rFonts w:hint="eastAsia" w:ascii="仿宋" w:hAnsi="仿宋" w:eastAsia="仿宋"/>
          <w:sz w:val="30"/>
          <w:szCs w:val="30"/>
        </w:rPr>
        <w:t>、</w:t>
      </w:r>
      <w:r>
        <w:rPr>
          <w:rFonts w:hint="eastAsia" w:ascii="仿宋" w:hAnsi="仿宋" w:eastAsia="仿宋"/>
          <w:b/>
          <w:color w:val="FF0000"/>
          <w:sz w:val="30"/>
          <w:szCs w:val="30"/>
        </w:rPr>
        <w:t>消防设施检测</w:t>
      </w:r>
      <w:r>
        <w:rPr>
          <w:rFonts w:hint="eastAsia" w:ascii="仿宋" w:hAnsi="仿宋" w:eastAsia="仿宋"/>
          <w:color w:val="FF0000"/>
          <w:sz w:val="30"/>
          <w:szCs w:val="30"/>
          <w:u w:val="single"/>
        </w:rPr>
        <w:t>或者</w:t>
      </w:r>
      <w:r>
        <w:rPr>
          <w:rFonts w:hint="eastAsia" w:ascii="仿宋" w:hAnsi="仿宋" w:eastAsia="仿宋"/>
          <w:b/>
          <w:color w:val="FF0000"/>
          <w:sz w:val="30"/>
          <w:szCs w:val="30"/>
        </w:rPr>
        <w:t>建设工程消防验收</w:t>
      </w:r>
      <w:r>
        <w:rPr>
          <w:rFonts w:hint="eastAsia" w:ascii="仿宋" w:hAnsi="仿宋" w:eastAsia="仿宋"/>
          <w:b/>
          <w:color w:val="FF0000"/>
          <w:sz w:val="30"/>
          <w:szCs w:val="30"/>
          <w:u w:val="single"/>
        </w:rPr>
        <w:t>现场评定</w:t>
      </w:r>
      <w:r>
        <w:rPr>
          <w:rFonts w:hint="eastAsia" w:ascii="仿宋" w:hAnsi="仿宋" w:eastAsia="仿宋"/>
          <w:sz w:val="30"/>
          <w:szCs w:val="30"/>
        </w:rPr>
        <w:t>等服务的</w:t>
      </w:r>
      <w:r>
        <w:rPr>
          <w:rFonts w:hint="eastAsia" w:ascii="仿宋" w:hAnsi="仿宋" w:eastAsia="仿宋"/>
          <w:color w:val="FF0000"/>
          <w:sz w:val="30"/>
          <w:szCs w:val="30"/>
        </w:rPr>
        <w:t>技术服务机构</w:t>
      </w:r>
      <w:r>
        <w:rPr>
          <w:rFonts w:hint="eastAsia" w:ascii="仿宋" w:hAnsi="仿宋" w:eastAsia="仿宋"/>
          <w:sz w:val="30"/>
          <w:szCs w:val="30"/>
        </w:rPr>
        <w:t>，应当按照建设工程法律法规、国家工程建设消防技术标准和</w:t>
      </w:r>
      <w:r>
        <w:rPr>
          <w:rFonts w:hint="eastAsia" w:ascii="仿宋" w:hAnsi="仿宋" w:eastAsia="仿宋"/>
          <w:color w:val="FF0000"/>
          <w:sz w:val="30"/>
          <w:szCs w:val="30"/>
        </w:rPr>
        <w:t>国家有关规定</w:t>
      </w:r>
      <w:r>
        <w:rPr>
          <w:rFonts w:hint="eastAsia" w:ascii="仿宋" w:hAnsi="仿宋" w:eastAsia="仿宋"/>
          <w:sz w:val="30"/>
          <w:szCs w:val="30"/>
        </w:rPr>
        <w:t>提供服务，并对出具的意见或者报告负责。</w:t>
      </w:r>
    </w:p>
    <w:p>
      <w:pPr>
        <w:spacing w:before="199" w:line="319" w:lineRule="auto"/>
        <w:ind w:right="17"/>
        <w:rPr>
          <w:rFonts w:ascii="仿宋" w:hAnsi="仿宋" w:eastAsia="仿宋" w:cs="仿宋"/>
          <w:sz w:val="30"/>
          <w:szCs w:val="30"/>
        </w:rPr>
      </w:pPr>
    </w:p>
    <w:p>
      <w:pPr>
        <w:jc w:val="left"/>
        <w:rPr>
          <w:rFonts w:ascii="仿宋" w:hAnsi="仿宋" w:eastAsia="仿宋" w:cs="宋体"/>
          <w:kern w:val="0"/>
          <w:sz w:val="30"/>
          <w:szCs w:val="30"/>
          <w:shd w:val="clear" w:color="auto" w:fill="FFFFFF"/>
        </w:rPr>
      </w:pPr>
    </w:p>
    <w:p>
      <w:pPr>
        <w:jc w:val="left"/>
        <w:rPr>
          <w:rFonts w:ascii="仿宋" w:hAnsi="仿宋" w:eastAsia="仿宋" w:cs="宋体"/>
          <w:b/>
          <w:sz w:val="30"/>
          <w:szCs w:val="30"/>
        </w:rPr>
      </w:pPr>
    </w:p>
    <w:p>
      <w:pPr>
        <w:jc w:val="center"/>
        <w:rPr>
          <w:rFonts w:ascii="仿宋" w:hAnsi="仿宋" w:eastAsia="仿宋"/>
          <w:b/>
          <w:sz w:val="30"/>
          <w:szCs w:val="30"/>
        </w:rPr>
      </w:pPr>
    </w:p>
    <w:sectPr>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仿宋">
    <w:panose1 w:val="02010609060101010101"/>
    <w:charset w:val="86"/>
    <w:family w:val="modern"/>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11" w:lineRule="exact"/>
      <w:ind w:firstLine="4151"/>
      <w:rPr>
        <w:rFonts w:hint="eastAsia" w:ascii="宋体" w:hAnsi="宋体" w:cs="宋体" w:eastAsiaTheme="minorEastAsia"/>
        <w:sz w:val="16"/>
        <w:szCs w:val="16"/>
        <w:lang w:val="en-US" w:eastAsia="zh-CN"/>
      </w:rPr>
    </w:pPr>
    <w:r>
      <w:rPr>
        <w:sz w:val="16"/>
      </w:rPr>
      <w:pict>
        <v:shape id="_x0000_s4097" o:spid="_x0000_s4097" o:spt="202" type="#_x0000_t202" style="position:absolute;left:0pt;margin-top:0pt;height:144pt;width:144pt;mso-position-horizontal:center;mso-position-horizontal-relative:margin;mso-wrap-style:none;z-index:251659264;mso-width-relative:page;mso-height-relative:page;" filled="f" stroked="f" coordsize="21600,21600">
          <v:path/>
          <v:fill on="f" focussize="0,0"/>
          <v:stroke on="f"/>
          <v:imagedata o:title=""/>
          <o:lock v:ext="edit" aspectratio="f"/>
          <v:textbox inset="0mm,0mm,0mm,0mm" style="mso-fit-shape-to-text:t;">
            <w:txbxContent>
              <w:p>
                <w:pPr>
                  <w:pStyle w:val="8"/>
                </w:pPr>
                <w:r>
                  <w:fldChar w:fldCharType="begin"/>
                </w:r>
                <w:r>
                  <w:instrText xml:space="preserve"> PAGE  \* MERGEFORMAT </w:instrText>
                </w:r>
                <w:r>
                  <w:fldChar w:fldCharType="separate"/>
                </w:r>
                <w:r>
                  <w:t>1</w:t>
                </w:r>
                <w:r>
                  <w:fldChar w:fldCharType="end"/>
                </w:r>
              </w:p>
            </w:txbxContent>
          </v:textbox>
        </v:shape>
      </w:pic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bookmarkStart w:id="9" w:name="_GoBack"/>
    <w:bookmarkEnd w:id="9"/>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3,4"/>
    </o:shapelayout>
  </w:hdrShapeDefaults>
  <w:compat>
    <w:spaceForUL/>
    <w:balanceSingleByteDoubleByteWidth/>
    <w:doNotLeaveBackslashAlone/>
    <w:ulTrailSpace/>
    <w:doNotExpandShiftReturn/>
    <w:adjustLineHeightInTable/>
    <w:useFELayout/>
    <w:compatSetting w:name="compatibilityMode" w:uri="http://schemas.microsoft.com/office/word" w:val="12"/>
  </w:compat>
  <w:rsids>
    <w:rsidRoot w:val="005031C8"/>
    <w:rsid w:val="00241B2D"/>
    <w:rsid w:val="003062AA"/>
    <w:rsid w:val="003F3283"/>
    <w:rsid w:val="004919C0"/>
    <w:rsid w:val="004E73DA"/>
    <w:rsid w:val="005031C8"/>
    <w:rsid w:val="00615E24"/>
    <w:rsid w:val="00622AEB"/>
    <w:rsid w:val="00646377"/>
    <w:rsid w:val="00675614"/>
    <w:rsid w:val="006805B8"/>
    <w:rsid w:val="007D0B5D"/>
    <w:rsid w:val="00804207"/>
    <w:rsid w:val="00874923"/>
    <w:rsid w:val="008D79CC"/>
    <w:rsid w:val="008E5308"/>
    <w:rsid w:val="008F2AEA"/>
    <w:rsid w:val="00915F84"/>
    <w:rsid w:val="0097719F"/>
    <w:rsid w:val="00AF4547"/>
    <w:rsid w:val="00BB61D3"/>
    <w:rsid w:val="00BF1D5F"/>
    <w:rsid w:val="00C637C1"/>
    <w:rsid w:val="00C86F76"/>
    <w:rsid w:val="00D25D08"/>
    <w:rsid w:val="00D51887"/>
    <w:rsid w:val="00D849D4"/>
    <w:rsid w:val="00E22D5E"/>
    <w:rsid w:val="00E83830"/>
    <w:rsid w:val="00F2741C"/>
    <w:rsid w:val="00F41259"/>
    <w:rsid w:val="00FA007C"/>
    <w:rsid w:val="27EB78BC"/>
    <w:rsid w:val="2BB75DF0"/>
    <w:rsid w:val="36B97E56"/>
    <w:rsid w:val="39F01B79"/>
    <w:rsid w:val="45F92EA5"/>
    <w:rsid w:val="76B37E6B"/>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styleId="2">
    <w:name w:val="heading 1"/>
    <w:basedOn w:val="1"/>
    <w:next w:val="1"/>
    <w:link w:val="16"/>
    <w:qFormat/>
    <w:uiPriority w:val="0"/>
    <w:pPr>
      <w:keepNext/>
      <w:keepLines/>
      <w:spacing w:line="576" w:lineRule="auto"/>
      <w:outlineLvl w:val="0"/>
    </w:pPr>
    <w:rPr>
      <w:b/>
      <w:kern w:val="44"/>
      <w:sz w:val="44"/>
      <w:szCs w:val="24"/>
    </w:rPr>
  </w:style>
  <w:style w:type="paragraph" w:styleId="3">
    <w:name w:val="heading 2"/>
    <w:basedOn w:val="1"/>
    <w:next w:val="1"/>
    <w:link w:val="17"/>
    <w:unhideWhenUsed/>
    <w:qFormat/>
    <w:uiPriority w:val="0"/>
    <w:pPr>
      <w:keepNext/>
      <w:keepLines/>
      <w:spacing w:line="413" w:lineRule="auto"/>
      <w:outlineLvl w:val="1"/>
    </w:pPr>
    <w:rPr>
      <w:rFonts w:ascii="Arial" w:hAnsi="Arial" w:eastAsia="黑体"/>
      <w:b/>
      <w:sz w:val="32"/>
      <w:szCs w:val="24"/>
    </w:rPr>
  </w:style>
  <w:style w:type="paragraph" w:styleId="4">
    <w:name w:val="heading 3"/>
    <w:basedOn w:val="1"/>
    <w:next w:val="1"/>
    <w:link w:val="18"/>
    <w:semiHidden/>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19"/>
    <w:semiHidden/>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character" w:default="1" w:styleId="11">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6">
    <w:name w:val="caption"/>
    <w:basedOn w:val="1"/>
    <w:next w:val="1"/>
    <w:unhideWhenUsed/>
    <w:qFormat/>
    <w:uiPriority w:val="35"/>
    <w:rPr>
      <w:rFonts w:eastAsia="黑体" w:asciiTheme="majorHAnsi" w:hAnsiTheme="majorHAnsi" w:cstheme="majorBidi"/>
      <w:sz w:val="20"/>
      <w:szCs w:val="20"/>
    </w:rPr>
  </w:style>
  <w:style w:type="paragraph" w:styleId="7">
    <w:name w:val="Balloon Text"/>
    <w:basedOn w:val="1"/>
    <w:link w:val="15"/>
    <w:semiHidden/>
    <w:unhideWhenUsed/>
    <w:qFormat/>
    <w:uiPriority w:val="99"/>
    <w:rPr>
      <w:sz w:val="18"/>
      <w:szCs w:val="18"/>
    </w:rPr>
  </w:style>
  <w:style w:type="paragraph" w:styleId="8">
    <w:name w:val="footer"/>
    <w:basedOn w:val="1"/>
    <w:link w:val="14"/>
    <w:semiHidden/>
    <w:unhideWhenUsed/>
    <w:uiPriority w:val="99"/>
    <w:pPr>
      <w:tabs>
        <w:tab w:val="center" w:pos="4153"/>
        <w:tab w:val="right" w:pos="8306"/>
      </w:tabs>
      <w:snapToGrid w:val="0"/>
      <w:jc w:val="left"/>
    </w:pPr>
    <w:rPr>
      <w:sz w:val="18"/>
      <w:szCs w:val="18"/>
    </w:rPr>
  </w:style>
  <w:style w:type="paragraph" w:styleId="9">
    <w:name w:val="header"/>
    <w:basedOn w:val="1"/>
    <w:link w:val="13"/>
    <w:semiHidden/>
    <w:unhideWhenUsed/>
    <w:uiPriority w:val="99"/>
    <w:pPr>
      <w:pBdr>
        <w:bottom w:val="single" w:color="auto" w:sz="6" w:space="1"/>
      </w:pBdr>
      <w:tabs>
        <w:tab w:val="center" w:pos="4153"/>
        <w:tab w:val="right" w:pos="8306"/>
      </w:tabs>
      <w:snapToGrid w:val="0"/>
      <w:jc w:val="center"/>
    </w:pPr>
    <w:rPr>
      <w:sz w:val="18"/>
      <w:szCs w:val="18"/>
    </w:rPr>
  </w:style>
  <w:style w:type="character" w:styleId="12">
    <w:name w:val="Emphasis"/>
    <w:basedOn w:val="11"/>
    <w:qFormat/>
    <w:uiPriority w:val="20"/>
    <w:rPr>
      <w:i/>
      <w:iCs/>
    </w:rPr>
  </w:style>
  <w:style w:type="character" w:customStyle="1" w:styleId="13">
    <w:name w:val="页眉 Char"/>
    <w:basedOn w:val="11"/>
    <w:link w:val="9"/>
    <w:semiHidden/>
    <w:qFormat/>
    <w:uiPriority w:val="99"/>
    <w:rPr>
      <w:sz w:val="18"/>
      <w:szCs w:val="18"/>
    </w:rPr>
  </w:style>
  <w:style w:type="character" w:customStyle="1" w:styleId="14">
    <w:name w:val="页脚 Char"/>
    <w:basedOn w:val="11"/>
    <w:link w:val="8"/>
    <w:semiHidden/>
    <w:qFormat/>
    <w:uiPriority w:val="99"/>
    <w:rPr>
      <w:sz w:val="18"/>
      <w:szCs w:val="18"/>
    </w:rPr>
  </w:style>
  <w:style w:type="character" w:customStyle="1" w:styleId="15">
    <w:name w:val="批注框文本 Char"/>
    <w:basedOn w:val="11"/>
    <w:link w:val="7"/>
    <w:semiHidden/>
    <w:qFormat/>
    <w:uiPriority w:val="99"/>
    <w:rPr>
      <w:sz w:val="18"/>
      <w:szCs w:val="18"/>
    </w:rPr>
  </w:style>
  <w:style w:type="character" w:customStyle="1" w:styleId="16">
    <w:name w:val="标题 1 Char"/>
    <w:basedOn w:val="11"/>
    <w:link w:val="2"/>
    <w:qFormat/>
    <w:uiPriority w:val="0"/>
    <w:rPr>
      <w:b/>
      <w:kern w:val="44"/>
      <w:sz w:val="44"/>
      <w:szCs w:val="24"/>
    </w:rPr>
  </w:style>
  <w:style w:type="character" w:customStyle="1" w:styleId="17">
    <w:name w:val="标题 2 Char"/>
    <w:basedOn w:val="11"/>
    <w:link w:val="3"/>
    <w:qFormat/>
    <w:uiPriority w:val="0"/>
    <w:rPr>
      <w:rFonts w:ascii="Arial" w:hAnsi="Arial" w:eastAsia="黑体"/>
      <w:b/>
      <w:sz w:val="32"/>
      <w:szCs w:val="24"/>
    </w:rPr>
  </w:style>
  <w:style w:type="character" w:customStyle="1" w:styleId="18">
    <w:name w:val="标题 3 Char"/>
    <w:basedOn w:val="11"/>
    <w:link w:val="4"/>
    <w:semiHidden/>
    <w:qFormat/>
    <w:uiPriority w:val="9"/>
    <w:rPr>
      <w:b/>
      <w:bCs/>
      <w:sz w:val="32"/>
      <w:szCs w:val="32"/>
    </w:rPr>
  </w:style>
  <w:style w:type="character" w:customStyle="1" w:styleId="19">
    <w:name w:val="标题 4 Char"/>
    <w:basedOn w:val="11"/>
    <w:link w:val="5"/>
    <w:semiHidden/>
    <w:qFormat/>
    <w:uiPriority w:val="9"/>
    <w:rPr>
      <w:rFonts w:asciiTheme="majorHAnsi" w:hAnsiTheme="majorHAnsi" w:eastAsiaTheme="majorEastAsia" w:cstheme="majorBidi"/>
      <w:b/>
      <w:bCs/>
      <w:sz w:val="28"/>
      <w:szCs w:val="28"/>
    </w:rPr>
  </w:style>
  <w:style w:type="character" w:customStyle="1" w:styleId="20">
    <w:name w:val="Intense Emphasis"/>
    <w:basedOn w:val="11"/>
    <w:qFormat/>
    <w:uiPriority w:val="21"/>
    <w:rPr>
      <w:b/>
      <w:bCs/>
      <w:i/>
      <w:iCs/>
      <w:color w:val="4F81BD" w:themeColor="accent1"/>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jpe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0" Type="http://schemas.openxmlformats.org/officeDocument/2006/relationships/fontTable" Target="fontTable.xml"/><Relationship Id="rId3" Type="http://schemas.openxmlformats.org/officeDocument/2006/relationships/header" Target="header1.xml"/><Relationship Id="rId29" Type="http://schemas.openxmlformats.org/officeDocument/2006/relationships/customXml" Target="../customXml/item2.xml"/><Relationship Id="rId28" Type="http://schemas.openxmlformats.org/officeDocument/2006/relationships/customXml" Target="../customXml/item1.xml"/><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4097"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FA6F426-776A-401A-98F5-13B98E45E003}">
  <ds:schemaRefs/>
</ds:datastoreItem>
</file>

<file path=docProps/app.xml><?xml version="1.0" encoding="utf-8"?>
<Properties xmlns="http://schemas.openxmlformats.org/officeDocument/2006/extended-properties" xmlns:vt="http://schemas.openxmlformats.org/officeDocument/2006/docPropsVTypes">
  <Template>Normal</Template>
  <Company>MS</Company>
  <Pages>16</Pages>
  <Words>646</Words>
  <Characters>3684</Characters>
  <Lines>30</Lines>
  <Paragraphs>8</Paragraphs>
  <TotalTime>139</TotalTime>
  <ScaleCrop>false</ScaleCrop>
  <LinksUpToDate>false</LinksUpToDate>
  <CharactersWithSpaces>4322</CharactersWithSpaces>
  <Application>WPS Office_11.1.0.10495_F1E327BC-269C-435d-A152-05C5408002CA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2021-03-18T03:03:00Z</dcterms:created>
  <dc:creator>USER-</dc:creator>
  <cp:lastModifiedBy>user</cp:lastModifiedBy>
  <dcterms:modified xsi:type="dcterms:W3CDTF">2021-06-16T01:53:26Z</dcterms:modified>
  <cp:revision>15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2052-11.1.0.10495</vt:lpwstr>
  </property>
  <property fmtid="{D5CDD505-2E9C-101B-9397-08002B2CF9AE}" pid="3" name="ICV">
    <vt:lpwstr>65A1BAAA145840D9821FC3EC00531614</vt:lpwstr>
  </property>
</Properties>
</file>