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691005"/>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691005"/>
                        </a:xfrm>
                        <a:prstGeom prst="rect">
                          <a:avLst/>
                        </a:prstGeom>
                        <a:noFill/>
                        <a:ln w="9525">
                          <a:noFill/>
                          <a:miter lim="800000"/>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309001</w:t>
                            </w:r>
                          </w:p>
                          <w:p>
                            <w:pPr>
                              <w:spacing w:line="600" w:lineRule="auto"/>
                              <w:jc w:val="left"/>
                              <w:rPr>
                                <w:rFonts w:hint="eastAsia" w:ascii="楷体_GB2312" w:eastAsia="楷体_GB2312" w:cs="楷体_GB2312"/>
                                <w:color w:val="000000"/>
                                <w:sz w:val="40"/>
                                <w:szCs w:val="40"/>
                                <w:lang w:eastAsia="zh-CN" w:bidi="ar-SA"/>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中国共产党</w:t>
                            </w:r>
                            <w:r>
                              <w:rPr>
                                <w:rFonts w:hint="eastAsia" w:ascii="楷体_GB2312" w:eastAsia="楷体_GB2312" w:cs="楷体_GB2312"/>
                                <w:color w:val="000000"/>
                                <w:sz w:val="40"/>
                                <w:szCs w:val="40"/>
                                <w:lang w:bidi="ar-SA"/>
                              </w:rPr>
                              <w:t>唐山市</w:t>
                            </w:r>
                            <w:r>
                              <w:rPr>
                                <w:rFonts w:hint="eastAsia" w:ascii="楷体_GB2312" w:eastAsia="楷体_GB2312" w:cs="楷体_GB2312"/>
                                <w:color w:val="000000"/>
                                <w:sz w:val="40"/>
                                <w:szCs w:val="40"/>
                                <w:lang w:eastAsia="zh-CN" w:bidi="ar-SA"/>
                              </w:rPr>
                              <w:t>开平区</w:t>
                            </w:r>
                          </w:p>
                          <w:p>
                            <w:pPr>
                              <w:spacing w:line="600" w:lineRule="auto"/>
                              <w:ind w:firstLine="2400" w:firstLineChars="600"/>
                              <w:jc w:val="left"/>
                              <w:rPr>
                                <w:rFonts w:hint="eastAsia" w:ascii="楷体_GB2312" w:eastAsia="楷体_GB2312" w:cs="楷体_GB2312"/>
                                <w:color w:val="000000"/>
                                <w:sz w:val="40"/>
                                <w:szCs w:val="40"/>
                                <w:lang w:eastAsia="zh-CN" w:bidi="ar-SA"/>
                              </w:rPr>
                            </w:pPr>
                            <w:r>
                              <w:rPr>
                                <w:rFonts w:hint="eastAsia" w:ascii="楷体_GB2312" w:eastAsia="楷体_GB2312" w:cs="楷体_GB2312"/>
                                <w:color w:val="000000"/>
                                <w:sz w:val="40"/>
                                <w:szCs w:val="40"/>
                                <w:lang w:val="en-US" w:eastAsia="zh-CN" w:bidi="ar-SA"/>
                              </w:rPr>
                              <w:t>委员会</w:t>
                            </w:r>
                            <w:r>
                              <w:rPr>
                                <w:rFonts w:hint="eastAsia" w:ascii="楷体_GB2312" w:eastAsia="楷体_GB2312" w:cs="楷体_GB2312"/>
                                <w:color w:val="000000"/>
                                <w:sz w:val="40"/>
                                <w:szCs w:val="40"/>
                                <w:lang w:eastAsia="zh-CN" w:bidi="ar-SA"/>
                              </w:rPr>
                              <w:t>政法</w:t>
                            </w:r>
                            <w:r>
                              <w:rPr>
                                <w:rFonts w:hint="eastAsia" w:ascii="楷体_GB2312" w:eastAsia="楷体_GB2312" w:cs="楷体_GB2312"/>
                                <w:color w:val="000000"/>
                                <w:sz w:val="40"/>
                                <w:szCs w:val="40"/>
                                <w:lang w:val="en-US" w:eastAsia="zh-CN" w:bidi="ar-SA"/>
                              </w:rPr>
                              <w:t>委员会</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133.15pt;width:431.7pt;z-index:251661312;mso-width-relative:page;mso-height-relative:page;" filled="f" stroked="f" coordsize="21600,21600" o:gfxdata="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PJ&#10;xHHYAAAACwEAAA8AAAAAAAAAAQAgAAAAIgAAAGRycy9kb3ducmV2LnhtbFBLAQIUABQAAAAIAIdO&#10;4kCkcPQSIwIAACoEAAAOAAAAAAAAAAEAIAAAACcBAABkcnMvZTJvRG9jLnhtbFBLBQYAAAAABgAG&#10;AFkBAAC8BQAAAAA=&#10;">
                <v:fill on="f" focussize="0,0"/>
                <v:stroke on="f" miterlimit="8" joinstyle="miter"/>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309001</w:t>
                      </w:r>
                    </w:p>
                    <w:p>
                      <w:pPr>
                        <w:spacing w:line="600" w:lineRule="auto"/>
                        <w:jc w:val="left"/>
                        <w:rPr>
                          <w:rFonts w:hint="eastAsia" w:ascii="楷体_GB2312" w:eastAsia="楷体_GB2312" w:cs="楷体_GB2312"/>
                          <w:color w:val="000000"/>
                          <w:sz w:val="40"/>
                          <w:szCs w:val="40"/>
                          <w:lang w:eastAsia="zh-CN" w:bidi="ar-SA"/>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中国共产党</w:t>
                      </w:r>
                      <w:r>
                        <w:rPr>
                          <w:rFonts w:hint="eastAsia" w:ascii="楷体_GB2312" w:eastAsia="楷体_GB2312" w:cs="楷体_GB2312"/>
                          <w:color w:val="000000"/>
                          <w:sz w:val="40"/>
                          <w:szCs w:val="40"/>
                          <w:lang w:bidi="ar-SA"/>
                        </w:rPr>
                        <w:t>唐山市</w:t>
                      </w:r>
                      <w:r>
                        <w:rPr>
                          <w:rFonts w:hint="eastAsia" w:ascii="楷体_GB2312" w:eastAsia="楷体_GB2312" w:cs="楷体_GB2312"/>
                          <w:color w:val="000000"/>
                          <w:sz w:val="40"/>
                          <w:szCs w:val="40"/>
                          <w:lang w:eastAsia="zh-CN" w:bidi="ar-SA"/>
                        </w:rPr>
                        <w:t>开平区</w:t>
                      </w:r>
                    </w:p>
                    <w:p>
                      <w:pPr>
                        <w:spacing w:line="600" w:lineRule="auto"/>
                        <w:ind w:firstLine="2400" w:firstLineChars="600"/>
                        <w:jc w:val="left"/>
                        <w:rPr>
                          <w:rFonts w:hint="eastAsia" w:ascii="楷体_GB2312" w:eastAsia="楷体_GB2312" w:cs="楷体_GB2312"/>
                          <w:color w:val="000000"/>
                          <w:sz w:val="40"/>
                          <w:szCs w:val="40"/>
                          <w:lang w:eastAsia="zh-CN" w:bidi="ar-SA"/>
                        </w:rPr>
                      </w:pPr>
                      <w:r>
                        <w:rPr>
                          <w:rFonts w:hint="eastAsia" w:ascii="楷体_GB2312" w:eastAsia="楷体_GB2312" w:cs="楷体_GB2312"/>
                          <w:color w:val="000000"/>
                          <w:sz w:val="40"/>
                          <w:szCs w:val="40"/>
                          <w:lang w:val="en-US" w:eastAsia="zh-CN" w:bidi="ar-SA"/>
                        </w:rPr>
                        <w:t>委员会</w:t>
                      </w:r>
                      <w:r>
                        <w:rPr>
                          <w:rFonts w:hint="eastAsia" w:ascii="楷体_GB2312" w:eastAsia="楷体_GB2312" w:cs="楷体_GB2312"/>
                          <w:color w:val="000000"/>
                          <w:sz w:val="40"/>
                          <w:szCs w:val="40"/>
                          <w:lang w:eastAsia="zh-CN" w:bidi="ar-SA"/>
                        </w:rPr>
                        <w:t>政法</w:t>
                      </w:r>
                      <w:r>
                        <w:rPr>
                          <w:rFonts w:hint="eastAsia" w:ascii="楷体_GB2312" w:eastAsia="楷体_GB2312" w:cs="楷体_GB2312"/>
                          <w:color w:val="000000"/>
                          <w:sz w:val="40"/>
                          <w:szCs w:val="40"/>
                          <w:lang w:val="en-US" w:eastAsia="zh-CN" w:bidi="ar-SA"/>
                        </w:rPr>
                        <w:t>委员会</w:t>
                      </w:r>
                    </w:p>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5"/>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6"/>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7"/>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560"/>
        <w:rPr>
          <w:rFonts w:hint="eastAsia" w:ascii="仿宋_GB2312" w:hAnsi="宋体" w:eastAsia="仿宋_GB2312"/>
          <w:color w:val="auto"/>
          <w:sz w:val="32"/>
          <w:szCs w:val="32"/>
        </w:rPr>
      </w:pPr>
      <w:r>
        <w:rPr>
          <w:rFonts w:hint="eastAsia" w:ascii="仿宋_GB2312" w:hAnsi="宋体" w:eastAsia="仿宋_GB2312"/>
          <w:color w:val="auto"/>
          <w:sz w:val="32"/>
          <w:szCs w:val="32"/>
        </w:rPr>
        <w:t>（1）根据中央的路线、方针、政策和省、市、区委的工作部署，统一政法各部门的思想和行动。</w:t>
      </w:r>
    </w:p>
    <w:p>
      <w:pPr>
        <w:ind w:firstLine="560"/>
        <w:rPr>
          <w:rFonts w:hint="eastAsia" w:ascii="仿宋_GB2312" w:hAnsi="宋体" w:eastAsia="仿宋_GB2312"/>
          <w:color w:val="auto"/>
          <w:sz w:val="32"/>
          <w:szCs w:val="32"/>
        </w:rPr>
      </w:pPr>
      <w:r>
        <w:rPr>
          <w:rFonts w:hint="eastAsia" w:ascii="仿宋_GB2312" w:hAnsi="宋体" w:eastAsia="仿宋_GB2312"/>
          <w:color w:val="auto"/>
          <w:sz w:val="32"/>
          <w:szCs w:val="32"/>
        </w:rPr>
        <w:t>（2）研究制定全区政法工作的具体政策措施，及时向区委和市委政法委反映情况，提出建议；对一定时期内的政法工作、维护稳定工作和社会治安综合治理工作作出全局性部署，并督促贯彻落实。</w:t>
      </w:r>
    </w:p>
    <w:p>
      <w:pPr>
        <w:ind w:firstLine="560"/>
        <w:rPr>
          <w:rFonts w:hint="eastAsia" w:ascii="仿宋_GB2312" w:hAnsi="宋体" w:eastAsia="仿宋_GB2312"/>
          <w:color w:val="auto"/>
          <w:sz w:val="32"/>
          <w:szCs w:val="32"/>
        </w:rPr>
      </w:pPr>
      <w:r>
        <w:rPr>
          <w:rFonts w:hint="eastAsia" w:ascii="仿宋_GB2312" w:hAnsi="宋体" w:eastAsia="仿宋_GB2312"/>
          <w:color w:val="auto"/>
          <w:sz w:val="32"/>
          <w:szCs w:val="32"/>
        </w:rPr>
        <w:t>（3）</w:t>
      </w:r>
      <w:r>
        <w:rPr>
          <w:rFonts w:hint="eastAsia" w:ascii="仿宋_GB2312" w:eastAsia="仿宋_GB2312"/>
          <w:color w:val="auto"/>
          <w:sz w:val="32"/>
          <w:szCs w:val="32"/>
        </w:rPr>
        <w:t>研究制定加强政法队伍建设和领导班子建设、提高干警素质的意见和措施，按照干部管理权限，管理政法部门领导班子和干部队伍。</w:t>
      </w:r>
    </w:p>
    <w:p>
      <w:pPr>
        <w:ind w:firstLine="560"/>
        <w:rPr>
          <w:rFonts w:hint="eastAsia" w:ascii="仿宋_GB2312" w:eastAsia="仿宋_GB2312"/>
          <w:color w:val="auto"/>
          <w:sz w:val="32"/>
          <w:szCs w:val="32"/>
        </w:rPr>
      </w:pPr>
      <w:r>
        <w:rPr>
          <w:rFonts w:hint="eastAsia" w:ascii="仿宋_GB2312" w:hAnsi="宋体" w:eastAsia="仿宋_GB2312"/>
          <w:color w:val="auto"/>
          <w:sz w:val="32"/>
          <w:szCs w:val="32"/>
        </w:rPr>
        <w:t>（4）支持和监督政法各部门依法行使职权，指导、协调政法各部门各司其职、密切配合；督促、推动大案要案的查处工作；研究协调有</w:t>
      </w:r>
      <w:r>
        <w:rPr>
          <w:rFonts w:hint="eastAsia" w:ascii="仿宋_GB2312" w:eastAsia="仿宋_GB2312"/>
          <w:color w:val="auto"/>
          <w:sz w:val="32"/>
          <w:szCs w:val="32"/>
        </w:rPr>
        <w:t>争议的重大、疑难案件。</w:t>
      </w:r>
    </w:p>
    <w:p>
      <w:pPr>
        <w:ind w:firstLine="560"/>
        <w:rPr>
          <w:rFonts w:hint="eastAsia" w:ascii="仿宋_GB2312" w:eastAsia="仿宋_GB2312"/>
          <w:color w:val="auto"/>
          <w:sz w:val="32"/>
          <w:szCs w:val="32"/>
        </w:rPr>
      </w:pPr>
      <w:r>
        <w:rPr>
          <w:rFonts w:hint="eastAsia" w:ascii="仿宋_GB2312" w:eastAsia="仿宋_GB2312"/>
          <w:color w:val="auto"/>
          <w:sz w:val="32"/>
          <w:szCs w:val="32"/>
        </w:rPr>
        <w:t>（5）监督、检查政法部门执行法律法规和党的方针政策的情况，研究推动严肃执法、落实党的方针政策和措施。</w:t>
      </w:r>
    </w:p>
    <w:p>
      <w:pPr>
        <w:ind w:firstLine="560"/>
        <w:rPr>
          <w:rFonts w:hint="eastAsia" w:ascii="仿宋_GB2312" w:eastAsia="仿宋_GB2312"/>
          <w:color w:val="auto"/>
          <w:sz w:val="32"/>
          <w:szCs w:val="32"/>
        </w:rPr>
      </w:pPr>
      <w:r>
        <w:rPr>
          <w:rFonts w:hint="eastAsia" w:ascii="仿宋_GB2312" w:eastAsia="仿宋_GB2312"/>
          <w:color w:val="auto"/>
          <w:sz w:val="32"/>
          <w:szCs w:val="32"/>
        </w:rPr>
        <w:t>（6）组织、协调、指导全区维护社会稳定工作。</w:t>
      </w:r>
    </w:p>
    <w:p>
      <w:pPr>
        <w:ind w:firstLine="56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8</w:t>
      </w:r>
      <w:r>
        <w:rPr>
          <w:rFonts w:hint="eastAsia" w:ascii="仿宋_GB2312" w:eastAsia="仿宋_GB2312"/>
          <w:color w:val="auto"/>
          <w:sz w:val="32"/>
          <w:szCs w:val="32"/>
        </w:rPr>
        <w:t>）组织、协调、指导、检查全区社会治安综合治理工作、禁毒工作、防范与处理邪教问题工作等。调查掌握社会治安综合治理方面的新情况、新问题；制订并检查落实社会治安综合治理的重大措施。</w:t>
      </w:r>
      <w:r>
        <w:rPr>
          <w:rFonts w:hint="eastAsia" w:ascii="仿宋_GB2312" w:hAnsi="宋体" w:eastAsia="仿宋_GB2312"/>
          <w:color w:val="auto"/>
          <w:sz w:val="32"/>
          <w:szCs w:val="32"/>
        </w:rPr>
        <w:t>研究处理政法工作的重大问题并及时向同级党委提出建议；对一定时期的政法工作作出全局性部署并检查落实。</w:t>
      </w:r>
    </w:p>
    <w:p>
      <w:pPr>
        <w:ind w:firstLine="560"/>
        <w:rPr>
          <w:rFonts w:hint="eastAsia" w:ascii="仿宋_GB2312" w:eastAsia="仿宋_GB2312"/>
          <w:color w:val="auto"/>
          <w:sz w:val="32"/>
          <w:szCs w:val="32"/>
        </w:rPr>
      </w:pPr>
      <w:r>
        <w:rPr>
          <w:rFonts w:hint="eastAsia" w:ascii="仿宋_GB2312" w:eastAsia="仿宋_GB2312"/>
          <w:color w:val="auto"/>
          <w:sz w:val="32"/>
          <w:szCs w:val="32"/>
        </w:rPr>
        <w:t>（8）按照上级国家安全领导小组或区国家安全领导小组工作部署，组织开展辖区内国家安全人民防线建设工作；开展维护国家安全和社会政治稳定工作；协调辖区内党政机关、企事业单位、社团群体及人民群众配合国家安全机关开展工作。</w:t>
      </w:r>
    </w:p>
    <w:p>
      <w:pPr>
        <w:widowControl/>
        <w:spacing w:line="580" w:lineRule="exact"/>
        <w:ind w:firstLine="640" w:firstLineChars="200"/>
        <w:rPr>
          <w:rFonts w:hint="eastAsia" w:ascii="仿宋_GB2312" w:hAnsi="Calibri" w:eastAsia="仿宋_GB2312" w:cs="ArialUnicodeMS"/>
          <w:kern w:val="0"/>
          <w:sz w:val="32"/>
          <w:szCs w:val="32"/>
          <w:highlight w:val="yellow"/>
          <w:lang w:eastAsia="zh-CN"/>
        </w:rPr>
      </w:pPr>
      <w:r>
        <w:rPr>
          <w:rFonts w:hint="eastAsia" w:ascii="仿宋_GB2312" w:eastAsia="仿宋_GB2312"/>
          <w:color w:val="auto"/>
          <w:sz w:val="32"/>
          <w:szCs w:val="32"/>
        </w:rPr>
        <w:t>（9）承办党委和上级政法委员会、维护稳定、社会治安综合治理委员会及上级国家安全领导小组或区国家安全领导小组交办的其它工作。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从决算编报单位构成看，纳入2023年度本部门决算汇编范围的独立核算单位（以下简称“单位”）共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中国共产党</w:t>
            </w:r>
            <w:r>
              <w:rPr>
                <w:rFonts w:hint="eastAsia" w:ascii="仿宋_GB2312" w:hAnsi="Calibri" w:eastAsia="仿宋_GB2312" w:cs="Arial Black"/>
                <w:kern w:val="0"/>
                <w:sz w:val="28"/>
                <w:szCs w:val="28"/>
                <w:lang w:eastAsia="zh-CN"/>
              </w:rPr>
              <w:t>唐山市开平区</w:t>
            </w:r>
            <w:r>
              <w:rPr>
                <w:rFonts w:hint="eastAsia" w:ascii="仿宋_GB2312" w:hAnsi="Calibri" w:eastAsia="仿宋_GB2312" w:cs="Arial Black"/>
                <w:kern w:val="0"/>
                <w:sz w:val="28"/>
                <w:szCs w:val="28"/>
                <w:lang w:val="en-US" w:eastAsia="zh-CN"/>
              </w:rPr>
              <w:t>委员会</w:t>
            </w:r>
            <w:r>
              <w:rPr>
                <w:rFonts w:hint="eastAsia" w:ascii="仿宋_GB2312" w:hAnsi="Calibri" w:eastAsia="仿宋_GB2312" w:cs="Arial Black"/>
                <w:kern w:val="0"/>
                <w:sz w:val="28"/>
                <w:szCs w:val="28"/>
                <w:lang w:eastAsia="zh-CN"/>
              </w:rPr>
              <w:t>政法</w:t>
            </w:r>
            <w:r>
              <w:rPr>
                <w:rFonts w:hint="eastAsia" w:ascii="仿宋_GB2312" w:hAnsi="Calibri" w:eastAsia="仿宋_GB2312" w:cs="Arial Black"/>
                <w:kern w:val="0"/>
                <w:sz w:val="28"/>
                <w:szCs w:val="28"/>
                <w:lang w:val="en-US" w:eastAsia="zh-CN"/>
              </w:rPr>
              <w:t>委员会</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eastAsia="zh-CN"/>
              </w:rPr>
              <w:t>行政</w:t>
            </w:r>
            <w:r>
              <w:rPr>
                <w:rFonts w:hint="eastAsia" w:ascii="仿宋_GB2312" w:eastAsia="仿宋_GB2312" w:cs="ArialUnicodeMS"/>
                <w:kern w:val="0"/>
                <w:sz w:val="28"/>
                <w:szCs w:val="28"/>
              </w:rPr>
              <w:t>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eastAsia="zh-CN"/>
              </w:rPr>
              <w:t>财政拨款</w:t>
            </w:r>
          </w:p>
        </w:tc>
      </w:tr>
    </w:tbl>
    <w:p>
      <w:pPr>
        <w:widowControl/>
        <w:spacing w:after="160"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我部门无二级预算单位，因此，</w:t>
      </w:r>
      <w:r>
        <w:rPr>
          <w:rFonts w:hint="eastAsia" w:ascii="Times New Roman" w:hAnsi="Times New Roman" w:eastAsia="黑体" w:cs="Times New Roman"/>
          <w:sz w:val="32"/>
          <w:szCs w:val="32"/>
          <w:highlight w:val="none"/>
          <w:lang w:eastAsia="zh-CN"/>
        </w:rPr>
        <w:t>政法委</w:t>
      </w:r>
      <w:r>
        <w:rPr>
          <w:rFonts w:hint="eastAsia" w:ascii="Times New Roman" w:hAnsi="Times New Roman" w:eastAsia="黑体" w:cs="Times New Roman"/>
          <w:sz w:val="32"/>
          <w:szCs w:val="32"/>
          <w:highlight w:val="none"/>
        </w:rPr>
        <w:t>2022年度部门决算即</w:t>
      </w:r>
      <w:r>
        <w:rPr>
          <w:rFonts w:hint="eastAsia" w:ascii="Times New Roman" w:hAnsi="Times New Roman" w:eastAsia="黑体" w:cs="Times New Roman"/>
          <w:sz w:val="32"/>
          <w:szCs w:val="32"/>
          <w:highlight w:val="none"/>
          <w:lang w:eastAsia="zh-CN"/>
        </w:rPr>
        <w:t>政法委</w:t>
      </w:r>
      <w:r>
        <w:rPr>
          <w:rFonts w:hint="eastAsia" w:ascii="Times New Roman" w:hAnsi="Times New Roman" w:eastAsia="黑体" w:cs="Times New Roman"/>
          <w:sz w:val="32"/>
          <w:szCs w:val="32"/>
          <w:highlight w:val="none"/>
        </w:rPr>
        <w:t>本级2022年度决算。</w:t>
      </w: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1"/>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p>
      <w:pPr>
        <w:widowControl/>
        <w:numPr>
          <w:ilvl w:val="0"/>
          <w:numId w:val="0"/>
        </w:numPr>
        <w:spacing w:after="312" w:afterLines="100" w:line="580" w:lineRule="exact"/>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bl>
      <w:tblPr>
        <w:tblStyle w:val="7"/>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部门：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283" w:hRule="atLeas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283" w:hRule="atLeas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283" w:hRule="atLeas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283" w:hRule="atLeas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1180.89</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1.91</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1107.3</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10.69</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hint="eastAsia" w:ascii="宋体" w:hAnsi="宋体" w:eastAsia="宋体" w:cs="宋体"/>
                <w:b w:val="0"/>
                <w:bCs/>
                <w:color w:val="000000"/>
                <w:sz w:val="22"/>
              </w:rPr>
              <w:t>35.32</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7"/>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283" w:hRule="atLeas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b w:val="0"/>
                <w:bCs/>
                <w:color w:val="000000"/>
                <w:sz w:val="22"/>
              </w:rPr>
              <w:t>25.66</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1180.89</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b w:val="0"/>
                <w:bCs/>
                <w:color w:val="000000"/>
                <w:sz w:val="22"/>
              </w:rPr>
              <w:t>1180.89</w:t>
            </w: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283" w:hRule="atLeas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1180.89</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1180.89</w:t>
            </w:r>
          </w:p>
        </w:tc>
      </w:tr>
    </w:tbl>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pPr>
        <w:sectPr>
          <w:headerReference r:id="rId3"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7"/>
        <w:tblW w:w="10040" w:type="dxa"/>
        <w:jc w:val="center"/>
        <w:tblLayout w:type="fixed"/>
        <w:tblCellMar>
          <w:top w:w="15" w:type="dxa"/>
          <w:left w:w="15" w:type="dxa"/>
          <w:bottom w:w="15" w:type="dxa"/>
          <w:right w:w="15" w:type="dxa"/>
        </w:tblCellMar>
      </w:tblPr>
      <w:tblGrid>
        <w:gridCol w:w="793"/>
        <w:gridCol w:w="503"/>
        <w:gridCol w:w="1364"/>
        <w:gridCol w:w="1487"/>
        <w:gridCol w:w="982"/>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503" w:type="dxa"/>
            <w:shd w:val="clear" w:color="auto" w:fill="FFFFFF"/>
            <w:vAlign w:val="center"/>
          </w:tcPr>
          <w:p>
            <w:pPr>
              <w:jc w:val="right"/>
              <w:rPr>
                <w:rFonts w:ascii="宋体" w:hAnsi="宋体" w:eastAsia="宋体" w:cs="宋体"/>
                <w:color w:val="000000"/>
                <w:sz w:val="24"/>
              </w:rPr>
            </w:pPr>
          </w:p>
        </w:tc>
        <w:tc>
          <w:tcPr>
            <w:tcW w:w="1364" w:type="dxa"/>
            <w:shd w:val="clear" w:color="auto" w:fill="FFFFFF"/>
            <w:vAlign w:val="center"/>
          </w:tcPr>
          <w:p>
            <w:pPr>
              <w:jc w:val="right"/>
              <w:rPr>
                <w:rFonts w:ascii="宋体" w:hAnsi="宋体" w:eastAsia="宋体" w:cs="宋体"/>
                <w:color w:val="000000"/>
                <w:sz w:val="24"/>
              </w:rPr>
            </w:pPr>
          </w:p>
        </w:tc>
        <w:tc>
          <w:tcPr>
            <w:tcW w:w="1487"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348" w:hRule="atLeast"/>
          <w:jc w:val="center"/>
        </w:trPr>
        <w:tc>
          <w:tcPr>
            <w:tcW w:w="2660"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w:t>
            </w:r>
          </w:p>
        </w:tc>
        <w:tc>
          <w:tcPr>
            <w:tcW w:w="1487" w:type="dxa"/>
            <w:shd w:val="clear" w:color="auto" w:fill="FFFFFF"/>
            <w:vAlign w:val="center"/>
          </w:tcPr>
          <w:p>
            <w:pPr>
              <w:jc w:val="right"/>
              <w:rPr>
                <w:rFonts w:ascii="宋体" w:hAnsi="宋体" w:eastAsia="宋体" w:cs="宋体"/>
                <w:color w:val="000000"/>
                <w:sz w:val="24"/>
              </w:rPr>
            </w:pPr>
          </w:p>
        </w:tc>
        <w:tc>
          <w:tcPr>
            <w:tcW w:w="1964"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tblPrEx>
          <w:tblCellMar>
            <w:top w:w="15" w:type="dxa"/>
            <w:left w:w="15" w:type="dxa"/>
            <w:bottom w:w="15" w:type="dxa"/>
            <w:right w:w="15" w:type="dxa"/>
          </w:tblCellMar>
        </w:tblPrEx>
        <w:trPr>
          <w:trHeight w:val="499" w:hRule="atLeast"/>
          <w:jc w:val="center"/>
        </w:trPr>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1180.89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517"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20132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组织事务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华文中宋" w:hAnsi="华文中宋" w:eastAsia="华文中宋" w:cs="华文中宋"/>
                <w:color w:val="000000"/>
                <w:kern w:val="2"/>
                <w:sz w:val="16"/>
                <w:szCs w:val="16"/>
                <w:lang w:val="en-US" w:eastAsia="zh-CN" w:bidi="ar-SA"/>
              </w:rPr>
            </w:pPr>
            <w:r>
              <w:rPr>
                <w:rFonts w:hint="eastAsia" w:ascii="华文中宋" w:hAnsi="华文中宋" w:eastAsia="华文中宋" w:cs="华文中宋"/>
                <w:color w:val="000000"/>
                <w:sz w:val="16"/>
                <w:szCs w:val="16"/>
              </w:rPr>
              <w:t>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华文中宋" w:hAnsi="华文中宋" w:eastAsia="华文中宋" w:cs="华文中宋"/>
                <w:color w:val="000000"/>
                <w:sz w:val="16"/>
                <w:szCs w:val="16"/>
              </w:rPr>
              <w:t>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2013201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公共安全支出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1107.3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1107.3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20402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公安</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1107.3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1107.3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2040201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1107.3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1107.3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10.69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20805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10.69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2080501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行政单位离退休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10.69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210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35.32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35.32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21011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35.32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35.32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2101101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35.32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35.32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221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25.66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25.66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22102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25.66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25.66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99" w:hRule="atLeast"/>
          <w:jc w:val="center"/>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2210201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 xml:space="preserve">  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25.66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25.66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7"/>
        <w:tblW w:w="10286" w:type="dxa"/>
        <w:jc w:val="center"/>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1180.89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b w:val="0"/>
                <w:bCs w:val="0"/>
                <w:color w:val="000000"/>
                <w:sz w:val="16"/>
                <w:szCs w:val="16"/>
              </w:rPr>
              <w:t>468.04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712.85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20132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组织事务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16"/>
                <w:szCs w:val="16"/>
              </w:rPr>
              <w:t>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16"/>
                <w:szCs w:val="16"/>
              </w:rPr>
              <w:t>1.91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2013201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公共安全支出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1107.3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394.45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712.85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20402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公安</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1107.3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394.45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712.85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2040201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1107.3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394.45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712.85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7"/>
        <w:tblW w:w="10420" w:type="dxa"/>
        <w:jc w:val="center"/>
        <w:tblLayout w:type="fixed"/>
        <w:tblCellMar>
          <w:top w:w="15" w:type="dxa"/>
          <w:left w:w="15" w:type="dxa"/>
          <w:bottom w:w="15" w:type="dxa"/>
          <w:right w:w="15" w:type="dxa"/>
        </w:tblCellMar>
      </w:tblPr>
      <w:tblGrid>
        <w:gridCol w:w="2390"/>
        <w:gridCol w:w="586"/>
        <w:gridCol w:w="626"/>
        <w:gridCol w:w="2681"/>
        <w:gridCol w:w="494"/>
        <w:gridCol w:w="670"/>
        <w:gridCol w:w="89"/>
        <w:gridCol w:w="960"/>
        <w:gridCol w:w="960"/>
        <w:gridCol w:w="964"/>
      </w:tblGrid>
      <w:tr>
        <w:tblPrEx>
          <w:tblCellMar>
            <w:top w:w="15" w:type="dxa"/>
            <w:left w:w="15" w:type="dxa"/>
            <w:bottom w:w="15" w:type="dxa"/>
            <w:right w:w="15" w:type="dxa"/>
          </w:tblCellMar>
        </w:tblPrEx>
        <w:trPr>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3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tblPrEx>
          <w:tblCellMar>
            <w:top w:w="15" w:type="dxa"/>
            <w:left w:w="15" w:type="dxa"/>
            <w:bottom w:w="15" w:type="dxa"/>
            <w:right w:w="15" w:type="dxa"/>
          </w:tblCellMar>
        </w:tblPrEx>
        <w:trPr>
          <w:trHeight w:val="347" w:hRule="atLeast"/>
          <w:jc w:val="center"/>
        </w:trPr>
        <w:tc>
          <w:tcPr>
            <w:tcW w:w="3602"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p>
        </w:tc>
        <w:tc>
          <w:tcPr>
            <w:tcW w:w="6818" w:type="dxa"/>
            <w:gridSpan w:val="7"/>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tblPrEx>
          <w:tblCellMar>
            <w:top w:w="15" w:type="dxa"/>
            <w:left w:w="15" w:type="dxa"/>
            <w:bottom w:w="15" w:type="dxa"/>
            <w:right w:w="15" w:type="dxa"/>
          </w:tblCellMar>
        </w:tblPrEx>
        <w:trPr>
          <w:trHeight w:val="388" w:hRule="atLeast"/>
          <w:jc w:val="center"/>
        </w:trPr>
        <w:tc>
          <w:tcPr>
            <w:tcW w:w="3602"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部门：                    </w:t>
            </w:r>
          </w:p>
        </w:tc>
        <w:tc>
          <w:tcPr>
            <w:tcW w:w="3845"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4"/>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35" w:hRule="atLeast"/>
          <w:jc w:val="center"/>
        </w:trPr>
        <w:tc>
          <w:tcPr>
            <w:tcW w:w="3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8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1107.3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1107.3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10.69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10.69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35.32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35.32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25.66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25.66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3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8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1180.89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16"/>
                <w:szCs w:val="16"/>
              </w:rPr>
            </w:pPr>
          </w:p>
        </w:tc>
      </w:tr>
      <w:tr>
        <w:tblPrEx>
          <w:tblCellMar>
            <w:top w:w="15" w:type="dxa"/>
            <w:left w:w="15" w:type="dxa"/>
            <w:bottom w:w="15" w:type="dxa"/>
            <w:right w:w="15" w:type="dxa"/>
          </w:tblCellMar>
        </w:tblPrEx>
        <w:trPr>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7"/>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tblPrEx>
          <w:tblCellMar>
            <w:top w:w="15" w:type="dxa"/>
            <w:left w:w="15" w:type="dxa"/>
            <w:bottom w:w="15" w:type="dxa"/>
            <w:right w:w="15" w:type="dxa"/>
          </w:tblCellMar>
        </w:tblPrEx>
        <w:trPr>
          <w:trHeight w:val="327" w:hRule="atLeast"/>
          <w:jc w:val="center"/>
        </w:trPr>
        <w:tc>
          <w:tcPr>
            <w:tcW w:w="602"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1180.89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b w:val="0"/>
                <w:bCs w:val="0"/>
                <w:color w:val="000000"/>
                <w:sz w:val="16"/>
                <w:szCs w:val="16"/>
              </w:rPr>
              <w:t>468.04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712.85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20132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组织事务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16"/>
                <w:szCs w:val="16"/>
              </w:rPr>
              <w:t>1.91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16"/>
                <w:szCs w:val="16"/>
              </w:rPr>
              <w:t>1.91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2013201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1.91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公共安全支出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1107.3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394.45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712.85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20402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公安</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1107.3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394.45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712.85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2040201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1107.3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394.45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712.85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2080501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行政单位离退休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10.69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2101101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行政单位医疗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35.32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rPr>
              <w:t xml:space="preserve">  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16"/>
                <w:szCs w:val="16"/>
              </w:rPr>
              <w:t>25.66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7"/>
        <w:tblW w:w="10760" w:type="dxa"/>
        <w:jc w:val="center"/>
        <w:tblLayout w:type="fixed"/>
        <w:tblCellMar>
          <w:top w:w="15" w:type="dxa"/>
          <w:left w:w="15" w:type="dxa"/>
          <w:bottom w:w="15" w:type="dxa"/>
          <w:right w:w="15" w:type="dxa"/>
        </w:tblCellMar>
      </w:tblPr>
      <w:tblGrid>
        <w:gridCol w:w="663"/>
        <w:gridCol w:w="2440"/>
        <w:gridCol w:w="544"/>
        <w:gridCol w:w="634"/>
        <w:gridCol w:w="1871"/>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5"/>
                <w:rFonts w:hint="default"/>
                <w:b/>
                <w:bCs/>
                <w:lang w:bidi="ar"/>
              </w:rPr>
              <w:t>明细</w:t>
            </w:r>
            <w:r>
              <w:rPr>
                <w:rStyle w:val="16"/>
                <w:rFonts w:hint="default"/>
                <w:b/>
                <w:bCs/>
                <w:lang w:bidi="ar"/>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440" w:type="dxa"/>
            <w:shd w:val="clear" w:color="auto" w:fill="FFFFFF"/>
            <w:vAlign w:val="center"/>
          </w:tcPr>
          <w:p>
            <w:pPr>
              <w:jc w:val="center"/>
              <w:rPr>
                <w:rFonts w:ascii="宋体" w:hAnsi="宋体" w:eastAsia="宋体" w:cs="宋体"/>
                <w:color w:val="000000"/>
                <w:sz w:val="20"/>
                <w:szCs w:val="20"/>
              </w:rPr>
            </w:pPr>
          </w:p>
        </w:tc>
        <w:tc>
          <w:tcPr>
            <w:tcW w:w="544" w:type="dxa"/>
            <w:shd w:val="clear" w:color="auto" w:fill="FFFFFF"/>
            <w:vAlign w:val="center"/>
          </w:tcPr>
          <w:p>
            <w:pPr>
              <w:jc w:val="center"/>
              <w:rPr>
                <w:rFonts w:ascii="宋体" w:hAnsi="宋体" w:eastAsia="宋体" w:cs="宋体"/>
                <w:color w:val="000000"/>
                <w:sz w:val="20"/>
                <w:szCs w:val="20"/>
              </w:rPr>
            </w:pPr>
          </w:p>
        </w:tc>
        <w:tc>
          <w:tcPr>
            <w:tcW w:w="634" w:type="dxa"/>
            <w:shd w:val="clear" w:color="auto" w:fill="FFFFFF"/>
            <w:vAlign w:val="center"/>
          </w:tcPr>
          <w:p>
            <w:pPr>
              <w:rPr>
                <w:rFonts w:ascii="宋体" w:hAnsi="宋体" w:eastAsia="宋体" w:cs="宋体"/>
                <w:color w:val="000000"/>
                <w:sz w:val="20"/>
                <w:szCs w:val="20"/>
              </w:rPr>
            </w:pPr>
          </w:p>
        </w:tc>
        <w:tc>
          <w:tcPr>
            <w:tcW w:w="1871"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trHeight w:val="266" w:hRule="atLeast"/>
          <w:jc w:val="center"/>
        </w:trPr>
        <w:tc>
          <w:tcPr>
            <w:tcW w:w="663"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440" w:type="dxa"/>
            <w:shd w:val="clear" w:color="auto" w:fill="auto"/>
            <w:vAlign w:val="center"/>
          </w:tcPr>
          <w:p>
            <w:pPr>
              <w:rPr>
                <w:rFonts w:ascii="宋体" w:hAnsi="宋体" w:eastAsia="宋体" w:cs="宋体"/>
                <w:color w:val="000000"/>
                <w:sz w:val="20"/>
                <w:szCs w:val="20"/>
              </w:rPr>
            </w:pPr>
          </w:p>
        </w:tc>
        <w:tc>
          <w:tcPr>
            <w:tcW w:w="544" w:type="dxa"/>
            <w:shd w:val="clear" w:color="auto" w:fill="auto"/>
            <w:vAlign w:val="center"/>
          </w:tcPr>
          <w:p>
            <w:pPr>
              <w:rPr>
                <w:rFonts w:ascii="宋体" w:hAnsi="宋体" w:eastAsia="宋体" w:cs="宋体"/>
                <w:color w:val="000000"/>
                <w:sz w:val="20"/>
                <w:szCs w:val="20"/>
              </w:rPr>
            </w:pPr>
          </w:p>
        </w:tc>
        <w:tc>
          <w:tcPr>
            <w:tcW w:w="634" w:type="dxa"/>
            <w:shd w:val="clear" w:color="auto" w:fill="auto"/>
            <w:vAlign w:val="center"/>
          </w:tcPr>
          <w:p>
            <w:pPr>
              <w:rPr>
                <w:rFonts w:ascii="宋体" w:hAnsi="宋体" w:eastAsia="宋体" w:cs="宋体"/>
                <w:color w:val="000000"/>
                <w:sz w:val="20"/>
                <w:szCs w:val="20"/>
              </w:rPr>
            </w:pPr>
          </w:p>
        </w:tc>
        <w:tc>
          <w:tcPr>
            <w:tcW w:w="1871"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375.29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77.92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109.93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43.6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126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18.07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7.61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31.07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16.65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10.36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35.32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4.97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25.66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14.83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14.83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2.41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14.79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0.77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sz w:val="16"/>
                <w:szCs w:val="16"/>
              </w:rPr>
              <w:t>390.12</w:t>
            </w:r>
          </w:p>
        </w:tc>
        <w:tc>
          <w:tcPr>
            <w:tcW w:w="6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77.92</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7"/>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7"/>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r>
              <w:rPr>
                <w:rFonts w:hint="eastAsia" w:ascii="宋体"/>
                <w:highlight w:val="none"/>
              </w:rPr>
              <w:t>无相关数据，空表列示</w:t>
            </w:r>
            <w:r>
              <w:rPr>
                <w:rFonts w:hint="eastAsia" w:ascii="宋体"/>
                <w:highlight w:val="none"/>
                <w:lang w:eastAsia="zh-CN"/>
              </w:rPr>
              <w:t>。</w:t>
            </w:r>
          </w:p>
          <w:p>
            <w:pPr>
              <w:rPr>
                <w:b/>
              </w:rPr>
            </w:pPr>
            <w:r>
              <w:rPr>
                <w:b/>
              </w:rPr>
              <w:br w:type="page"/>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7"/>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ighlight w:val="none"/>
              </w:rPr>
              <w:t>无相关数据，空表列示</w:t>
            </w:r>
            <w:r>
              <w:rPr>
                <w:rFonts w:hint="eastAsia" w:ascii="宋体"/>
                <w:highlight w:val="none"/>
                <w:lang w:eastAsia="zh-CN"/>
              </w:rPr>
              <w:t>。</w:t>
            </w:r>
          </w:p>
          <w:p>
            <w:pPr>
              <w:rPr>
                <w:b/>
              </w:rPr>
            </w:pPr>
            <w:r>
              <w:rPr>
                <w:b/>
              </w:rPr>
              <w:br w:type="page"/>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本部门2023年度收、支总计1180.89万元。与2022年度决算相比，收支各增加</w:t>
      </w:r>
      <w:r>
        <w:rPr>
          <w:rFonts w:hint="eastAsia" w:ascii="仿宋_GB2312" w:hAnsi="Times New Roman" w:eastAsia="仿宋_GB2312" w:cs="DengXian-Regular"/>
          <w:sz w:val="32"/>
          <w:szCs w:val="32"/>
          <w:lang w:val="en-US" w:eastAsia="zh-CN"/>
        </w:rPr>
        <w:t>258.69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28.05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项目支出增加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本部门2023年度收入合计1180.89万元，其中：财政拨款收入1180.89万元，占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%；上级补助收入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本部门2023年度支出合计1180.89万元，其中：基本支出468.04万元，占</w:t>
      </w:r>
      <w:r>
        <w:rPr>
          <w:rFonts w:hint="eastAsia" w:ascii="仿宋_GB2312" w:hAnsi="Times New Roman" w:eastAsia="仿宋_GB2312" w:cs="DengXian-Regular"/>
          <w:sz w:val="32"/>
          <w:szCs w:val="32"/>
          <w:lang w:val="en-US" w:eastAsia="zh-CN"/>
        </w:rPr>
        <w:t>39.63</w:t>
      </w:r>
      <w:r>
        <w:rPr>
          <w:rFonts w:hint="eastAsia" w:ascii="仿宋_GB2312" w:hAnsi="Times New Roman" w:eastAsia="仿宋_GB2312" w:cs="DengXian-Regular"/>
          <w:sz w:val="32"/>
          <w:szCs w:val="32"/>
        </w:rPr>
        <w:t>%；项目支出712.85万元，占</w:t>
      </w:r>
      <w:r>
        <w:rPr>
          <w:rFonts w:hint="eastAsia" w:ascii="仿宋_GB2312" w:hAnsi="Times New Roman" w:eastAsia="仿宋_GB2312" w:cs="DengXian-Regular"/>
          <w:sz w:val="32"/>
          <w:szCs w:val="32"/>
          <w:lang w:val="en-US" w:eastAsia="zh-CN"/>
        </w:rPr>
        <w:t>60.37</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hint="default" w:ascii="仿宋_GB2312" w:hAnsi="Times New Roman" w:eastAsia="仿宋_GB2312" w:cs="DengXian-Regular"/>
          <w:sz w:val="32"/>
          <w:szCs w:val="32"/>
          <w:lang w:val="en-US"/>
        </w:rPr>
      </w:pPr>
      <w:r>
        <w:rPr>
          <w:rFonts w:hint="eastAsia" w:ascii="仿宋_GB2312" w:hAnsi="Times New Roman" w:eastAsia="仿宋_GB2312" w:cs="DengXian-Regular"/>
          <w:sz w:val="32"/>
          <w:szCs w:val="32"/>
        </w:rPr>
        <w:t>本部门2023年度财政拨款本年收入1180.89万元,比2022年度增加</w:t>
      </w:r>
      <w:r>
        <w:rPr>
          <w:rFonts w:hint="eastAsia" w:ascii="仿宋_GB2312" w:hAnsi="Times New Roman" w:eastAsia="仿宋_GB2312" w:cs="DengXian-Regular"/>
          <w:sz w:val="32"/>
          <w:szCs w:val="32"/>
          <w:lang w:val="en-US" w:eastAsia="zh-CN"/>
        </w:rPr>
        <w:t>258.69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28.05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项目支出增加；</w:t>
      </w:r>
    </w:p>
    <w:p>
      <w:pPr>
        <w:adjustRightInd w:val="0"/>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本年支出1180.89万元，增加</w:t>
      </w:r>
      <w:r>
        <w:rPr>
          <w:rFonts w:hint="eastAsia" w:ascii="仿宋_GB2312" w:hAnsi="Times New Roman" w:eastAsia="仿宋_GB2312" w:cs="DengXian-Regular"/>
          <w:sz w:val="32"/>
          <w:szCs w:val="32"/>
          <w:lang w:val="en-US" w:eastAsia="zh-CN"/>
        </w:rPr>
        <w:t>258.69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28.05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项目支出增加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1.一般公共预算财政拨款本年收入1180.89万元，比上年增加</w:t>
      </w:r>
      <w:r>
        <w:rPr>
          <w:rFonts w:hint="eastAsia" w:ascii="仿宋_GB2312" w:hAnsi="Times New Roman" w:eastAsia="仿宋_GB2312" w:cs="DengXian-Regular"/>
          <w:sz w:val="32"/>
          <w:szCs w:val="32"/>
          <w:lang w:val="en-US" w:eastAsia="zh-CN"/>
        </w:rPr>
        <w:t>258.69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项目支出增加</w:t>
      </w:r>
      <w:r>
        <w:rPr>
          <w:rFonts w:hint="eastAsia" w:ascii="仿宋_GB2312" w:hAnsi="Times New Roman" w:eastAsia="仿宋_GB2312" w:cs="DengXian-Regular"/>
          <w:sz w:val="32"/>
          <w:szCs w:val="32"/>
        </w:rPr>
        <w:t>；本年支出1180.89万元，比上年增加</w:t>
      </w:r>
      <w:r>
        <w:rPr>
          <w:rFonts w:hint="eastAsia" w:ascii="仿宋_GB2312" w:hAnsi="Times New Roman" w:eastAsia="仿宋_GB2312" w:cs="DengXian-Regular"/>
          <w:sz w:val="32"/>
          <w:szCs w:val="32"/>
          <w:lang w:val="en-US" w:eastAsia="zh-CN"/>
        </w:rPr>
        <w:t>258.69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28.05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项目支出增加</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本部门2023年度财政拨款本年收入1180.89万元，完成年初预算的</w:t>
      </w:r>
      <w:r>
        <w:rPr>
          <w:rFonts w:hint="eastAsia" w:ascii="仿宋_GB2312" w:hAnsi="Times New Roman" w:eastAsia="仿宋_GB2312" w:cs="DengXian-Regular"/>
          <w:sz w:val="32"/>
          <w:szCs w:val="32"/>
          <w:lang w:val="en-US" w:eastAsia="zh-CN"/>
        </w:rPr>
        <w:t>104.47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50.51</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项目增加，预算调整</w:t>
      </w:r>
      <w:r>
        <w:rPr>
          <w:rFonts w:hint="eastAsia" w:ascii="仿宋_GB2312" w:hAnsi="Times New Roman" w:eastAsia="仿宋_GB2312" w:cs="DengXian-Regular"/>
          <w:sz w:val="32"/>
          <w:szCs w:val="32"/>
        </w:rPr>
        <w:t>；本年支出1180.89万元，完成年初预算的</w:t>
      </w:r>
      <w:r>
        <w:rPr>
          <w:rFonts w:hint="eastAsia" w:ascii="仿宋_GB2312" w:hAnsi="Times New Roman" w:eastAsia="仿宋_GB2312" w:cs="DengXian-Regular"/>
          <w:sz w:val="32"/>
          <w:szCs w:val="32"/>
          <w:lang w:val="en-US" w:eastAsia="zh-CN"/>
        </w:rPr>
        <w:t>104.47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50.51</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项目增加，预算调整</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104.47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项目增加，预算调整</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104.47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50.51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项目增加，预算调整</w:t>
      </w:r>
      <w:r>
        <w:rPr>
          <w:rFonts w:hint="eastAsia" w:ascii="仿宋_GB2312" w:hAnsi="Times New Roman"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DengXian-Regular"/>
          <w:sz w:val="32"/>
          <w:szCs w:val="32"/>
        </w:rPr>
        <w:t>2023年度财政拨款支出1180.89万元，主要用于以下方面</w:t>
      </w:r>
      <w:r>
        <w:rPr>
          <w:rFonts w:hint="eastAsia" w:ascii="仿宋_GB2312" w:hAnsi="Times New Roman" w:eastAsia="仿宋_GB2312" w:cs="DengXian-Regular"/>
          <w:sz w:val="32"/>
          <w:szCs w:val="32"/>
          <w:lang w:eastAsia="zh-CN"/>
        </w:rPr>
        <w:t>：一般公共服务支出（</w:t>
      </w:r>
      <w:r>
        <w:rPr>
          <w:rFonts w:hint="eastAsia" w:ascii="仿宋_GB2312" w:hAnsi="Times New Roman" w:eastAsia="仿宋_GB2312" w:cs="DengXian-Regular"/>
          <w:sz w:val="32"/>
          <w:szCs w:val="32"/>
          <w:lang w:val="en-US" w:eastAsia="zh-CN"/>
        </w:rPr>
        <w:t>类）支出1.91万元，</w:t>
      </w:r>
      <w:r>
        <w:rPr>
          <w:rFonts w:hint="eastAsia" w:ascii="仿宋_GB2312" w:hAnsi="Times New Roman" w:eastAsia="仿宋_GB2312" w:cs="DengXian-Regular"/>
          <w:sz w:val="32"/>
          <w:szCs w:val="32"/>
        </w:rPr>
        <w:t>占</w:t>
      </w:r>
      <w:r>
        <w:rPr>
          <w:rFonts w:hint="eastAsia" w:ascii="仿宋_GB2312" w:hAnsi="Times New Roman" w:eastAsia="仿宋_GB2312" w:cs="DengXian-Regular"/>
          <w:sz w:val="32"/>
          <w:szCs w:val="32"/>
          <w:lang w:val="en-US" w:eastAsia="zh-CN"/>
        </w:rPr>
        <w:t>0.16</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用于退休人员支出；</w:t>
      </w:r>
      <w:r>
        <w:rPr>
          <w:rFonts w:hint="eastAsia" w:ascii="仿宋_GB2312" w:hAnsi="Times New Roman" w:eastAsia="仿宋_GB2312" w:cs="DengXian-Regular"/>
          <w:sz w:val="32"/>
          <w:szCs w:val="32"/>
        </w:rPr>
        <w:t>公共安全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类）</w:t>
      </w:r>
      <w:r>
        <w:rPr>
          <w:rFonts w:hint="eastAsia" w:ascii="仿宋_GB2312" w:hAnsi="Times New Roman" w:eastAsia="仿宋_GB2312" w:cs="DengXian-Regular"/>
          <w:sz w:val="32"/>
          <w:szCs w:val="32"/>
        </w:rPr>
        <w:t>支出1107.3万元，占</w:t>
      </w:r>
      <w:r>
        <w:rPr>
          <w:rFonts w:hint="eastAsia" w:ascii="仿宋_GB2312" w:hAnsi="Times New Roman" w:eastAsia="仿宋_GB2312" w:cs="DengXian-Regular"/>
          <w:sz w:val="32"/>
          <w:szCs w:val="32"/>
          <w:lang w:val="en-US" w:eastAsia="zh-CN"/>
        </w:rPr>
        <w:t>93.77</w:t>
      </w:r>
      <w:r>
        <w:rPr>
          <w:rFonts w:hint="eastAsia" w:ascii="仿宋_GB2312" w:hAnsi="Times New Roman" w:eastAsia="仿宋_GB2312" w:cs="DengXian-Regular"/>
          <w:sz w:val="32"/>
          <w:szCs w:val="32"/>
        </w:rPr>
        <w:t>%，主要用于公共安全支出；</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10.69</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rPr>
        <w:t>行政事业单位养老支出；</w:t>
      </w:r>
      <w:r>
        <w:rPr>
          <w:rFonts w:hint="eastAsia" w:ascii="仿宋_GB2312" w:hAnsi="Times New Roman" w:eastAsia="仿宋_GB2312" w:cs="Wingdings"/>
          <w:sz w:val="32"/>
          <w:szCs w:val="32"/>
          <w:lang w:eastAsia="zh-CN"/>
        </w:rPr>
        <w:t>卫生健康</w:t>
      </w:r>
      <w:r>
        <w:rPr>
          <w:rFonts w:hint="eastAsia" w:ascii="仿宋_GB2312" w:hAnsi="Times New Roman" w:eastAsia="仿宋_GB2312" w:cs="Wingdings"/>
          <w:sz w:val="32"/>
          <w:szCs w:val="32"/>
        </w:rPr>
        <w:t>（类）支出</w:t>
      </w:r>
      <w:r>
        <w:rPr>
          <w:rFonts w:hint="eastAsia" w:ascii="仿宋_GB2312" w:hAnsi="Times New Roman" w:eastAsia="仿宋_GB2312" w:cs="Wingdings"/>
          <w:sz w:val="32"/>
          <w:szCs w:val="32"/>
          <w:lang w:val="en-US" w:eastAsia="zh-CN"/>
        </w:rPr>
        <w:t>35.32</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3</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，主要用于行政事业单位医疗保险支出</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25.66</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2.16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，主要用于住房公积金支出</w:t>
      </w:r>
      <w:r>
        <w:rPr>
          <w:rFonts w:hint="eastAsia" w:ascii="仿宋_GB2312" w:hAnsi="Times New Roman" w:eastAsia="仿宋_GB2312" w:cs="Wingdings"/>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2023年度财政拨款基本支出468.04万元，其中：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人员经费390.12万元，主要包括基本工资、津贴补贴、奖金、绩效工资、机关事业单位基本养老保险缴费、职工基本医疗保险缴费、住房公积金、医疗费、其他社会保障缴费</w:t>
      </w:r>
      <w:r>
        <w:rPr>
          <w:rFonts w:hint="eastAsia" w:ascii="仿宋_GB2312" w:hAnsi="Times New Roman" w:eastAsia="仿宋_GB2312" w:cs="DengXian-Regular"/>
          <w:sz w:val="32"/>
          <w:szCs w:val="32"/>
          <w:lang w:eastAsia="zh-CN"/>
        </w:rPr>
        <w:t>、</w:t>
      </w:r>
      <w:r>
        <w:rPr>
          <w:rFonts w:hint="eastAsia" w:ascii="仿宋_GB2312" w:hAnsi="Times New Roman" w:eastAsia="仿宋_GB2312" w:cs="Wingdings"/>
          <w:sz w:val="32"/>
          <w:szCs w:val="32"/>
          <w:lang w:val="en-US" w:eastAsia="zh-CN"/>
        </w:rPr>
        <w:t>对个人和家庭的补助</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公用经费77.92万元，主要包括办公费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邮电费、工会经费、福利费、公务用车运行维护费、其他交通费用、税金及附加费用、其他商品和服务支出</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本部门2023年度“三公”经费财政拨款支出预算为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%；较2022年度决算减少</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车辆减少1辆</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跟上年相同</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车辆减少1辆</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17.99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17.99</w:t>
      </w:r>
      <w:r>
        <w:rPr>
          <w:rFonts w:hint="eastAsia" w:ascii="仿宋_GB2312" w:hAnsi="Times New Roman" w:eastAsia="仿宋_GB2312" w:cs="DengXian-Regular"/>
          <w:sz w:val="32"/>
          <w:szCs w:val="32"/>
        </w:rPr>
        <w:t>万元。公务用车购置费支出较预算减少</w:t>
      </w:r>
      <w:r>
        <w:rPr>
          <w:rFonts w:hint="eastAsia" w:ascii="仿宋_GB2312" w:hAnsi="Times New Roman" w:eastAsia="仿宋_GB2312" w:cs="DengXian-Regular"/>
          <w:sz w:val="32"/>
          <w:szCs w:val="32"/>
          <w:lang w:val="en-US" w:eastAsia="zh-CN"/>
        </w:rPr>
        <w:t>0.01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0.06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节省开支</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17.99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有购车指标，而且目前公车不够用</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4</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本部门2023年度单位财政开支公务用车保有量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%。公务接待费支出较预算增加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Wingdings"/>
          <w:color w:val="000000"/>
          <w:sz w:val="32"/>
          <w:szCs w:val="32"/>
          <w:highlight w:val="none"/>
        </w:rPr>
        <w:t>未发生公务</w:t>
      </w:r>
      <w:r>
        <w:rPr>
          <w:rFonts w:hint="eastAsia" w:ascii="仿宋_GB2312" w:hAnsi="Times New Roman" w:eastAsia="仿宋_GB2312" w:cs="Wingdings"/>
          <w:color w:val="000000"/>
          <w:sz w:val="32"/>
          <w:szCs w:val="32"/>
          <w:highlight w:val="none"/>
          <w:lang w:eastAsia="zh-CN"/>
        </w:rPr>
        <w:t>接待费</w:t>
      </w:r>
      <w:r>
        <w:rPr>
          <w:rFonts w:hint="eastAsia" w:ascii="仿宋_GB2312" w:hAnsi="Times New Roman" w:eastAsia="仿宋_GB2312" w:cs="Wingdings"/>
          <w:color w:val="000000"/>
          <w:sz w:val="32"/>
          <w:szCs w:val="32"/>
          <w:highlight w:val="none"/>
        </w:rPr>
        <w:t>支出、与年初预算持平、与20</w:t>
      </w:r>
      <w:r>
        <w:rPr>
          <w:rFonts w:hint="eastAsia" w:ascii="仿宋_GB2312" w:hAnsi="Times New Roman" w:eastAsia="仿宋_GB2312" w:cs="Wingdings"/>
          <w:color w:val="000000"/>
          <w:sz w:val="32"/>
          <w:szCs w:val="32"/>
          <w:highlight w:val="none"/>
          <w:lang w:val="en-US" w:eastAsia="zh-CN"/>
        </w:rPr>
        <w:t>22</w:t>
      </w:r>
      <w:r>
        <w:rPr>
          <w:rFonts w:hint="eastAsia" w:ascii="仿宋_GB2312" w:hAnsi="Times New Roman" w:eastAsia="仿宋_GB2312" w:cs="Wingdings"/>
          <w:color w:val="000000"/>
          <w:sz w:val="32"/>
          <w:szCs w:val="32"/>
          <w:highlight w:val="none"/>
        </w:rPr>
        <w:t>年度决算支出持平</w:t>
      </w:r>
      <w:r>
        <w:rPr>
          <w:rFonts w:hint="eastAsia" w:ascii="仿宋_GB2312" w:hAnsi="Times New Roman" w:eastAsia="仿宋_GB2312" w:cs="Wingdings"/>
          <w:sz w:val="32"/>
          <w:szCs w:val="32"/>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w:t>
      </w:r>
      <w:r>
        <w:rPr>
          <w:rFonts w:hint="eastAsia" w:ascii="仿宋_GB2312" w:hAnsi="Times New Roman" w:eastAsia="仿宋_GB2312" w:cs="DengXian-Regular"/>
          <w:sz w:val="32"/>
          <w:szCs w:val="32"/>
          <w:lang w:val="en-US" w:eastAsia="zh-CN"/>
        </w:rPr>
        <w:t>77.92</w:t>
      </w:r>
      <w:r>
        <w:rPr>
          <w:rFonts w:hint="eastAsia" w:ascii="仿宋_GB2312" w:hAnsi="Times New Roman" w:eastAsia="仿宋_GB2312" w:cs="DengXian-Regular"/>
          <w:sz w:val="32"/>
          <w:szCs w:val="32"/>
        </w:rPr>
        <w:t>万元，较2022年度增加</w:t>
      </w:r>
      <w:r>
        <w:rPr>
          <w:rFonts w:hint="eastAsia" w:ascii="仿宋_GB2312" w:hAnsi="Times New Roman" w:eastAsia="仿宋_GB2312" w:cs="DengXian-Regular"/>
          <w:sz w:val="32"/>
          <w:szCs w:val="32"/>
          <w:lang w:val="en-US" w:eastAsia="zh-CN"/>
        </w:rPr>
        <w:t>41.4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113.36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记账系统把34.78万元的严重精神障碍患者资金记入了机关运行经费里</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本部门2023年度政府采购支出总额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Times New Roman" w:eastAsia="仿宋_GB2312" w:cs="DengXian-Regular"/>
          <w:sz w:val="32"/>
          <w:szCs w:val="32"/>
          <w:lang w:val="en-US" w:eastAsia="zh-CN"/>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Times New Roman" w:eastAsia="仿宋_GB2312" w:cs="DengXian-Regular"/>
          <w:sz w:val="32"/>
          <w:szCs w:val="32"/>
          <w:lang w:val="en-US" w:eastAsia="zh-CN"/>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新购置公务用车1辆</w:t>
      </w:r>
      <w:r>
        <w:rPr>
          <w:rFonts w:hint="eastAsia" w:ascii="仿宋_GB2312" w:hAnsi="Times New Roman" w:eastAsia="仿宋_GB2312" w:cs="DengXian-Regular"/>
          <w:sz w:val="32"/>
          <w:szCs w:val="32"/>
        </w:rPr>
        <w:t>。其中，执法执勤用车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712.85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60.37</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组织对“严重精神障碍患者监护人责任险费用、以奖代补费用”“</w:t>
      </w:r>
      <w:r>
        <w:rPr>
          <w:rFonts w:hint="eastAsia" w:ascii="仿宋_GB2312" w:hAnsi="仿宋_GB2312" w:eastAsia="仿宋_GB2312" w:cs="仿宋_GB2312"/>
          <w:sz w:val="32"/>
          <w:szCs w:val="32"/>
          <w:lang w:eastAsia="zh-CN"/>
        </w:rPr>
        <w:t>严重精神障碍患者强制医疗住院欠款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个项目开展了部门评价，涉及一般公共预算支出</w:t>
      </w:r>
      <w:r>
        <w:rPr>
          <w:rFonts w:hint="eastAsia" w:ascii="仿宋_GB2312" w:hAnsi="仿宋_GB2312" w:eastAsia="仿宋_GB2312" w:cs="仿宋_GB2312"/>
          <w:sz w:val="32"/>
          <w:szCs w:val="32"/>
          <w:lang w:val="en-US" w:eastAsia="zh-CN"/>
        </w:rPr>
        <w:t>712.85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从评价情况看，我委</w:t>
      </w:r>
      <w:r>
        <w:rPr>
          <w:rFonts w:ascii="Times New Roman" w:hAnsi="Times New Roman" w:eastAsia="仿宋" w:cs="Times New Roman"/>
          <w:sz w:val="32"/>
          <w:szCs w:val="32"/>
        </w:rPr>
        <w:t>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（二）部门决算中项目绩效自评结果（如有）</w:t>
      </w:r>
    </w:p>
    <w:p>
      <w:pPr>
        <w:adjustRightInd w:val="0"/>
        <w:snapToGrid w:val="0"/>
        <w:spacing w:line="58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本部门在今年部门决算公开中反映严重精神障碍患者监护人责任险费用、以奖代补费用项目及</w:t>
      </w:r>
      <w:r>
        <w:rPr>
          <w:rFonts w:hint="eastAsia" w:ascii="仿宋_GB2312" w:hAnsi="仿宋_GB2312" w:eastAsia="仿宋_GB2312" w:cs="仿宋_GB2312"/>
          <w:sz w:val="32"/>
          <w:szCs w:val="32"/>
          <w:lang w:eastAsia="zh-CN"/>
        </w:rPr>
        <w:t>严重精神障碍患者强制医疗住院欠款</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个项目绩效自评结果。</w:t>
      </w:r>
    </w:p>
    <w:p>
      <w:pPr>
        <w:numPr>
          <w:ilvl w:val="0"/>
          <w:numId w:val="3"/>
        </w:num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严重精神障碍患者监护人责任险费用、以奖代补费用项目自评综述：根据年初设定的绩效目标，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59.86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0" w:type="auto"/>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3</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严重精神障碍患者监护人责任险费用、以奖代补费用</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59.86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59.86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59.86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59.86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59.86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59.86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严重精神病患者保险发放率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严重精神病患者登记率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严重精神病患者摸排率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再犯罪减低率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sz w:val="18"/>
                <w:szCs w:val="18"/>
              </w:rPr>
              <w:t>≦</w:t>
            </w:r>
            <w:r>
              <w:rPr>
                <w:rFonts w:ascii="方正书宋_GBK" w:eastAsia="方正书宋_GBK"/>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普法宣传对象满意度</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受援群众投诉率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sz w:val="18"/>
                <w:szCs w:val="18"/>
              </w:rPr>
              <w:t>≦</w:t>
            </w:r>
            <w:r>
              <w:rPr>
                <w:rFonts w:ascii="方正书宋_GBK" w:eastAsia="方正书宋_GBK"/>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0"/>
        </w:numPr>
        <w:adjustRightInd w:val="0"/>
        <w:snapToGrid w:val="0"/>
        <w:spacing w:line="580" w:lineRule="exact"/>
        <w:rPr>
          <w:rFonts w:hint="eastAsia" w:ascii="仿宋_GB2312" w:hAnsi="仿宋_GB2312" w:eastAsia="仿宋_GB2312" w:cs="仿宋_GB2312"/>
          <w:sz w:val="32"/>
          <w:szCs w:val="32"/>
          <w:highlight w:val="none"/>
        </w:rPr>
      </w:pPr>
    </w:p>
    <w:p>
      <w:pPr>
        <w:numPr>
          <w:ilvl w:val="0"/>
          <w:numId w:val="3"/>
        </w:num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严重精神障碍患者强制医疗住院欠款</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0" w:type="auto"/>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eastAsia="zh-CN"/>
              </w:rPr>
              <w:t>2023</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严重精神障碍患者</w:t>
            </w:r>
            <w:r>
              <w:rPr>
                <w:rFonts w:hint="eastAsia" w:ascii="宋体" w:hAnsi="宋体" w:cs="宋体"/>
                <w:kern w:val="0"/>
                <w:sz w:val="18"/>
                <w:szCs w:val="18"/>
                <w:lang w:eastAsia="zh-CN"/>
              </w:rPr>
              <w:t>强制医疗住院费用</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严重精神病患者保险发放率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严重精神病患者登记率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严重精神病患者摸排率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再犯罪减低率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sz w:val="18"/>
                <w:szCs w:val="18"/>
              </w:rPr>
              <w:t>≦</w:t>
            </w:r>
            <w:r>
              <w:rPr>
                <w:rFonts w:ascii="方正书宋_GBK" w:eastAsia="方正书宋_GBK"/>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普法宣传对象满意度</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受援群众投诉率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sz w:val="18"/>
                <w:szCs w:val="18"/>
              </w:rPr>
              <w:t>≦</w:t>
            </w:r>
            <w:r>
              <w:rPr>
                <w:rFonts w:ascii="方正书宋_GBK" w:eastAsia="方正书宋_GBK"/>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3"/>
        </w:num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法院、检察院维稳办案经费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490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pPr w:leftFromText="180" w:rightFromText="180" w:vertAnchor="page" w:horzAnchor="page" w:tblpX="1518" w:tblpY="1893"/>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3</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b w:val="0"/>
                <w:bCs w:val="0"/>
                <w:sz w:val="18"/>
                <w:szCs w:val="18"/>
                <w:lang w:eastAsia="zh-CN"/>
              </w:rPr>
              <w:t>区本极维稳办案经费</w:t>
            </w:r>
            <w:r>
              <w:rPr>
                <w:rFonts w:hint="eastAsia" w:ascii="宋体" w:hAnsi="宋体" w:eastAsia="宋体" w:cs="宋体"/>
                <w:b w:val="0"/>
                <w:bCs w:val="0"/>
                <w:sz w:val="18"/>
                <w:szCs w:val="18"/>
              </w:rPr>
              <w:t>项目</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35"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群体性事件成功处置率（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）率（</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重点人口管控率（</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重特大案件组织、指挥、督导协调率（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有组织犯罪案件数降低率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人民调解案件数（件）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&gt;=15</w:t>
            </w:r>
            <w:r>
              <w:rPr>
                <w:rFonts w:hint="eastAsia" w:ascii="方正书宋_GBK" w:eastAsia="方正书宋_GBK"/>
                <w:sz w:val="18"/>
                <w:szCs w:val="18"/>
              </w:rPr>
              <w:t>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重大活动突发事件发生率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tabs>
                <w:tab w:val="left" w:pos="217"/>
              </w:tabs>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ab/>
            </w: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3"/>
        </w:num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公务车购置</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3</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本级公车购置支出经费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17.99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17.99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hAnsi="Times New Roman" w:eastAsia="方正书宋_GBK" w:cs="Times New Roman"/>
                <w:kern w:val="2"/>
                <w:sz w:val="18"/>
                <w:szCs w:val="18"/>
                <w:lang w:val="en-US" w:eastAsia="zh-CN" w:bidi="ar-SA"/>
              </w:rPr>
            </w:pPr>
            <w:r>
              <w:rPr>
                <w:rFonts w:hint="eastAsia" w:ascii="方正书宋_GBK" w:eastAsia="方正书宋_GBK"/>
                <w:sz w:val="18"/>
                <w:szCs w:val="18"/>
              </w:rPr>
              <w:t>开展宣活动数量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spacing w:line="300" w:lineRule="exact"/>
              <w:jc w:val="left"/>
              <w:rPr>
                <w:rFonts w:ascii="方正书宋_GBK" w:hAnsi="Times New Roman" w:eastAsia="方正书宋_GBK" w:cs="Times New Roman"/>
                <w:kern w:val="2"/>
                <w:sz w:val="21"/>
                <w:szCs w:val="21"/>
                <w:lang w:val="en-US" w:eastAsia="zh-CN" w:bidi="ar-SA"/>
              </w:rPr>
            </w:pPr>
            <w:r>
              <w:rPr>
                <w:rFonts w:hint="eastAsia" w:ascii="方正书宋_GBK" w:eastAsia="方正书宋_GBK"/>
                <w:sz w:val="18"/>
                <w:szCs w:val="18"/>
              </w:rPr>
              <w:t>优良率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使用量占生产量的比例（%）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社会影响力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基本公共卫生服务水平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书宋_GBK" w:hAnsi="Times New Roman" w:eastAsia="方正书宋_GBK" w:cs="Times New Roman"/>
                <w:kern w:val="2"/>
                <w:sz w:val="18"/>
                <w:szCs w:val="18"/>
                <w:lang w:val="en-US" w:eastAsia="zh-CN" w:bidi="ar-SA"/>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维稳办案经费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pPr w:leftFromText="180" w:rightFromText="180" w:vertAnchor="page" w:horzAnchor="page" w:tblpX="1518" w:tblpY="1893"/>
        <w:tblOverlap w:val="never"/>
        <w:tblW w:w="9020" w:type="dxa"/>
        <w:tblInd w:w="0" w:type="dxa"/>
        <w:tblLayout w:type="fixed"/>
        <w:tblCellMar>
          <w:top w:w="0" w:type="dxa"/>
          <w:left w:w="108" w:type="dxa"/>
          <w:bottom w:w="0" w:type="dxa"/>
          <w:right w:w="108" w:type="dxa"/>
        </w:tblCellMar>
      </w:tblPr>
      <w:tblGrid>
        <w:gridCol w:w="584"/>
        <w:gridCol w:w="973"/>
        <w:gridCol w:w="1104"/>
        <w:gridCol w:w="725"/>
        <w:gridCol w:w="1126"/>
        <w:gridCol w:w="282"/>
        <w:gridCol w:w="845"/>
        <w:gridCol w:w="845"/>
        <w:gridCol w:w="281"/>
        <w:gridCol w:w="282"/>
        <w:gridCol w:w="422"/>
        <w:gridCol w:w="141"/>
        <w:gridCol w:w="704"/>
        <w:gridCol w:w="706"/>
      </w:tblGrid>
      <w:tr>
        <w:tblPrEx>
          <w:tblCellMar>
            <w:top w:w="0" w:type="dxa"/>
            <w:left w:w="108" w:type="dxa"/>
            <w:bottom w:w="0" w:type="dxa"/>
            <w:right w:w="108" w:type="dxa"/>
          </w:tblCellMar>
        </w:tblPrEx>
        <w:trPr>
          <w:trHeight w:val="530" w:hRule="exact"/>
        </w:trPr>
        <w:tc>
          <w:tcPr>
            <w:tcW w:w="902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364" w:hRule="atLeast"/>
        </w:trPr>
        <w:tc>
          <w:tcPr>
            <w:tcW w:w="902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eastAsia="zh-CN"/>
              </w:rPr>
              <w:t>2023</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50" w:hRule="exact"/>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46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b w:val="0"/>
                <w:bCs w:val="0"/>
                <w:sz w:val="18"/>
                <w:szCs w:val="18"/>
                <w:lang w:eastAsia="zh-CN"/>
              </w:rPr>
              <w:t>区本极维稳办案经费</w:t>
            </w:r>
            <w:r>
              <w:rPr>
                <w:rFonts w:hint="eastAsia" w:ascii="宋体" w:hAnsi="宋体" w:eastAsia="宋体" w:cs="宋体"/>
                <w:b w:val="0"/>
                <w:bCs w:val="0"/>
                <w:sz w:val="18"/>
                <w:szCs w:val="18"/>
              </w:rPr>
              <w:t>项目</w:t>
            </w:r>
          </w:p>
        </w:tc>
      </w:tr>
      <w:tr>
        <w:tblPrEx>
          <w:tblCellMar>
            <w:top w:w="0" w:type="dxa"/>
            <w:left w:w="108" w:type="dxa"/>
            <w:bottom w:w="0" w:type="dxa"/>
            <w:right w:w="108" w:type="dxa"/>
          </w:tblCellMar>
        </w:tblPrEx>
        <w:trPr>
          <w:trHeight w:val="350" w:hRule="exact"/>
        </w:trPr>
        <w:tc>
          <w:tcPr>
            <w:tcW w:w="1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5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50" w:hRule="exact"/>
        </w:trPr>
        <w:tc>
          <w:tcPr>
            <w:tcW w:w="155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91" w:hRule="exact"/>
        </w:trPr>
        <w:tc>
          <w:tcPr>
            <w:tcW w:w="1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130</w:t>
            </w:r>
          </w:p>
        </w:tc>
        <w:tc>
          <w:tcPr>
            <w:tcW w:w="11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50" w:hRule="exact"/>
        </w:trPr>
        <w:tc>
          <w:tcPr>
            <w:tcW w:w="1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130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130</w:t>
            </w:r>
          </w:p>
        </w:tc>
        <w:tc>
          <w:tcPr>
            <w:tcW w:w="11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130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50" w:hRule="exact"/>
        </w:trPr>
        <w:tc>
          <w:tcPr>
            <w:tcW w:w="1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50" w:hRule="exact"/>
        </w:trPr>
        <w:tc>
          <w:tcPr>
            <w:tcW w:w="1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2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50" w:hRule="exact"/>
        </w:trPr>
        <w:tc>
          <w:tcPr>
            <w:tcW w:w="5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5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8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2" w:hRule="exact"/>
        </w:trPr>
        <w:tc>
          <w:tcPr>
            <w:tcW w:w="5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5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38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584"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群体性事件成功处置率（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）率（</w:t>
            </w:r>
            <w:r>
              <w:rPr>
                <w:rFonts w:ascii="方正书宋_GBK" w:eastAsia="方正书宋_GBK"/>
                <w:sz w:val="18"/>
                <w:szCs w:val="18"/>
              </w:rPr>
              <w:t>%</w:t>
            </w:r>
            <w:r>
              <w:rPr>
                <w:rFonts w:hint="eastAsia" w:ascii="方正书宋_GBK" w:eastAsia="方正书宋_GBK"/>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重点人口管控率（</w:t>
            </w:r>
            <w:r>
              <w:rPr>
                <w:rFonts w:ascii="方正书宋_GBK" w:eastAsia="方正书宋_GBK"/>
                <w:sz w:val="18"/>
                <w:szCs w:val="18"/>
              </w:rPr>
              <w:t>%</w:t>
            </w:r>
            <w:r>
              <w:rPr>
                <w:rFonts w:hint="eastAsia" w:ascii="方正书宋_GBK" w:eastAsia="方正书宋_GBK"/>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8"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重特大案件组织、指挥、督导协调率（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有组织犯罪案件数降低率</w:t>
            </w:r>
            <w:r>
              <w:rPr>
                <w:rFonts w:ascii="方正书宋_GBK" w:eastAsia="方正书宋_GBK"/>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人民调解案件数（件）</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&gt;=15</w:t>
            </w:r>
            <w:r>
              <w:rPr>
                <w:rFonts w:hint="eastAsia" w:ascii="方正书宋_GBK" w:eastAsia="方正书宋_GBK"/>
                <w:sz w:val="18"/>
                <w:szCs w:val="18"/>
              </w:rPr>
              <w:t>件</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重大活动突发事件发生率</w:t>
            </w:r>
            <w:r>
              <w:rPr>
                <w:rFonts w:ascii="方正书宋_GBK" w:eastAsia="方正书宋_GBK"/>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45" w:type="dxa"/>
            <w:tcBorders>
              <w:top w:val="nil"/>
              <w:left w:val="nil"/>
              <w:bottom w:val="single" w:color="auto" w:sz="4" w:space="0"/>
              <w:right w:val="single" w:color="auto" w:sz="4" w:space="0"/>
            </w:tcBorders>
            <w:noWrap w:val="0"/>
            <w:vAlign w:val="center"/>
          </w:tcPr>
          <w:p>
            <w:pPr>
              <w:widowControl/>
              <w:tabs>
                <w:tab w:val="left" w:pos="217"/>
              </w:tabs>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ab/>
            </w: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0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&gt;=80%</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0" w:hRule="exact"/>
        </w:trPr>
        <w:tc>
          <w:tcPr>
            <w:tcW w:w="58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3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2" w:hRule="exact"/>
        </w:trPr>
        <w:tc>
          <w:tcPr>
            <w:tcW w:w="648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2"/>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部门评价项目绩效评价结果</w:t>
      </w:r>
    </w:p>
    <w:p>
      <w:pPr>
        <w:pStyle w:val="3"/>
        <w:numPr>
          <w:ilvl w:val="0"/>
          <w:numId w:val="0"/>
        </w:numPr>
        <w:ind w:leftChars="200"/>
        <w:rPr>
          <w:rFonts w:hint="eastAsia" w:ascii="仿宋_GB2312" w:hAnsi="仿宋_GB2312" w:eastAsia="仿宋_GB2312" w:cs="仿宋_GB2312"/>
          <w:b w:val="0"/>
          <w:bCs w:val="0"/>
          <w:kern w:val="2"/>
          <w:sz w:val="32"/>
          <w:szCs w:val="32"/>
          <w:lang w:val="en-US" w:eastAsia="zh-CN" w:bidi="ar-SA"/>
        </w:rPr>
      </w:pPr>
      <w:r>
        <w:rPr>
          <w:rFonts w:hint="eastAsia"/>
          <w:b w:val="0"/>
          <w:bCs w:val="0"/>
          <w:lang w:val="en-US" w:eastAsia="zh-CN"/>
        </w:rPr>
        <w:t xml:space="preserve">  </w:t>
      </w:r>
      <w:r>
        <w:rPr>
          <w:rFonts w:hint="eastAsia" w:ascii="仿宋_GB2312" w:hAnsi="仿宋_GB2312" w:eastAsia="仿宋_GB2312" w:cs="仿宋_GB2312"/>
          <w:b w:val="0"/>
          <w:bCs w:val="0"/>
          <w:kern w:val="2"/>
          <w:sz w:val="32"/>
          <w:szCs w:val="32"/>
          <w:lang w:val="en-US" w:eastAsia="zh-CN" w:bidi="ar-SA"/>
        </w:rPr>
        <w:t>部门评价项目绩效优</w:t>
      </w:r>
    </w:p>
    <w:tbl>
      <w:tblPr>
        <w:tblStyle w:val="7"/>
        <w:tblW w:w="8423" w:type="dxa"/>
        <w:tblInd w:w="93" w:type="dxa"/>
        <w:tblLayout w:type="autofit"/>
        <w:tblCellMar>
          <w:top w:w="0" w:type="dxa"/>
          <w:left w:w="108" w:type="dxa"/>
          <w:bottom w:w="0" w:type="dxa"/>
          <w:right w:w="108" w:type="dxa"/>
        </w:tblCellMar>
      </w:tblPr>
      <w:tblGrid>
        <w:gridCol w:w="1433"/>
        <w:gridCol w:w="2268"/>
        <w:gridCol w:w="1701"/>
        <w:gridCol w:w="780"/>
        <w:gridCol w:w="921"/>
        <w:gridCol w:w="1320"/>
      </w:tblGrid>
      <w:tr>
        <w:tblPrEx>
          <w:tblCellMar>
            <w:top w:w="0" w:type="dxa"/>
            <w:left w:w="108" w:type="dxa"/>
            <w:bottom w:w="0" w:type="dxa"/>
            <w:right w:w="108" w:type="dxa"/>
          </w:tblCellMar>
        </w:tblPrEx>
        <w:trPr>
          <w:trHeight w:val="765" w:hRule="atLeast"/>
        </w:trPr>
        <w:tc>
          <w:tcPr>
            <w:tcW w:w="8423" w:type="dxa"/>
            <w:gridSpan w:val="6"/>
            <w:tcBorders>
              <w:top w:val="nil"/>
              <w:left w:val="nil"/>
              <w:bottom w:val="nil"/>
              <w:right w:val="nil"/>
            </w:tcBorders>
            <w:shd w:val="clear" w:color="auto" w:fill="auto"/>
            <w:noWrap/>
            <w:vAlign w:val="center"/>
          </w:tcPr>
          <w:p>
            <w:pPr>
              <w:widowControl/>
              <w:spacing w:line="320" w:lineRule="exact"/>
              <w:jc w:val="center"/>
              <w:rPr>
                <w:rFonts w:ascii="宋体" w:hAnsi="宋体" w:cs="宋体"/>
                <w:b/>
                <w:color w:val="000000"/>
                <w:kern w:val="0"/>
                <w:sz w:val="28"/>
                <w:szCs w:val="28"/>
              </w:rPr>
            </w:pPr>
            <w:r>
              <w:rPr>
                <w:rFonts w:hint="eastAsia" w:ascii="宋体" w:hAnsi="宋体" w:cs="宋体"/>
                <w:b/>
                <w:bCs/>
                <w:kern w:val="0"/>
                <w:sz w:val="30"/>
                <w:szCs w:val="30"/>
              </w:rPr>
              <w:t>202</w:t>
            </w:r>
            <w:r>
              <w:rPr>
                <w:rFonts w:hint="eastAsia" w:ascii="宋体" w:hAnsi="宋体" w:cs="宋体"/>
                <w:b/>
                <w:bCs/>
                <w:kern w:val="0"/>
                <w:sz w:val="30"/>
                <w:szCs w:val="30"/>
                <w:lang w:val="en-US" w:eastAsia="zh-CN"/>
              </w:rPr>
              <w:t>3</w:t>
            </w:r>
            <w:r>
              <w:rPr>
                <w:rFonts w:hint="eastAsia" w:ascii="宋体" w:hAnsi="宋体" w:cs="宋体"/>
                <w:b/>
                <w:bCs/>
                <w:kern w:val="0"/>
                <w:sz w:val="30"/>
                <w:szCs w:val="30"/>
              </w:rPr>
              <w:t>年度</w:t>
            </w:r>
            <w:r>
              <w:rPr>
                <w:rFonts w:hint="eastAsia" w:ascii="宋体" w:hAnsi="宋体" w:cs="宋体"/>
                <w:b/>
                <w:bCs/>
                <w:kern w:val="0"/>
                <w:sz w:val="30"/>
                <w:szCs w:val="30"/>
                <w:lang w:val="en-US" w:eastAsia="zh-CN"/>
              </w:rPr>
              <w:t>区</w:t>
            </w:r>
            <w:r>
              <w:rPr>
                <w:rFonts w:hint="eastAsia" w:ascii="宋体" w:hAnsi="宋体" w:cs="宋体"/>
                <w:b/>
                <w:bCs/>
                <w:kern w:val="0"/>
                <w:sz w:val="30"/>
                <w:szCs w:val="30"/>
              </w:rPr>
              <w:t>直部门绩效自评情况统计表</w:t>
            </w:r>
          </w:p>
        </w:tc>
      </w:tr>
      <w:tr>
        <w:tblPrEx>
          <w:tblCellMar>
            <w:top w:w="0" w:type="dxa"/>
            <w:left w:w="108" w:type="dxa"/>
            <w:bottom w:w="0" w:type="dxa"/>
            <w:right w:w="108" w:type="dxa"/>
          </w:tblCellMar>
        </w:tblPrEx>
        <w:trPr>
          <w:trHeight w:val="450" w:hRule="atLeast"/>
        </w:trPr>
        <w:tc>
          <w:tcPr>
            <w:tcW w:w="5402" w:type="dxa"/>
            <w:gridSpan w:val="3"/>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填报单位：</w:t>
            </w:r>
            <w:r>
              <w:rPr>
                <w:rFonts w:hint="eastAsia" w:ascii="宋体" w:hAnsi="宋体" w:cs="宋体"/>
                <w:color w:val="000000"/>
                <w:kern w:val="0"/>
                <w:sz w:val="28"/>
                <w:szCs w:val="28"/>
                <w:lang w:eastAsia="zh-CN"/>
              </w:rPr>
              <w:t>政法委</w:t>
            </w:r>
            <w:r>
              <w:rPr>
                <w:rFonts w:hint="eastAsia" w:ascii="宋体" w:hAnsi="宋体" w:cs="宋体"/>
                <w:color w:val="000000"/>
                <w:kern w:val="0"/>
                <w:sz w:val="28"/>
                <w:szCs w:val="28"/>
              </w:rPr>
              <w:t xml:space="preserve"> </w:t>
            </w:r>
          </w:p>
        </w:tc>
        <w:tc>
          <w:tcPr>
            <w:tcW w:w="3021" w:type="dxa"/>
            <w:gridSpan w:val="3"/>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填报时间：</w:t>
            </w:r>
            <w:r>
              <w:rPr>
                <w:rFonts w:hint="eastAsia" w:ascii="宋体" w:hAnsi="宋体" w:cs="宋体"/>
                <w:color w:val="000000"/>
                <w:kern w:val="0"/>
                <w:sz w:val="28"/>
                <w:szCs w:val="28"/>
                <w:lang w:val="en-US" w:eastAsia="zh-CN"/>
              </w:rPr>
              <w:t>2024.4.1</w:t>
            </w:r>
          </w:p>
        </w:tc>
      </w:tr>
      <w:tr>
        <w:tblPrEx>
          <w:tblCellMar>
            <w:top w:w="0" w:type="dxa"/>
            <w:left w:w="108" w:type="dxa"/>
            <w:bottom w:w="0" w:type="dxa"/>
            <w:right w:w="108" w:type="dxa"/>
          </w:tblCellMar>
        </w:tblPrEx>
        <w:trPr>
          <w:trHeight w:val="40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统计内容</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应评价数</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已评价数</w:t>
            </w:r>
          </w:p>
        </w:tc>
      </w:tr>
      <w:tr>
        <w:tblPrEx>
          <w:tblCellMar>
            <w:top w:w="0" w:type="dxa"/>
            <w:left w:w="108" w:type="dxa"/>
            <w:bottom w:w="0" w:type="dxa"/>
            <w:right w:w="108" w:type="dxa"/>
          </w:tblCellMar>
        </w:tblPrEx>
        <w:trPr>
          <w:trHeight w:val="40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预算项目数量（个）</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5</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5</w:t>
            </w:r>
          </w:p>
        </w:tc>
      </w:tr>
      <w:tr>
        <w:tblPrEx>
          <w:tblCellMar>
            <w:top w:w="0" w:type="dxa"/>
            <w:left w:w="108" w:type="dxa"/>
            <w:bottom w:w="0" w:type="dxa"/>
            <w:right w:w="108" w:type="dxa"/>
          </w:tblCellMar>
        </w:tblPrEx>
        <w:trPr>
          <w:trHeight w:val="405" w:hRule="atLeast"/>
        </w:trPr>
        <w:tc>
          <w:tcPr>
            <w:tcW w:w="143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资金量（万元）</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其中：中央资金</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　</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 xml:space="preserve">     省级资金</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nil"/>
              <w:bottom w:val="single" w:color="000000"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 xml:space="preserve">      市级资金</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right"/>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区本级资金</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宋体" w:hAnsi="宋体" w:cs="宋体"/>
                <w:color w:val="000000"/>
                <w:kern w:val="0"/>
                <w:sz w:val="28"/>
                <w:szCs w:val="28"/>
                <w:lang w:val="en-US"/>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712.85</w:t>
            </w:r>
          </w:p>
        </w:tc>
        <w:tc>
          <w:tcPr>
            <w:tcW w:w="302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hint="default" w:ascii="宋体" w:hAnsi="宋体" w:cs="宋体"/>
                <w:color w:val="000000"/>
                <w:kern w:val="0"/>
                <w:sz w:val="28"/>
                <w:szCs w:val="28"/>
                <w:lang w:val="en-US"/>
              </w:rPr>
            </w:pPr>
            <w:r>
              <w:rPr>
                <w:rFonts w:hint="eastAsia" w:ascii="宋体" w:hAnsi="宋体" w:cs="宋体"/>
                <w:color w:val="000000"/>
                <w:kern w:val="0"/>
                <w:sz w:val="28"/>
                <w:szCs w:val="28"/>
                <w:lang w:val="en-US" w:eastAsia="zh-CN"/>
              </w:rPr>
              <w:t>712.85</w:t>
            </w:r>
          </w:p>
        </w:tc>
      </w:tr>
      <w:tr>
        <w:tblPrEx>
          <w:tblCellMar>
            <w:top w:w="0" w:type="dxa"/>
            <w:left w:w="108" w:type="dxa"/>
            <w:bottom w:w="0" w:type="dxa"/>
            <w:right w:w="108" w:type="dxa"/>
          </w:tblCellMar>
        </w:tblPrEx>
        <w:trPr>
          <w:trHeight w:val="405" w:hRule="atLeast"/>
        </w:trPr>
        <w:tc>
          <w:tcPr>
            <w:tcW w:w="370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评价指标</w:t>
            </w:r>
            <w:r>
              <w:rPr>
                <w:rFonts w:hint="eastAsia" w:ascii="宋体" w:hAnsi="宋体" w:cs="宋体"/>
                <w:bCs/>
                <w:color w:val="000000"/>
                <w:kern w:val="0"/>
                <w:sz w:val="28"/>
                <w:szCs w:val="28"/>
              </w:rPr>
              <w:br w:type="textWrapping"/>
            </w:r>
            <w:r>
              <w:rPr>
                <w:rFonts w:hint="eastAsia" w:ascii="宋体" w:hAnsi="宋体" w:cs="宋体"/>
                <w:bCs/>
                <w:color w:val="000000"/>
                <w:kern w:val="0"/>
                <w:sz w:val="28"/>
                <w:szCs w:val="28"/>
              </w:rPr>
              <w:t>（二级指标个数）</w:t>
            </w:r>
          </w:p>
        </w:tc>
        <w:tc>
          <w:tcPr>
            <w:tcW w:w="1701" w:type="dxa"/>
            <w:vMerge w:val="restart"/>
            <w:tcBorders>
              <w:top w:val="single" w:color="auto" w:sz="4" w:space="0"/>
              <w:left w:val="single" w:color="auto" w:sz="4" w:space="0"/>
              <w:bottom w:val="single" w:color="000000" w:sz="4" w:space="0"/>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其中：优</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5</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良</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中</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差</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226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7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92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3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8423" w:type="dxa"/>
            <w:gridSpan w:val="6"/>
            <w:tcBorders>
              <w:top w:val="nil"/>
              <w:left w:val="nil"/>
              <w:bottom w:val="nil"/>
              <w:right w:val="nil"/>
            </w:tcBorders>
            <w:shd w:val="clear" w:color="auto" w:fill="auto"/>
            <w:noWrap/>
            <w:vAlign w:val="to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注：上述数据需与《项目支出绩效自评表（202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年度）》相符。</w:t>
            </w:r>
          </w:p>
        </w:tc>
      </w:tr>
    </w:tbl>
    <w:p>
      <w:pPr>
        <w:numPr>
          <w:ilvl w:val="0"/>
          <w:numId w:val="0"/>
        </w:numPr>
        <w:adjustRightInd w:val="0"/>
        <w:snapToGrid w:val="0"/>
        <w:spacing w:line="580" w:lineRule="exact"/>
        <w:ind w:leftChars="200"/>
        <w:rPr>
          <w:rFonts w:hint="eastAsia" w:ascii="仿宋_GB2312" w:hAnsi="仿宋_GB2312" w:eastAsia="仿宋_GB2312" w:cs="仿宋_GB2312"/>
          <w:b/>
          <w:bCs/>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本部门2023年度XXX无收支及结转结余情况，故XXX表以空表列示。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rPr>
          <w:rFonts w:ascii="仿宋_GB2312" w:hAnsi="宋体" w:eastAsia="仿宋_GB2312" w:cs="ArialUnicodeMS"/>
          <w:sz w:val="32"/>
          <w:szCs w:val="32"/>
        </w:rPr>
      </w:pP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FD541FCD"/>
    <w:multiLevelType w:val="singleLevel"/>
    <w:tmpl w:val="FD541FCD"/>
    <w:lvl w:ilvl="0" w:tentative="0">
      <w:start w:val="1"/>
      <w:numFmt w:val="decimal"/>
      <w:suff w:val="nothing"/>
      <w:lvlText w:val="（%1）"/>
      <w:lvlJc w:val="left"/>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abstractNum w:abstractNumId="3">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8E53BB"/>
    <w:rsid w:val="01B752BF"/>
    <w:rsid w:val="02F2691F"/>
    <w:rsid w:val="05273E55"/>
    <w:rsid w:val="06EB1AB6"/>
    <w:rsid w:val="096A271F"/>
    <w:rsid w:val="099D6B31"/>
    <w:rsid w:val="09FD66D9"/>
    <w:rsid w:val="10B242CF"/>
    <w:rsid w:val="11F4604E"/>
    <w:rsid w:val="136D16FB"/>
    <w:rsid w:val="13AA21BF"/>
    <w:rsid w:val="194C6FD1"/>
    <w:rsid w:val="1A3D2C72"/>
    <w:rsid w:val="1BDD2527"/>
    <w:rsid w:val="216937C4"/>
    <w:rsid w:val="24EA6379"/>
    <w:rsid w:val="257C1CB8"/>
    <w:rsid w:val="298605CB"/>
    <w:rsid w:val="2AF459C2"/>
    <w:rsid w:val="2BF34E7C"/>
    <w:rsid w:val="2CEF036C"/>
    <w:rsid w:val="2DCE6315"/>
    <w:rsid w:val="32A31C4C"/>
    <w:rsid w:val="32B53CA7"/>
    <w:rsid w:val="339449AC"/>
    <w:rsid w:val="33CD2241"/>
    <w:rsid w:val="34967CFD"/>
    <w:rsid w:val="39C2416B"/>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4B76F62"/>
    <w:rsid w:val="561769D4"/>
    <w:rsid w:val="5728444A"/>
    <w:rsid w:val="58D844B0"/>
    <w:rsid w:val="5F4A1A8C"/>
    <w:rsid w:val="60075621"/>
    <w:rsid w:val="602001C2"/>
    <w:rsid w:val="60CE32E1"/>
    <w:rsid w:val="649A7590"/>
    <w:rsid w:val="64C00985"/>
    <w:rsid w:val="65225D26"/>
    <w:rsid w:val="65750DBE"/>
    <w:rsid w:val="65DB5CBA"/>
    <w:rsid w:val="674E6C15"/>
    <w:rsid w:val="67636EEB"/>
    <w:rsid w:val="697609B2"/>
    <w:rsid w:val="69F4671F"/>
    <w:rsid w:val="6B61426F"/>
    <w:rsid w:val="6BA53F12"/>
    <w:rsid w:val="6CBF282C"/>
    <w:rsid w:val="70E81256"/>
    <w:rsid w:val="73335BEE"/>
    <w:rsid w:val="734B3BFA"/>
    <w:rsid w:val="73753308"/>
    <w:rsid w:val="743444A4"/>
    <w:rsid w:val="74B61AFD"/>
    <w:rsid w:val="75475611"/>
    <w:rsid w:val="769A7068"/>
    <w:rsid w:val="76EC3F5E"/>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18"/>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5"/>
    <w:qFormat/>
    <w:uiPriority w:val="99"/>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sv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28</Pages>
  <Words>1811</Words>
  <Characters>10327</Characters>
  <Lines>86</Lines>
  <Paragraphs>24</Paragraphs>
  <TotalTime>0</TotalTime>
  <ScaleCrop>false</ScaleCrop>
  <LinksUpToDate>false</LinksUpToDate>
  <CharactersWithSpaces>12114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2024-10-28T02:04:05Z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UUID">
    <vt:lpwstr>v1.0_mb_S7ajbG3IpAnL1wSthNCxfw==</vt:lpwstr>
  </property>
  <property fmtid="{D5CDD505-2E9C-101B-9397-08002B2CF9AE}" pid="4" name="ICV">
    <vt:lpwstr>6388C71828994EE68F92E15B0CED978C</vt:lpwstr>
  </property>
</Properties>
</file>