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p>
    <w:p>
      <w:pPr>
        <w:pStyle w:val="4"/>
        <w:tabs>
          <w:tab w:val="right" w:leader="dot" w:pos="14562"/>
        </w:tabs>
      </w:pPr>
      <w:r>
        <w:fldChar w:fldCharType="begin"/>
      </w:r>
      <w:r>
        <w:instrText xml:space="preserve">TOC \o "4-4" \h \z \u</w:instrText>
      </w:r>
      <w:r>
        <w:fldChar w:fldCharType="separate"/>
      </w:r>
    </w:p>
    <w:p>
      <w:r>
        <w:fldChar w:fldCharType="end"/>
      </w:r>
      <w:r>
        <w:rPr>
          <w:rFonts w:hint="eastAsia" w:eastAsia="宋体"/>
          <w:lang w:eastAsia="zh-CN"/>
        </w:rPr>
        <w:t>一、</w:t>
      </w: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4"/>
        <w:tabs>
          <w:tab w:val="right" w:leader="dot" w:pos="14562"/>
        </w:tabs>
      </w:pPr>
      <w:r>
        <w:rPr>
          <w:rFonts w:hint="eastAsia"/>
          <w:lang w:val="en-US" w:eastAsia="zh-CN"/>
        </w:rPr>
        <w:t>1、</w:t>
      </w: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14562"/>
        </w:tabs>
      </w:pPr>
      <w:r>
        <w:rPr>
          <w:rFonts w:hint="eastAsia"/>
          <w:lang w:val="en-US" w:eastAsia="zh-CN"/>
        </w:rPr>
        <w:t>2、</w:t>
      </w: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4"/>
        <w:tabs>
          <w:tab w:val="right" w:leader="dot" w:pos="14562"/>
        </w:tabs>
      </w:pPr>
      <w:r>
        <w:rPr>
          <w:rFonts w:hint="eastAsia"/>
          <w:lang w:val="en-US" w:eastAsia="zh-CN"/>
        </w:rPr>
        <w:t>3、</w:t>
      </w: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4"/>
        <w:tabs>
          <w:tab w:val="right" w:leader="dot" w:pos="14562"/>
        </w:tabs>
      </w:pPr>
      <w:r>
        <w:rPr>
          <w:rFonts w:hint="eastAsia"/>
          <w:lang w:val="en-US" w:eastAsia="zh-CN"/>
        </w:rPr>
        <w:t>4、</w:t>
      </w: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4"/>
        <w:tabs>
          <w:tab w:val="right" w:leader="dot" w:pos="14562"/>
        </w:tabs>
      </w:pPr>
      <w:r>
        <w:rPr>
          <w:rFonts w:hint="eastAsia"/>
          <w:lang w:val="en-US" w:eastAsia="zh-CN"/>
        </w:rPr>
        <w:t>5、</w:t>
      </w: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4"/>
        <w:tabs>
          <w:tab w:val="right" w:leader="dot" w:pos="14562"/>
        </w:tabs>
      </w:pPr>
      <w:r>
        <w:rPr>
          <w:rFonts w:hint="eastAsia"/>
          <w:lang w:val="en-US" w:eastAsia="zh-CN"/>
        </w:rPr>
        <w:t>6、</w:t>
      </w: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4"/>
        <w:tabs>
          <w:tab w:val="right" w:leader="dot" w:pos="14562"/>
        </w:tabs>
      </w:pPr>
      <w:r>
        <w:rPr>
          <w:rFonts w:hint="eastAsia"/>
          <w:lang w:val="en-US" w:eastAsia="zh-CN"/>
        </w:rPr>
        <w:t>7、</w:t>
      </w: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4"/>
        <w:tabs>
          <w:tab w:val="right" w:leader="dot" w:pos="14562"/>
        </w:tabs>
      </w:pPr>
      <w:r>
        <w:rPr>
          <w:rFonts w:hint="eastAsia"/>
          <w:lang w:val="en-US" w:eastAsia="zh-CN"/>
        </w:rPr>
        <w:t>8、</w:t>
      </w: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4"/>
        <w:tabs>
          <w:tab w:val="right" w:leader="dot" w:pos="14562"/>
        </w:tabs>
      </w:pPr>
      <w:r>
        <w:rPr>
          <w:rFonts w:hint="eastAsia"/>
          <w:lang w:val="en-US" w:eastAsia="zh-CN"/>
        </w:rPr>
        <w:t>9、</w:t>
      </w: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二、单位</w:t>
      </w:r>
      <w:r>
        <w:rPr>
          <w:rFonts w:ascii="方正楷体_GBK" w:hAnsi="方正楷体_GBK" w:eastAsia="方正楷体_GBK" w:cs="方正楷体_GBK"/>
          <w:b/>
          <w:color w:val="000000"/>
          <w:sz w:val="28"/>
        </w:rPr>
        <w:t>预算信息公开情况说明</w:t>
      </w:r>
    </w:p>
    <w:p>
      <w:pPr>
        <w:pStyle w:val="4"/>
        <w:tabs>
          <w:tab w:val="right" w:leader="dot" w:pos="14562"/>
        </w:tabs>
        <w:rPr>
          <w:rFonts w:hint="default" w:eastAsia="方正仿宋_GBK"/>
          <w:lang w:val="en-US" w:eastAsia="zh-CN"/>
        </w:rPr>
      </w:pPr>
      <w:bookmarkStart w:id="0" w:name="_Toc_4_4_0000000001"/>
      <w:r>
        <w:fldChar w:fldCharType="begin" w:fldLock="1"/>
      </w:r>
      <w:r>
        <w:instrText xml:space="preserve">TOC \o "3-3" \h \z \u</w:instrText>
      </w:r>
      <w:r>
        <w:fldChar w:fldCharType="separate"/>
      </w:r>
      <w:r>
        <w:fldChar w:fldCharType="begin" w:fldLock="1"/>
      </w:r>
      <w:r>
        <w:instrText xml:space="preserve"> HYPERLINK \l "_Toc_3_3_0000000010" </w:instrText>
      </w:r>
      <w:r>
        <w:fldChar w:fldCharType="separate"/>
      </w:r>
      <w:r>
        <w:rPr>
          <w:rFonts w:hint="eastAsia"/>
          <w:lang w:val="en-US" w:eastAsia="zh-CN"/>
        </w:rPr>
        <w:t>1</w:t>
      </w:r>
      <w:r>
        <w:t>、</w:t>
      </w:r>
      <w:r>
        <w:rPr>
          <w:rFonts w:hint="eastAsia"/>
          <w:lang w:eastAsia="zh-CN"/>
        </w:rPr>
        <w:t>单位</w:t>
      </w:r>
      <w:r>
        <w:t>职责及机构设置情况</w:t>
      </w:r>
      <w:r>
        <w:tab/>
      </w:r>
      <w:r>
        <w:rPr>
          <w:rFonts w:hint="default"/>
          <w:lang w:val="en-US" w:eastAsia="zh-CN"/>
        </w:rPr>
        <w:t>1</w:t>
      </w:r>
      <w:r>
        <w:fldChar w:fldCharType="end"/>
      </w:r>
      <w:r>
        <w:rPr>
          <w:rFonts w:hint="default"/>
          <w:lang w:val="en-US"/>
        </w:rPr>
        <w:t>5</w:t>
      </w:r>
    </w:p>
    <w:p>
      <w:pPr>
        <w:pStyle w:val="4"/>
        <w:tabs>
          <w:tab w:val="right" w:leader="dot" w:pos="14562"/>
        </w:tabs>
        <w:rPr>
          <w:rFonts w:hint="default" w:eastAsia="方正仿宋_GBK"/>
          <w:lang w:val="en-US" w:eastAsia="zh-CN"/>
        </w:rPr>
      </w:pPr>
      <w:r>
        <w:fldChar w:fldCharType="begin" w:fldLock="1"/>
      </w:r>
      <w:r>
        <w:instrText xml:space="preserve"> HYPERLINK \l "_Toc_3_3_0000000011" </w:instrText>
      </w:r>
      <w:r>
        <w:fldChar w:fldCharType="separate"/>
      </w:r>
      <w:r>
        <w:rPr>
          <w:rFonts w:hint="eastAsia"/>
          <w:lang w:val="en-US" w:eastAsia="zh-CN"/>
        </w:rPr>
        <w:t>2</w:t>
      </w:r>
      <w:r>
        <w:t>、</w:t>
      </w:r>
      <w:r>
        <w:rPr>
          <w:rFonts w:hint="eastAsia"/>
          <w:lang w:eastAsia="zh-CN"/>
        </w:rPr>
        <w:t>单位</w:t>
      </w:r>
      <w:r>
        <w:t>预算安排的总体情况</w:t>
      </w:r>
      <w:r>
        <w:tab/>
      </w:r>
      <w:r>
        <w:rPr>
          <w:rFonts w:hint="default"/>
          <w:lang w:val="en-US" w:eastAsia="zh-CN"/>
        </w:rPr>
        <w:t>1</w:t>
      </w:r>
      <w:r>
        <w:fldChar w:fldCharType="end"/>
      </w:r>
      <w:r>
        <w:rPr>
          <w:rFonts w:hint="default"/>
          <w:lang w:val="en-US"/>
        </w:rPr>
        <w:t>6</w:t>
      </w:r>
    </w:p>
    <w:p>
      <w:pPr>
        <w:pStyle w:val="4"/>
        <w:tabs>
          <w:tab w:val="right" w:leader="dot" w:pos="14562"/>
        </w:tabs>
        <w:rPr>
          <w:rFonts w:hint="default" w:eastAsia="方正仿宋_GBK"/>
          <w:lang w:val="en-US" w:eastAsia="zh-CN"/>
        </w:rPr>
      </w:pPr>
      <w:r>
        <w:fldChar w:fldCharType="begin" w:fldLock="1"/>
      </w:r>
      <w:r>
        <w:instrText xml:space="preserve"> HYPERLINK \l "_Toc_3_3_0000000012" </w:instrText>
      </w:r>
      <w:r>
        <w:fldChar w:fldCharType="separate"/>
      </w:r>
      <w:r>
        <w:rPr>
          <w:rFonts w:hint="eastAsia"/>
          <w:lang w:val="en-US" w:eastAsia="zh-CN"/>
        </w:rPr>
        <w:t>3</w:t>
      </w:r>
      <w:r>
        <w:t>、机关运行经费安排情况</w:t>
      </w:r>
      <w:r>
        <w:tab/>
      </w:r>
      <w:r>
        <w:fldChar w:fldCharType="end"/>
      </w:r>
      <w:r>
        <w:rPr>
          <w:rFonts w:hint="default"/>
          <w:lang w:val="en-US"/>
        </w:rPr>
        <w:t>17</w:t>
      </w:r>
    </w:p>
    <w:p>
      <w:pPr>
        <w:pStyle w:val="4"/>
        <w:tabs>
          <w:tab w:val="right" w:leader="dot" w:pos="14562"/>
        </w:tabs>
        <w:rPr>
          <w:rFonts w:hint="default" w:eastAsia="方正仿宋_GBK"/>
          <w:lang w:val="en-US" w:eastAsia="zh-CN"/>
        </w:rPr>
      </w:pPr>
      <w:r>
        <w:fldChar w:fldCharType="begin" w:fldLock="1"/>
      </w:r>
      <w:r>
        <w:instrText xml:space="preserve"> HYPERLINK \l "_Toc_3_3_0000000013" </w:instrText>
      </w:r>
      <w:r>
        <w:fldChar w:fldCharType="separate"/>
      </w:r>
      <w:r>
        <w:rPr>
          <w:rFonts w:hint="eastAsia"/>
          <w:lang w:val="en-US" w:eastAsia="zh-CN"/>
        </w:rPr>
        <w:t>4</w:t>
      </w:r>
      <w:r>
        <w:t>、财政拨款“三公”经费预算情况及增减变化原因</w:t>
      </w:r>
      <w:r>
        <w:tab/>
      </w:r>
      <w:r>
        <w:rPr>
          <w:rFonts w:hint="default"/>
          <w:lang w:val="en-US" w:eastAsia="zh-CN"/>
        </w:rPr>
        <w:t>1</w:t>
      </w:r>
      <w:r>
        <w:fldChar w:fldCharType="end"/>
      </w:r>
      <w:r>
        <w:rPr>
          <w:rFonts w:hint="default"/>
          <w:lang w:val="en-US"/>
        </w:rPr>
        <w:t>8</w:t>
      </w:r>
    </w:p>
    <w:p>
      <w:pPr>
        <w:pStyle w:val="4"/>
        <w:tabs>
          <w:tab w:val="right" w:leader="dot" w:pos="14562"/>
        </w:tabs>
        <w:rPr>
          <w:rFonts w:hint="default" w:eastAsia="方正仿宋_GBK"/>
          <w:lang w:val="en-US" w:eastAsia="zh-CN"/>
        </w:rPr>
      </w:pPr>
      <w:r>
        <w:fldChar w:fldCharType="begin" w:fldLock="1"/>
      </w:r>
      <w:r>
        <w:instrText xml:space="preserve"> HYPERLINK \l "_Toc_3_3_0000000014" </w:instrText>
      </w:r>
      <w:r>
        <w:fldChar w:fldCharType="separate"/>
      </w:r>
      <w:r>
        <w:rPr>
          <w:rFonts w:hint="eastAsia"/>
          <w:lang w:val="en-US" w:eastAsia="zh-CN"/>
        </w:rPr>
        <w:t>5</w:t>
      </w:r>
      <w:r>
        <w:t>、</w:t>
      </w:r>
      <w:r>
        <w:rPr>
          <w:rFonts w:hint="eastAsia"/>
          <w:lang w:eastAsia="zh-CN"/>
        </w:rPr>
        <w:t>单位项目预算安排情况及绩效目标</w:t>
      </w:r>
      <w:r>
        <w:tab/>
      </w:r>
      <w:r>
        <w:rPr>
          <w:rFonts w:hint="default"/>
          <w:lang w:val="en-US" w:eastAsia="zh-CN"/>
        </w:rPr>
        <w:t>1</w:t>
      </w:r>
      <w:r>
        <w:fldChar w:fldCharType="end"/>
      </w:r>
      <w:r>
        <w:rPr>
          <w:rFonts w:hint="default"/>
          <w:lang w:val="en-US"/>
        </w:rPr>
        <w:t>8</w:t>
      </w:r>
    </w:p>
    <w:p>
      <w:pPr>
        <w:pStyle w:val="4"/>
        <w:tabs>
          <w:tab w:val="right" w:leader="dot" w:pos="14562"/>
        </w:tabs>
        <w:rPr>
          <w:rFonts w:hint="default" w:eastAsia="方正仿宋_GBK"/>
          <w:lang w:val="en-US" w:eastAsia="zh-CN"/>
        </w:rPr>
      </w:pPr>
      <w:r>
        <w:fldChar w:fldCharType="begin" w:fldLock="1"/>
      </w:r>
      <w:r>
        <w:instrText xml:space="preserve"> HYPERLINK \l "_Toc_3_3_0000000015" </w:instrText>
      </w:r>
      <w:r>
        <w:fldChar w:fldCharType="separate"/>
      </w:r>
      <w:r>
        <w:rPr>
          <w:rFonts w:hint="eastAsia"/>
          <w:lang w:val="en-US" w:eastAsia="zh-CN"/>
        </w:rPr>
        <w:t>6</w:t>
      </w:r>
      <w:r>
        <w:t>、政府采购预算情况</w:t>
      </w:r>
      <w:r>
        <w:tab/>
      </w:r>
      <w:r>
        <w:rPr>
          <w:rFonts w:hint="default"/>
          <w:lang w:val="en-US" w:eastAsia="zh-CN"/>
        </w:rPr>
        <w:t>3</w:t>
      </w:r>
      <w:r>
        <w:fldChar w:fldCharType="end"/>
      </w:r>
      <w:r>
        <w:rPr>
          <w:rFonts w:hint="default"/>
          <w:lang w:val="en-US"/>
        </w:rPr>
        <w:t>0</w:t>
      </w:r>
    </w:p>
    <w:p>
      <w:pPr>
        <w:pStyle w:val="4"/>
        <w:tabs>
          <w:tab w:val="right" w:leader="dot" w:pos="14562"/>
        </w:tabs>
        <w:rPr>
          <w:rFonts w:hint="default" w:eastAsia="方正仿宋_GBK"/>
          <w:lang w:val="en-US" w:eastAsia="zh-CN"/>
        </w:rPr>
      </w:pPr>
      <w:r>
        <w:fldChar w:fldCharType="begin" w:fldLock="1"/>
      </w:r>
      <w:r>
        <w:instrText xml:space="preserve"> HYPERLINK \l "_Toc_3_3_0000000016" </w:instrText>
      </w:r>
      <w:r>
        <w:fldChar w:fldCharType="separate"/>
      </w:r>
      <w:r>
        <w:rPr>
          <w:rFonts w:hint="eastAsia"/>
          <w:lang w:val="en-US" w:eastAsia="zh-CN"/>
        </w:rPr>
        <w:t>7</w:t>
      </w:r>
      <w:r>
        <w:t>、国有资产信息</w:t>
      </w:r>
      <w:r>
        <w:tab/>
      </w:r>
      <w:r>
        <w:rPr>
          <w:rFonts w:hint="default"/>
          <w:lang w:val="en-US" w:eastAsia="zh-CN"/>
        </w:rPr>
        <w:t>3</w:t>
      </w:r>
      <w:r>
        <w:fldChar w:fldCharType="end"/>
      </w:r>
      <w:r>
        <w:rPr>
          <w:rFonts w:hint="default"/>
          <w:lang w:val="en-US"/>
        </w:rPr>
        <w:t>0</w:t>
      </w:r>
    </w:p>
    <w:p>
      <w:pPr>
        <w:pStyle w:val="4"/>
        <w:tabs>
          <w:tab w:val="right" w:leader="dot" w:pos="14562"/>
        </w:tabs>
        <w:rPr>
          <w:rFonts w:hint="eastAsia" w:eastAsia="方正仿宋_GBK"/>
          <w:lang w:val="en-US" w:eastAsia="zh-CN"/>
        </w:rPr>
      </w:pPr>
      <w:r>
        <w:fldChar w:fldCharType="begin" w:fldLock="1"/>
      </w:r>
      <w:r>
        <w:instrText xml:space="preserve"> HYPERLINK \l "_Toc_3_3_0000000017" </w:instrText>
      </w:r>
      <w:r>
        <w:fldChar w:fldCharType="separate"/>
      </w:r>
      <w:r>
        <w:rPr>
          <w:rFonts w:hint="eastAsia"/>
          <w:lang w:val="en-US" w:eastAsia="zh-CN"/>
        </w:rPr>
        <w:t>8</w:t>
      </w:r>
      <w:r>
        <w:t>、名词解释</w:t>
      </w:r>
      <w:r>
        <w:tab/>
      </w:r>
      <w:r>
        <w:rPr>
          <w:rFonts w:hint="eastAsia"/>
          <w:lang w:val="en-US" w:eastAsia="zh-CN"/>
        </w:rPr>
        <w:t>3</w:t>
      </w:r>
      <w:r>
        <w:fldChar w:fldCharType="end"/>
      </w:r>
      <w:r>
        <w:rPr>
          <w:rFonts w:hint="default"/>
          <w:lang w:val="en-US" w:eastAsia="zh-CN"/>
        </w:rPr>
        <w:t>1</w:t>
      </w:r>
    </w:p>
    <w:p>
      <w:pPr>
        <w:pStyle w:val="4"/>
        <w:tabs>
          <w:tab w:val="right" w:leader="dot" w:pos="14562"/>
        </w:tabs>
        <w:rPr>
          <w:rFonts w:hint="eastAsia" w:eastAsia="方正仿宋_GBK"/>
          <w:lang w:val="en-US" w:eastAsia="zh-CN"/>
        </w:rPr>
      </w:pPr>
      <w:r>
        <w:fldChar w:fldCharType="begin" w:fldLock="1"/>
      </w:r>
      <w:r>
        <w:instrText xml:space="preserve"> HYPERLINK \l "_Toc_3_3_0000000018" </w:instrText>
      </w:r>
      <w:r>
        <w:fldChar w:fldCharType="separate"/>
      </w:r>
      <w:r>
        <w:rPr>
          <w:rFonts w:hint="eastAsia"/>
          <w:lang w:val="en-US" w:eastAsia="zh-CN"/>
        </w:rPr>
        <w:t>9</w:t>
      </w:r>
      <w:r>
        <w:t>、其他需要说明的事项</w:t>
      </w:r>
      <w:r>
        <w:tab/>
      </w:r>
      <w:r>
        <w:rPr>
          <w:rFonts w:hint="eastAsia"/>
          <w:lang w:val="en-US" w:eastAsia="zh-CN"/>
        </w:rPr>
        <w:t>3</w:t>
      </w:r>
      <w:r>
        <w:fldChar w:fldCharType="end"/>
      </w:r>
      <w:r>
        <w:rPr>
          <w:rFonts w:hint="default"/>
          <w:lang w:val="en-US" w:eastAsia="zh-CN"/>
        </w:rPr>
        <w:t>2</w:t>
      </w:r>
    </w:p>
    <w:p>
      <w:pPr>
        <w:sectPr>
          <w:pgSz w:w="16840" w:h="11900" w:orient="landscape"/>
          <w:pgMar w:top="1587" w:right="1134" w:bottom="1361" w:left="1134" w:header="720" w:footer="720" w:gutter="0"/>
          <w:pgNumType w:start="1"/>
          <w:cols w:space="720" w:num="1"/>
        </w:sectPr>
      </w:pPr>
      <w:r>
        <w:fldChar w:fldCharType="end"/>
      </w:r>
    </w:p>
    <w:p>
      <w:pPr>
        <w:jc w:val="center"/>
        <w:outlineLvl w:val="3"/>
      </w:pPr>
      <w:r>
        <w:rPr>
          <w:rFonts w:ascii="方正小标宋_GBK" w:hAnsi="方正小标宋_GBK" w:eastAsia="方正小标宋_GBK" w:cs="方正小标宋_GBK"/>
          <w:color w:val="000000"/>
          <w:sz w:val="44"/>
        </w:rPr>
        <w:t>一、唐山市开平区双桥镇人民政府本级收支预算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806001唐山市开平区双桥镇人民政府本级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966.91</w:t>
            </w:r>
          </w:p>
        </w:tc>
        <w:tc>
          <w:tcPr>
            <w:tcW w:w="4535" w:type="dxa"/>
            <w:vAlign w:val="center"/>
          </w:tcPr>
          <w:p>
            <w:pPr>
              <w:pStyle w:val="14"/>
            </w:pPr>
            <w:r>
              <w:t>一、一般公共服务支出</w:t>
            </w:r>
          </w:p>
        </w:tc>
        <w:tc>
          <w:tcPr>
            <w:tcW w:w="2126" w:type="dxa"/>
            <w:vAlign w:val="center"/>
          </w:tcPr>
          <w:p>
            <w:pPr>
              <w:pStyle w:val="13"/>
            </w:pPr>
            <w:r>
              <w:t>791.48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1037.99</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97.28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1037.99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53.86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2004.90</w:t>
            </w:r>
          </w:p>
        </w:tc>
        <w:tc>
          <w:tcPr>
            <w:tcW w:w="4535" w:type="dxa"/>
            <w:vAlign w:val="center"/>
          </w:tcPr>
          <w:p>
            <w:pPr>
              <w:pStyle w:val="16"/>
            </w:pPr>
            <w:r>
              <w:t>本年支出合计</w:t>
            </w:r>
          </w:p>
        </w:tc>
        <w:tc>
          <w:tcPr>
            <w:tcW w:w="2126" w:type="dxa"/>
            <w:vAlign w:val="center"/>
          </w:tcPr>
          <w:p>
            <w:pPr>
              <w:pStyle w:val="17"/>
            </w:pPr>
            <w:r>
              <w:t>2004.90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2004.90</w:t>
            </w:r>
          </w:p>
        </w:tc>
        <w:tc>
          <w:tcPr>
            <w:tcW w:w="4535" w:type="dxa"/>
            <w:vAlign w:val="center"/>
          </w:tcPr>
          <w:p>
            <w:pPr>
              <w:pStyle w:val="16"/>
            </w:pPr>
            <w:r>
              <w:t>支出总计</w:t>
            </w:r>
          </w:p>
        </w:tc>
        <w:tc>
          <w:tcPr>
            <w:tcW w:w="2126" w:type="dxa"/>
            <w:vAlign w:val="center"/>
          </w:tcPr>
          <w:p>
            <w:pPr>
              <w:pStyle w:val="17"/>
            </w:pPr>
            <w:r>
              <w:t>2004.90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806001唐山市开平区双桥镇人民政府本级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2004.90</w:t>
            </w:r>
          </w:p>
        </w:tc>
        <w:tc>
          <w:tcPr>
            <w:tcW w:w="1134" w:type="dxa"/>
            <w:vAlign w:val="center"/>
          </w:tcPr>
          <w:p>
            <w:pPr>
              <w:pStyle w:val="17"/>
            </w:pPr>
            <w:r>
              <w:t>2004.90</w:t>
            </w:r>
          </w:p>
        </w:tc>
        <w:tc>
          <w:tcPr>
            <w:tcW w:w="1134" w:type="dxa"/>
            <w:vAlign w:val="center"/>
          </w:tcPr>
          <w:p>
            <w:pPr>
              <w:pStyle w:val="17"/>
            </w:pPr>
            <w:r>
              <w:t>2004.90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791.48</w:t>
            </w:r>
          </w:p>
        </w:tc>
        <w:tc>
          <w:tcPr>
            <w:tcW w:w="1134" w:type="dxa"/>
            <w:vAlign w:val="center"/>
          </w:tcPr>
          <w:p>
            <w:pPr>
              <w:pStyle w:val="13"/>
            </w:pPr>
            <w:r>
              <w:t>791.48</w:t>
            </w:r>
          </w:p>
        </w:tc>
        <w:tc>
          <w:tcPr>
            <w:tcW w:w="1134" w:type="dxa"/>
            <w:vAlign w:val="center"/>
          </w:tcPr>
          <w:p>
            <w:pPr>
              <w:pStyle w:val="13"/>
            </w:pPr>
            <w:r>
              <w:t>791.48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791.48</w:t>
            </w:r>
          </w:p>
        </w:tc>
        <w:tc>
          <w:tcPr>
            <w:tcW w:w="1134" w:type="dxa"/>
            <w:vAlign w:val="center"/>
          </w:tcPr>
          <w:p>
            <w:pPr>
              <w:pStyle w:val="13"/>
            </w:pPr>
            <w:r>
              <w:t>791.48</w:t>
            </w:r>
          </w:p>
        </w:tc>
        <w:tc>
          <w:tcPr>
            <w:tcW w:w="1134" w:type="dxa"/>
            <w:vAlign w:val="center"/>
          </w:tcPr>
          <w:p>
            <w:pPr>
              <w:pStyle w:val="13"/>
            </w:pPr>
            <w:r>
              <w:t>791.48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791.48</w:t>
            </w:r>
          </w:p>
        </w:tc>
        <w:tc>
          <w:tcPr>
            <w:tcW w:w="1134" w:type="dxa"/>
            <w:vAlign w:val="center"/>
          </w:tcPr>
          <w:p>
            <w:pPr>
              <w:pStyle w:val="13"/>
            </w:pPr>
            <w:r>
              <w:t>791.48</w:t>
            </w:r>
          </w:p>
        </w:tc>
        <w:tc>
          <w:tcPr>
            <w:tcW w:w="1134" w:type="dxa"/>
            <w:vAlign w:val="center"/>
          </w:tcPr>
          <w:p>
            <w:pPr>
              <w:pStyle w:val="13"/>
            </w:pPr>
            <w:r>
              <w:t>791.48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24.29</w:t>
            </w:r>
          </w:p>
        </w:tc>
        <w:tc>
          <w:tcPr>
            <w:tcW w:w="1134" w:type="dxa"/>
            <w:vAlign w:val="center"/>
          </w:tcPr>
          <w:p>
            <w:pPr>
              <w:pStyle w:val="13"/>
            </w:pPr>
            <w:r>
              <w:t>24.29</w:t>
            </w:r>
          </w:p>
        </w:tc>
        <w:tc>
          <w:tcPr>
            <w:tcW w:w="1134" w:type="dxa"/>
            <w:vAlign w:val="center"/>
          </w:tcPr>
          <w:p>
            <w:pPr>
              <w:pStyle w:val="13"/>
            </w:pPr>
            <w:r>
              <w:t>24.29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24.29</w:t>
            </w:r>
          </w:p>
        </w:tc>
        <w:tc>
          <w:tcPr>
            <w:tcW w:w="1134" w:type="dxa"/>
            <w:vAlign w:val="center"/>
          </w:tcPr>
          <w:p>
            <w:pPr>
              <w:pStyle w:val="13"/>
            </w:pPr>
            <w:r>
              <w:t>24.29</w:t>
            </w:r>
          </w:p>
        </w:tc>
        <w:tc>
          <w:tcPr>
            <w:tcW w:w="1134" w:type="dxa"/>
            <w:vAlign w:val="center"/>
          </w:tcPr>
          <w:p>
            <w:pPr>
              <w:pStyle w:val="13"/>
            </w:pPr>
            <w:r>
              <w:t>24.29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24.29</w:t>
            </w:r>
          </w:p>
        </w:tc>
        <w:tc>
          <w:tcPr>
            <w:tcW w:w="1134" w:type="dxa"/>
            <w:vAlign w:val="center"/>
          </w:tcPr>
          <w:p>
            <w:pPr>
              <w:pStyle w:val="13"/>
            </w:pPr>
            <w:r>
              <w:t>24.29</w:t>
            </w:r>
          </w:p>
        </w:tc>
        <w:tc>
          <w:tcPr>
            <w:tcW w:w="1134" w:type="dxa"/>
            <w:vAlign w:val="center"/>
          </w:tcPr>
          <w:p>
            <w:pPr>
              <w:pStyle w:val="13"/>
            </w:pPr>
            <w:r>
              <w:t>24.29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97.28</w:t>
            </w:r>
          </w:p>
        </w:tc>
        <w:tc>
          <w:tcPr>
            <w:tcW w:w="1134" w:type="dxa"/>
            <w:vAlign w:val="center"/>
          </w:tcPr>
          <w:p>
            <w:pPr>
              <w:pStyle w:val="13"/>
            </w:pPr>
            <w:r>
              <w:t>97.28</w:t>
            </w:r>
          </w:p>
        </w:tc>
        <w:tc>
          <w:tcPr>
            <w:tcW w:w="1134" w:type="dxa"/>
            <w:vAlign w:val="center"/>
          </w:tcPr>
          <w:p>
            <w:pPr>
              <w:pStyle w:val="13"/>
            </w:pPr>
            <w:r>
              <w:t>97.28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97.28</w:t>
            </w:r>
          </w:p>
        </w:tc>
        <w:tc>
          <w:tcPr>
            <w:tcW w:w="1134" w:type="dxa"/>
            <w:vAlign w:val="center"/>
          </w:tcPr>
          <w:p>
            <w:pPr>
              <w:pStyle w:val="13"/>
            </w:pPr>
            <w:r>
              <w:t>97.28</w:t>
            </w:r>
          </w:p>
        </w:tc>
        <w:tc>
          <w:tcPr>
            <w:tcW w:w="1134" w:type="dxa"/>
            <w:vAlign w:val="center"/>
          </w:tcPr>
          <w:p>
            <w:pPr>
              <w:pStyle w:val="13"/>
            </w:pPr>
            <w:r>
              <w:t>97.28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97.28</w:t>
            </w:r>
          </w:p>
        </w:tc>
        <w:tc>
          <w:tcPr>
            <w:tcW w:w="1134" w:type="dxa"/>
            <w:vAlign w:val="center"/>
          </w:tcPr>
          <w:p>
            <w:pPr>
              <w:pStyle w:val="13"/>
            </w:pPr>
            <w:r>
              <w:t>97.28</w:t>
            </w:r>
          </w:p>
        </w:tc>
        <w:tc>
          <w:tcPr>
            <w:tcW w:w="1134" w:type="dxa"/>
            <w:vAlign w:val="center"/>
          </w:tcPr>
          <w:p>
            <w:pPr>
              <w:pStyle w:val="13"/>
            </w:pPr>
            <w:r>
              <w:t>97.28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1037.99</w:t>
            </w:r>
          </w:p>
        </w:tc>
        <w:tc>
          <w:tcPr>
            <w:tcW w:w="1134" w:type="dxa"/>
            <w:vAlign w:val="center"/>
          </w:tcPr>
          <w:p>
            <w:pPr>
              <w:pStyle w:val="13"/>
            </w:pPr>
            <w:r>
              <w:t>1037.99</w:t>
            </w:r>
          </w:p>
        </w:tc>
        <w:tc>
          <w:tcPr>
            <w:tcW w:w="1134" w:type="dxa"/>
            <w:vAlign w:val="center"/>
          </w:tcPr>
          <w:p>
            <w:pPr>
              <w:pStyle w:val="13"/>
            </w:pPr>
            <w:r>
              <w:t>1037.99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960.00</w:t>
            </w:r>
          </w:p>
        </w:tc>
        <w:tc>
          <w:tcPr>
            <w:tcW w:w="1134" w:type="dxa"/>
            <w:vAlign w:val="center"/>
          </w:tcPr>
          <w:p>
            <w:pPr>
              <w:pStyle w:val="13"/>
            </w:pPr>
            <w:r>
              <w:t>960.00</w:t>
            </w:r>
          </w:p>
        </w:tc>
        <w:tc>
          <w:tcPr>
            <w:tcW w:w="1134" w:type="dxa"/>
            <w:vAlign w:val="center"/>
          </w:tcPr>
          <w:p>
            <w:pPr>
              <w:pStyle w:val="13"/>
            </w:pPr>
            <w:r>
              <w:t>960.00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2120804</w:t>
            </w:r>
          </w:p>
        </w:tc>
        <w:tc>
          <w:tcPr>
            <w:tcW w:w="1559" w:type="dxa"/>
            <w:vAlign w:val="center"/>
          </w:tcPr>
          <w:p>
            <w:pPr>
              <w:pStyle w:val="14"/>
            </w:pPr>
            <w:r>
              <w:t>农村基础设施建设支出</w:t>
            </w:r>
          </w:p>
        </w:tc>
        <w:tc>
          <w:tcPr>
            <w:tcW w:w="1134" w:type="dxa"/>
            <w:vAlign w:val="center"/>
          </w:tcPr>
          <w:p>
            <w:pPr>
              <w:pStyle w:val="13"/>
            </w:pPr>
            <w:r>
              <w:t>960.00</w:t>
            </w:r>
          </w:p>
        </w:tc>
        <w:tc>
          <w:tcPr>
            <w:tcW w:w="1134" w:type="dxa"/>
            <w:vAlign w:val="center"/>
          </w:tcPr>
          <w:p>
            <w:pPr>
              <w:pStyle w:val="13"/>
            </w:pPr>
            <w:r>
              <w:t>960.00</w:t>
            </w:r>
          </w:p>
        </w:tc>
        <w:tc>
          <w:tcPr>
            <w:tcW w:w="1134" w:type="dxa"/>
            <w:vAlign w:val="center"/>
          </w:tcPr>
          <w:p>
            <w:pPr>
              <w:pStyle w:val="13"/>
            </w:pPr>
            <w:r>
              <w:t>960.00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21210</w:t>
            </w:r>
          </w:p>
        </w:tc>
        <w:tc>
          <w:tcPr>
            <w:tcW w:w="1559" w:type="dxa"/>
            <w:vAlign w:val="center"/>
          </w:tcPr>
          <w:p>
            <w:pPr>
              <w:pStyle w:val="14"/>
            </w:pPr>
            <w:r>
              <w:t>国有土地收益基金安排的支出</w:t>
            </w:r>
          </w:p>
        </w:tc>
        <w:tc>
          <w:tcPr>
            <w:tcW w:w="1134" w:type="dxa"/>
            <w:vAlign w:val="center"/>
          </w:tcPr>
          <w:p>
            <w:pPr>
              <w:pStyle w:val="13"/>
            </w:pPr>
            <w:r>
              <w:t>77.99</w:t>
            </w:r>
          </w:p>
        </w:tc>
        <w:tc>
          <w:tcPr>
            <w:tcW w:w="1134" w:type="dxa"/>
            <w:vAlign w:val="center"/>
          </w:tcPr>
          <w:p>
            <w:pPr>
              <w:pStyle w:val="13"/>
            </w:pPr>
            <w:r>
              <w:t>77.99</w:t>
            </w:r>
          </w:p>
        </w:tc>
        <w:tc>
          <w:tcPr>
            <w:tcW w:w="1134" w:type="dxa"/>
            <w:vAlign w:val="center"/>
          </w:tcPr>
          <w:p>
            <w:pPr>
              <w:pStyle w:val="13"/>
            </w:pPr>
            <w:r>
              <w:t>77.99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2121001</w:t>
            </w:r>
          </w:p>
        </w:tc>
        <w:tc>
          <w:tcPr>
            <w:tcW w:w="1559" w:type="dxa"/>
            <w:vAlign w:val="center"/>
          </w:tcPr>
          <w:p>
            <w:pPr>
              <w:pStyle w:val="14"/>
            </w:pPr>
            <w:r>
              <w:t>征地和拆迁补偿支出</w:t>
            </w:r>
          </w:p>
        </w:tc>
        <w:tc>
          <w:tcPr>
            <w:tcW w:w="1134" w:type="dxa"/>
            <w:vAlign w:val="center"/>
          </w:tcPr>
          <w:p>
            <w:pPr>
              <w:pStyle w:val="13"/>
            </w:pPr>
            <w:r>
              <w:t>77.99</w:t>
            </w:r>
          </w:p>
        </w:tc>
        <w:tc>
          <w:tcPr>
            <w:tcW w:w="1134" w:type="dxa"/>
            <w:vAlign w:val="center"/>
          </w:tcPr>
          <w:p>
            <w:pPr>
              <w:pStyle w:val="13"/>
            </w:pPr>
            <w:r>
              <w:t>77.99</w:t>
            </w:r>
          </w:p>
        </w:tc>
        <w:tc>
          <w:tcPr>
            <w:tcW w:w="1134" w:type="dxa"/>
            <w:vAlign w:val="center"/>
          </w:tcPr>
          <w:p>
            <w:pPr>
              <w:pStyle w:val="13"/>
            </w:pPr>
            <w:r>
              <w:t>77.99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53.86</w:t>
            </w:r>
          </w:p>
        </w:tc>
        <w:tc>
          <w:tcPr>
            <w:tcW w:w="1134" w:type="dxa"/>
            <w:vAlign w:val="center"/>
          </w:tcPr>
          <w:p>
            <w:pPr>
              <w:pStyle w:val="13"/>
            </w:pPr>
            <w:r>
              <w:t>53.86</w:t>
            </w:r>
          </w:p>
        </w:tc>
        <w:tc>
          <w:tcPr>
            <w:tcW w:w="1134" w:type="dxa"/>
            <w:vAlign w:val="center"/>
          </w:tcPr>
          <w:p>
            <w:pPr>
              <w:pStyle w:val="13"/>
            </w:pPr>
            <w:r>
              <w:t>53.86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53.86</w:t>
            </w:r>
          </w:p>
        </w:tc>
        <w:tc>
          <w:tcPr>
            <w:tcW w:w="1134" w:type="dxa"/>
            <w:vAlign w:val="center"/>
          </w:tcPr>
          <w:p>
            <w:pPr>
              <w:pStyle w:val="13"/>
            </w:pPr>
            <w:r>
              <w:t>53.86</w:t>
            </w:r>
          </w:p>
        </w:tc>
        <w:tc>
          <w:tcPr>
            <w:tcW w:w="1134" w:type="dxa"/>
            <w:vAlign w:val="center"/>
          </w:tcPr>
          <w:p>
            <w:pPr>
              <w:pStyle w:val="13"/>
            </w:pPr>
            <w:r>
              <w:t>53.86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53.86</w:t>
            </w:r>
          </w:p>
        </w:tc>
        <w:tc>
          <w:tcPr>
            <w:tcW w:w="1134" w:type="dxa"/>
            <w:vAlign w:val="center"/>
          </w:tcPr>
          <w:p>
            <w:pPr>
              <w:pStyle w:val="13"/>
            </w:pPr>
            <w:r>
              <w:t>53.86</w:t>
            </w:r>
          </w:p>
        </w:tc>
        <w:tc>
          <w:tcPr>
            <w:tcW w:w="1134" w:type="dxa"/>
            <w:vAlign w:val="center"/>
          </w:tcPr>
          <w:p>
            <w:pPr>
              <w:pStyle w:val="13"/>
            </w:pPr>
            <w:r>
              <w:t>53.86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806001唐山市开平区双桥镇人民政府本级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2004.90</w:t>
            </w:r>
          </w:p>
        </w:tc>
        <w:tc>
          <w:tcPr>
            <w:tcW w:w="1361" w:type="dxa"/>
            <w:vAlign w:val="center"/>
          </w:tcPr>
          <w:p>
            <w:pPr>
              <w:pStyle w:val="17"/>
            </w:pPr>
            <w:r>
              <w:t>951.96</w:t>
            </w:r>
          </w:p>
        </w:tc>
        <w:tc>
          <w:tcPr>
            <w:tcW w:w="1361" w:type="dxa"/>
            <w:vAlign w:val="center"/>
          </w:tcPr>
          <w:p>
            <w:pPr>
              <w:pStyle w:val="17"/>
            </w:pPr>
            <w:r>
              <w:t>1052.94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791.48</w:t>
            </w:r>
          </w:p>
        </w:tc>
        <w:tc>
          <w:tcPr>
            <w:tcW w:w="1361" w:type="dxa"/>
            <w:vAlign w:val="center"/>
          </w:tcPr>
          <w:p>
            <w:pPr>
              <w:pStyle w:val="13"/>
            </w:pPr>
            <w:r>
              <w:t>776.53</w:t>
            </w:r>
          </w:p>
        </w:tc>
        <w:tc>
          <w:tcPr>
            <w:tcW w:w="1361" w:type="dxa"/>
            <w:vAlign w:val="center"/>
          </w:tcPr>
          <w:p>
            <w:pPr>
              <w:pStyle w:val="13"/>
            </w:pPr>
            <w:r>
              <w:t>14.95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791.48</w:t>
            </w:r>
          </w:p>
        </w:tc>
        <w:tc>
          <w:tcPr>
            <w:tcW w:w="1361" w:type="dxa"/>
            <w:vAlign w:val="center"/>
          </w:tcPr>
          <w:p>
            <w:pPr>
              <w:pStyle w:val="13"/>
            </w:pPr>
            <w:r>
              <w:t>776.53</w:t>
            </w:r>
          </w:p>
        </w:tc>
        <w:tc>
          <w:tcPr>
            <w:tcW w:w="1361" w:type="dxa"/>
            <w:vAlign w:val="center"/>
          </w:tcPr>
          <w:p>
            <w:pPr>
              <w:pStyle w:val="13"/>
            </w:pPr>
            <w:r>
              <w:t>14.95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791.48</w:t>
            </w:r>
          </w:p>
        </w:tc>
        <w:tc>
          <w:tcPr>
            <w:tcW w:w="1361" w:type="dxa"/>
            <w:vAlign w:val="center"/>
          </w:tcPr>
          <w:p>
            <w:pPr>
              <w:pStyle w:val="13"/>
            </w:pPr>
            <w:r>
              <w:t>776.53</w:t>
            </w:r>
          </w:p>
        </w:tc>
        <w:tc>
          <w:tcPr>
            <w:tcW w:w="1361" w:type="dxa"/>
            <w:vAlign w:val="center"/>
          </w:tcPr>
          <w:p>
            <w:pPr>
              <w:pStyle w:val="13"/>
            </w:pPr>
            <w:r>
              <w:t>14.95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24.29</w:t>
            </w:r>
          </w:p>
        </w:tc>
        <w:tc>
          <w:tcPr>
            <w:tcW w:w="1361" w:type="dxa"/>
            <w:vAlign w:val="center"/>
          </w:tcPr>
          <w:p>
            <w:pPr>
              <w:pStyle w:val="13"/>
            </w:pPr>
            <w:r>
              <w:t>24.29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24.29</w:t>
            </w:r>
          </w:p>
        </w:tc>
        <w:tc>
          <w:tcPr>
            <w:tcW w:w="1361" w:type="dxa"/>
            <w:vAlign w:val="center"/>
          </w:tcPr>
          <w:p>
            <w:pPr>
              <w:pStyle w:val="13"/>
            </w:pPr>
            <w:r>
              <w:t>24.29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24.29</w:t>
            </w:r>
          </w:p>
        </w:tc>
        <w:tc>
          <w:tcPr>
            <w:tcW w:w="1361" w:type="dxa"/>
            <w:vAlign w:val="center"/>
          </w:tcPr>
          <w:p>
            <w:pPr>
              <w:pStyle w:val="13"/>
            </w:pPr>
            <w:r>
              <w:t>24.29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97.28</w:t>
            </w:r>
          </w:p>
        </w:tc>
        <w:tc>
          <w:tcPr>
            <w:tcW w:w="1361" w:type="dxa"/>
            <w:vAlign w:val="center"/>
          </w:tcPr>
          <w:p>
            <w:pPr>
              <w:pStyle w:val="13"/>
            </w:pPr>
            <w:r>
              <w:t>97.28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97.28</w:t>
            </w:r>
          </w:p>
        </w:tc>
        <w:tc>
          <w:tcPr>
            <w:tcW w:w="1361" w:type="dxa"/>
            <w:vAlign w:val="center"/>
          </w:tcPr>
          <w:p>
            <w:pPr>
              <w:pStyle w:val="13"/>
            </w:pPr>
            <w:r>
              <w:t>97.28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97.28</w:t>
            </w:r>
          </w:p>
        </w:tc>
        <w:tc>
          <w:tcPr>
            <w:tcW w:w="1361" w:type="dxa"/>
            <w:vAlign w:val="center"/>
          </w:tcPr>
          <w:p>
            <w:pPr>
              <w:pStyle w:val="13"/>
            </w:pPr>
            <w:r>
              <w:t>97.28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1037.99</w:t>
            </w:r>
          </w:p>
        </w:tc>
        <w:tc>
          <w:tcPr>
            <w:tcW w:w="1361" w:type="dxa"/>
            <w:vAlign w:val="center"/>
          </w:tcPr>
          <w:p>
            <w:pPr>
              <w:pStyle w:val="13"/>
            </w:pPr>
          </w:p>
        </w:tc>
        <w:tc>
          <w:tcPr>
            <w:tcW w:w="1361" w:type="dxa"/>
            <w:vAlign w:val="center"/>
          </w:tcPr>
          <w:p>
            <w:pPr>
              <w:pStyle w:val="13"/>
            </w:pPr>
            <w:r>
              <w:t>1037.99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960.00</w:t>
            </w:r>
          </w:p>
        </w:tc>
        <w:tc>
          <w:tcPr>
            <w:tcW w:w="1361" w:type="dxa"/>
            <w:vAlign w:val="center"/>
          </w:tcPr>
          <w:p>
            <w:pPr>
              <w:pStyle w:val="13"/>
            </w:pPr>
          </w:p>
        </w:tc>
        <w:tc>
          <w:tcPr>
            <w:tcW w:w="1361" w:type="dxa"/>
            <w:vAlign w:val="center"/>
          </w:tcPr>
          <w:p>
            <w:pPr>
              <w:pStyle w:val="13"/>
            </w:pPr>
            <w:r>
              <w:t>960.00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2120804</w:t>
            </w:r>
          </w:p>
        </w:tc>
        <w:tc>
          <w:tcPr>
            <w:tcW w:w="4535" w:type="dxa"/>
            <w:vAlign w:val="center"/>
          </w:tcPr>
          <w:p>
            <w:pPr>
              <w:pStyle w:val="14"/>
            </w:pPr>
            <w:r>
              <w:t>农村基础设施建设支出</w:t>
            </w:r>
          </w:p>
        </w:tc>
        <w:tc>
          <w:tcPr>
            <w:tcW w:w="1361" w:type="dxa"/>
            <w:vAlign w:val="center"/>
          </w:tcPr>
          <w:p>
            <w:pPr>
              <w:pStyle w:val="13"/>
            </w:pPr>
            <w:r>
              <w:t>960.00</w:t>
            </w:r>
          </w:p>
        </w:tc>
        <w:tc>
          <w:tcPr>
            <w:tcW w:w="1361" w:type="dxa"/>
            <w:vAlign w:val="center"/>
          </w:tcPr>
          <w:p>
            <w:pPr>
              <w:pStyle w:val="13"/>
            </w:pPr>
          </w:p>
        </w:tc>
        <w:tc>
          <w:tcPr>
            <w:tcW w:w="1361" w:type="dxa"/>
            <w:vAlign w:val="center"/>
          </w:tcPr>
          <w:p>
            <w:pPr>
              <w:pStyle w:val="13"/>
            </w:pPr>
            <w:r>
              <w:t>960.00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21210</w:t>
            </w:r>
          </w:p>
        </w:tc>
        <w:tc>
          <w:tcPr>
            <w:tcW w:w="4535" w:type="dxa"/>
            <w:vAlign w:val="center"/>
          </w:tcPr>
          <w:p>
            <w:pPr>
              <w:pStyle w:val="14"/>
            </w:pPr>
            <w:r>
              <w:t>国有土地收益基金安排的支出</w:t>
            </w:r>
          </w:p>
        </w:tc>
        <w:tc>
          <w:tcPr>
            <w:tcW w:w="1361" w:type="dxa"/>
            <w:vAlign w:val="center"/>
          </w:tcPr>
          <w:p>
            <w:pPr>
              <w:pStyle w:val="13"/>
            </w:pPr>
            <w:r>
              <w:t>77.99</w:t>
            </w:r>
          </w:p>
        </w:tc>
        <w:tc>
          <w:tcPr>
            <w:tcW w:w="1361" w:type="dxa"/>
            <w:vAlign w:val="center"/>
          </w:tcPr>
          <w:p>
            <w:pPr>
              <w:pStyle w:val="13"/>
            </w:pPr>
          </w:p>
        </w:tc>
        <w:tc>
          <w:tcPr>
            <w:tcW w:w="1361" w:type="dxa"/>
            <w:vAlign w:val="center"/>
          </w:tcPr>
          <w:p>
            <w:pPr>
              <w:pStyle w:val="13"/>
            </w:pPr>
            <w:r>
              <w:t>77.99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2121001</w:t>
            </w:r>
          </w:p>
        </w:tc>
        <w:tc>
          <w:tcPr>
            <w:tcW w:w="4535" w:type="dxa"/>
            <w:vAlign w:val="center"/>
          </w:tcPr>
          <w:p>
            <w:pPr>
              <w:pStyle w:val="14"/>
            </w:pPr>
            <w:r>
              <w:t>征地和拆迁补偿支出</w:t>
            </w:r>
          </w:p>
        </w:tc>
        <w:tc>
          <w:tcPr>
            <w:tcW w:w="1361" w:type="dxa"/>
            <w:vAlign w:val="center"/>
          </w:tcPr>
          <w:p>
            <w:pPr>
              <w:pStyle w:val="13"/>
            </w:pPr>
            <w:r>
              <w:t>77.99</w:t>
            </w:r>
          </w:p>
        </w:tc>
        <w:tc>
          <w:tcPr>
            <w:tcW w:w="1361" w:type="dxa"/>
            <w:vAlign w:val="center"/>
          </w:tcPr>
          <w:p>
            <w:pPr>
              <w:pStyle w:val="13"/>
            </w:pPr>
          </w:p>
        </w:tc>
        <w:tc>
          <w:tcPr>
            <w:tcW w:w="1361" w:type="dxa"/>
            <w:vAlign w:val="center"/>
          </w:tcPr>
          <w:p>
            <w:pPr>
              <w:pStyle w:val="13"/>
            </w:pPr>
            <w:r>
              <w:t>77.99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53.86</w:t>
            </w:r>
          </w:p>
        </w:tc>
        <w:tc>
          <w:tcPr>
            <w:tcW w:w="1361" w:type="dxa"/>
            <w:vAlign w:val="center"/>
          </w:tcPr>
          <w:p>
            <w:pPr>
              <w:pStyle w:val="13"/>
            </w:pPr>
            <w:r>
              <w:t>53.86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53.86</w:t>
            </w:r>
          </w:p>
        </w:tc>
        <w:tc>
          <w:tcPr>
            <w:tcW w:w="1361" w:type="dxa"/>
            <w:vAlign w:val="center"/>
          </w:tcPr>
          <w:p>
            <w:pPr>
              <w:pStyle w:val="13"/>
            </w:pPr>
            <w:r>
              <w:t>53.86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53.86</w:t>
            </w:r>
          </w:p>
        </w:tc>
        <w:tc>
          <w:tcPr>
            <w:tcW w:w="1361" w:type="dxa"/>
            <w:vAlign w:val="center"/>
          </w:tcPr>
          <w:p>
            <w:pPr>
              <w:pStyle w:val="13"/>
            </w:pPr>
            <w:r>
              <w:t>53.86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806001唐山市开平区双桥镇人民政府本级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966.91</w:t>
            </w:r>
          </w:p>
        </w:tc>
        <w:tc>
          <w:tcPr>
            <w:tcW w:w="3402" w:type="dxa"/>
            <w:vAlign w:val="center"/>
          </w:tcPr>
          <w:p>
            <w:pPr>
              <w:pStyle w:val="14"/>
            </w:pPr>
            <w:r>
              <w:t>一、一般公共服务支出</w:t>
            </w:r>
          </w:p>
        </w:tc>
        <w:tc>
          <w:tcPr>
            <w:tcW w:w="1474" w:type="dxa"/>
            <w:vAlign w:val="center"/>
          </w:tcPr>
          <w:p>
            <w:pPr>
              <w:pStyle w:val="13"/>
            </w:pPr>
            <w:r>
              <w:t>791.48</w:t>
            </w:r>
          </w:p>
        </w:tc>
        <w:tc>
          <w:tcPr>
            <w:tcW w:w="1474" w:type="dxa"/>
            <w:vAlign w:val="center"/>
          </w:tcPr>
          <w:p>
            <w:pPr>
              <w:pStyle w:val="13"/>
            </w:pPr>
            <w:r>
              <w:t>791.48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1037.99</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24.29</w:t>
            </w:r>
          </w:p>
        </w:tc>
        <w:tc>
          <w:tcPr>
            <w:tcW w:w="1474" w:type="dxa"/>
            <w:vAlign w:val="center"/>
          </w:tcPr>
          <w:p>
            <w:pPr>
              <w:pStyle w:val="13"/>
            </w:pPr>
            <w:r>
              <w:t>24.29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97.28</w:t>
            </w:r>
          </w:p>
        </w:tc>
        <w:tc>
          <w:tcPr>
            <w:tcW w:w="1474" w:type="dxa"/>
            <w:vAlign w:val="center"/>
          </w:tcPr>
          <w:p>
            <w:pPr>
              <w:pStyle w:val="13"/>
            </w:pPr>
            <w:r>
              <w:t>97.28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1037.99</w:t>
            </w:r>
          </w:p>
        </w:tc>
        <w:tc>
          <w:tcPr>
            <w:tcW w:w="1474" w:type="dxa"/>
            <w:vAlign w:val="center"/>
          </w:tcPr>
          <w:p>
            <w:pPr>
              <w:pStyle w:val="13"/>
            </w:pPr>
          </w:p>
        </w:tc>
        <w:tc>
          <w:tcPr>
            <w:tcW w:w="1474" w:type="dxa"/>
            <w:vAlign w:val="center"/>
          </w:tcPr>
          <w:p>
            <w:pPr>
              <w:pStyle w:val="13"/>
            </w:pPr>
            <w:r>
              <w:t>1037.99</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53.86</w:t>
            </w:r>
          </w:p>
        </w:tc>
        <w:tc>
          <w:tcPr>
            <w:tcW w:w="1474" w:type="dxa"/>
            <w:vAlign w:val="center"/>
          </w:tcPr>
          <w:p>
            <w:pPr>
              <w:pStyle w:val="13"/>
            </w:pPr>
            <w:r>
              <w:t>53.86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2004.90</w:t>
            </w:r>
          </w:p>
        </w:tc>
        <w:tc>
          <w:tcPr>
            <w:tcW w:w="3402" w:type="dxa"/>
            <w:vAlign w:val="center"/>
          </w:tcPr>
          <w:p>
            <w:pPr>
              <w:pStyle w:val="16"/>
            </w:pPr>
            <w:r>
              <w:t>本年支出合计</w:t>
            </w:r>
          </w:p>
        </w:tc>
        <w:tc>
          <w:tcPr>
            <w:tcW w:w="1474" w:type="dxa"/>
            <w:vAlign w:val="center"/>
          </w:tcPr>
          <w:p>
            <w:pPr>
              <w:pStyle w:val="17"/>
            </w:pPr>
            <w:r>
              <w:t>2004.90</w:t>
            </w:r>
          </w:p>
        </w:tc>
        <w:tc>
          <w:tcPr>
            <w:tcW w:w="1474" w:type="dxa"/>
            <w:vAlign w:val="center"/>
          </w:tcPr>
          <w:p>
            <w:pPr>
              <w:pStyle w:val="17"/>
            </w:pPr>
            <w:r>
              <w:t>966.91</w:t>
            </w:r>
          </w:p>
        </w:tc>
        <w:tc>
          <w:tcPr>
            <w:tcW w:w="1474" w:type="dxa"/>
            <w:vAlign w:val="center"/>
          </w:tcPr>
          <w:p>
            <w:pPr>
              <w:pStyle w:val="17"/>
            </w:pPr>
            <w:r>
              <w:t>1037.99</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2004.90</w:t>
            </w:r>
          </w:p>
        </w:tc>
        <w:tc>
          <w:tcPr>
            <w:tcW w:w="3402" w:type="dxa"/>
            <w:vAlign w:val="center"/>
          </w:tcPr>
          <w:p>
            <w:pPr>
              <w:pStyle w:val="16"/>
            </w:pPr>
            <w:r>
              <w:t>支出总计</w:t>
            </w:r>
          </w:p>
        </w:tc>
        <w:tc>
          <w:tcPr>
            <w:tcW w:w="1474" w:type="dxa"/>
            <w:vAlign w:val="center"/>
          </w:tcPr>
          <w:p>
            <w:pPr>
              <w:pStyle w:val="17"/>
            </w:pPr>
            <w:r>
              <w:t>2004.90</w:t>
            </w:r>
          </w:p>
        </w:tc>
        <w:tc>
          <w:tcPr>
            <w:tcW w:w="1474" w:type="dxa"/>
            <w:vAlign w:val="center"/>
          </w:tcPr>
          <w:p>
            <w:pPr>
              <w:pStyle w:val="17"/>
            </w:pPr>
            <w:r>
              <w:t>966.91</w:t>
            </w:r>
          </w:p>
        </w:tc>
        <w:tc>
          <w:tcPr>
            <w:tcW w:w="1474" w:type="dxa"/>
            <w:vAlign w:val="center"/>
          </w:tcPr>
          <w:p>
            <w:pPr>
              <w:pStyle w:val="17"/>
            </w:pPr>
            <w:r>
              <w:t>1037.99</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806001唐山市开平区双桥镇人民政府本级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966.91</w:t>
            </w:r>
          </w:p>
        </w:tc>
        <w:tc>
          <w:tcPr>
            <w:tcW w:w="2551" w:type="dxa"/>
            <w:vAlign w:val="center"/>
          </w:tcPr>
          <w:p>
            <w:pPr>
              <w:pStyle w:val="17"/>
            </w:pPr>
            <w:r>
              <w:t>951.96</w:t>
            </w:r>
          </w:p>
        </w:tc>
        <w:tc>
          <w:tcPr>
            <w:tcW w:w="2551" w:type="dxa"/>
            <w:vAlign w:val="center"/>
          </w:tcPr>
          <w:p>
            <w:pPr>
              <w:pStyle w:val="17"/>
            </w:pPr>
            <w:r>
              <w:t>14.95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791.48</w:t>
            </w:r>
          </w:p>
        </w:tc>
        <w:tc>
          <w:tcPr>
            <w:tcW w:w="2551" w:type="dxa"/>
            <w:vAlign w:val="center"/>
          </w:tcPr>
          <w:p>
            <w:pPr>
              <w:pStyle w:val="13"/>
            </w:pPr>
            <w:r>
              <w:t>776.53</w:t>
            </w:r>
          </w:p>
        </w:tc>
        <w:tc>
          <w:tcPr>
            <w:tcW w:w="2551" w:type="dxa"/>
            <w:vAlign w:val="center"/>
          </w:tcPr>
          <w:p>
            <w:pPr>
              <w:pStyle w:val="13"/>
            </w:pPr>
            <w:r>
              <w:t>14.95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791.48</w:t>
            </w:r>
          </w:p>
        </w:tc>
        <w:tc>
          <w:tcPr>
            <w:tcW w:w="2551" w:type="dxa"/>
            <w:vAlign w:val="center"/>
          </w:tcPr>
          <w:p>
            <w:pPr>
              <w:pStyle w:val="13"/>
            </w:pPr>
            <w:r>
              <w:t>776.53</w:t>
            </w:r>
          </w:p>
        </w:tc>
        <w:tc>
          <w:tcPr>
            <w:tcW w:w="2551" w:type="dxa"/>
            <w:vAlign w:val="center"/>
          </w:tcPr>
          <w:p>
            <w:pPr>
              <w:pStyle w:val="13"/>
            </w:pPr>
            <w:r>
              <w:t>14.95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791.48</w:t>
            </w:r>
          </w:p>
        </w:tc>
        <w:tc>
          <w:tcPr>
            <w:tcW w:w="2551" w:type="dxa"/>
            <w:vAlign w:val="center"/>
          </w:tcPr>
          <w:p>
            <w:pPr>
              <w:pStyle w:val="13"/>
            </w:pPr>
            <w:r>
              <w:t>776.53</w:t>
            </w:r>
          </w:p>
        </w:tc>
        <w:tc>
          <w:tcPr>
            <w:tcW w:w="2551" w:type="dxa"/>
            <w:vAlign w:val="center"/>
          </w:tcPr>
          <w:p>
            <w:pPr>
              <w:pStyle w:val="13"/>
            </w:pPr>
            <w:r>
              <w:t>14.95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24.29</w:t>
            </w:r>
          </w:p>
        </w:tc>
        <w:tc>
          <w:tcPr>
            <w:tcW w:w="2551" w:type="dxa"/>
            <w:vAlign w:val="center"/>
          </w:tcPr>
          <w:p>
            <w:pPr>
              <w:pStyle w:val="13"/>
            </w:pPr>
            <w:r>
              <w:t>24.29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24.29</w:t>
            </w:r>
          </w:p>
        </w:tc>
        <w:tc>
          <w:tcPr>
            <w:tcW w:w="2551" w:type="dxa"/>
            <w:vAlign w:val="center"/>
          </w:tcPr>
          <w:p>
            <w:pPr>
              <w:pStyle w:val="13"/>
            </w:pPr>
            <w:r>
              <w:t>24.29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24.29</w:t>
            </w:r>
          </w:p>
        </w:tc>
        <w:tc>
          <w:tcPr>
            <w:tcW w:w="2551" w:type="dxa"/>
            <w:vAlign w:val="center"/>
          </w:tcPr>
          <w:p>
            <w:pPr>
              <w:pStyle w:val="13"/>
            </w:pPr>
            <w:r>
              <w:t>24.29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97.28</w:t>
            </w:r>
          </w:p>
        </w:tc>
        <w:tc>
          <w:tcPr>
            <w:tcW w:w="2551" w:type="dxa"/>
            <w:vAlign w:val="center"/>
          </w:tcPr>
          <w:p>
            <w:pPr>
              <w:pStyle w:val="13"/>
            </w:pPr>
            <w:r>
              <w:t>97.28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97.28</w:t>
            </w:r>
          </w:p>
        </w:tc>
        <w:tc>
          <w:tcPr>
            <w:tcW w:w="2551" w:type="dxa"/>
            <w:vAlign w:val="center"/>
          </w:tcPr>
          <w:p>
            <w:pPr>
              <w:pStyle w:val="13"/>
            </w:pPr>
            <w:r>
              <w:t>97.28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97.28</w:t>
            </w:r>
          </w:p>
        </w:tc>
        <w:tc>
          <w:tcPr>
            <w:tcW w:w="2551" w:type="dxa"/>
            <w:vAlign w:val="center"/>
          </w:tcPr>
          <w:p>
            <w:pPr>
              <w:pStyle w:val="13"/>
            </w:pPr>
            <w:r>
              <w:t>97.28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53.86</w:t>
            </w:r>
          </w:p>
        </w:tc>
        <w:tc>
          <w:tcPr>
            <w:tcW w:w="2551" w:type="dxa"/>
            <w:vAlign w:val="center"/>
          </w:tcPr>
          <w:p>
            <w:pPr>
              <w:pStyle w:val="13"/>
            </w:pPr>
            <w:r>
              <w:t>53.86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53.86</w:t>
            </w:r>
          </w:p>
        </w:tc>
        <w:tc>
          <w:tcPr>
            <w:tcW w:w="2551" w:type="dxa"/>
            <w:vAlign w:val="center"/>
          </w:tcPr>
          <w:p>
            <w:pPr>
              <w:pStyle w:val="13"/>
            </w:pPr>
            <w:r>
              <w:t>53.86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53.86</w:t>
            </w:r>
          </w:p>
        </w:tc>
        <w:tc>
          <w:tcPr>
            <w:tcW w:w="2551" w:type="dxa"/>
            <w:vAlign w:val="center"/>
          </w:tcPr>
          <w:p>
            <w:pPr>
              <w:pStyle w:val="13"/>
            </w:pPr>
            <w:r>
              <w:t>53.86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806001唐山市开平区双桥镇人民政府本级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w:t>
            </w:r>
            <w:r>
              <w:rPr>
                <w:rFonts w:hint="eastAsia"/>
                <w:lang w:eastAsia="zh-CN"/>
              </w:rPr>
              <w:t>单位</w:t>
            </w:r>
            <w:r>
              <w:t>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951.96</w:t>
            </w:r>
          </w:p>
        </w:tc>
        <w:tc>
          <w:tcPr>
            <w:tcW w:w="2551" w:type="dxa"/>
            <w:vAlign w:val="center"/>
          </w:tcPr>
          <w:p>
            <w:pPr>
              <w:pStyle w:val="17"/>
            </w:pPr>
            <w:r>
              <w:t>886.29</w:t>
            </w:r>
          </w:p>
        </w:tc>
        <w:tc>
          <w:tcPr>
            <w:tcW w:w="2551" w:type="dxa"/>
            <w:vAlign w:val="center"/>
          </w:tcPr>
          <w:p>
            <w:pPr>
              <w:pStyle w:val="17"/>
            </w:pPr>
            <w:r>
              <w:t>65.67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859.64</w:t>
            </w:r>
          </w:p>
        </w:tc>
        <w:tc>
          <w:tcPr>
            <w:tcW w:w="2551" w:type="dxa"/>
            <w:vAlign w:val="center"/>
          </w:tcPr>
          <w:p>
            <w:pPr>
              <w:pStyle w:val="13"/>
            </w:pPr>
            <w:r>
              <w:t>859.64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175.83</w:t>
            </w:r>
          </w:p>
        </w:tc>
        <w:tc>
          <w:tcPr>
            <w:tcW w:w="2551" w:type="dxa"/>
            <w:vAlign w:val="center"/>
          </w:tcPr>
          <w:p>
            <w:pPr>
              <w:pStyle w:val="13"/>
            </w:pPr>
            <w:r>
              <w:t>175.83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172.60</w:t>
            </w:r>
          </w:p>
        </w:tc>
        <w:tc>
          <w:tcPr>
            <w:tcW w:w="2551" w:type="dxa"/>
            <w:vAlign w:val="center"/>
          </w:tcPr>
          <w:p>
            <w:pPr>
              <w:pStyle w:val="13"/>
            </w:pPr>
            <w:r>
              <w:t>172.60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38.37</w:t>
            </w:r>
          </w:p>
        </w:tc>
        <w:tc>
          <w:tcPr>
            <w:tcW w:w="2551" w:type="dxa"/>
            <w:vAlign w:val="center"/>
          </w:tcPr>
          <w:p>
            <w:pPr>
              <w:pStyle w:val="13"/>
            </w:pPr>
            <w:r>
              <w:t>38.37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88.13</w:t>
            </w:r>
          </w:p>
        </w:tc>
        <w:tc>
          <w:tcPr>
            <w:tcW w:w="2551" w:type="dxa"/>
            <w:vAlign w:val="center"/>
          </w:tcPr>
          <w:p>
            <w:pPr>
              <w:pStyle w:val="13"/>
            </w:pPr>
            <w:r>
              <w:t>88.13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58.75</w:t>
            </w:r>
          </w:p>
        </w:tc>
        <w:tc>
          <w:tcPr>
            <w:tcW w:w="2551" w:type="dxa"/>
            <w:vAlign w:val="center"/>
          </w:tcPr>
          <w:p>
            <w:pPr>
              <w:pStyle w:val="13"/>
            </w:pPr>
            <w:r>
              <w:t>58.75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69.43</w:t>
            </w:r>
          </w:p>
        </w:tc>
        <w:tc>
          <w:tcPr>
            <w:tcW w:w="2551" w:type="dxa"/>
            <w:vAlign w:val="center"/>
          </w:tcPr>
          <w:p>
            <w:pPr>
              <w:pStyle w:val="13"/>
            </w:pPr>
            <w:r>
              <w:t>69.43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29.71</w:t>
            </w:r>
          </w:p>
        </w:tc>
        <w:tc>
          <w:tcPr>
            <w:tcW w:w="2551" w:type="dxa"/>
            <w:vAlign w:val="center"/>
          </w:tcPr>
          <w:p>
            <w:pPr>
              <w:pStyle w:val="13"/>
            </w:pPr>
            <w:r>
              <w:t>29.71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45.57</w:t>
            </w:r>
          </w:p>
        </w:tc>
        <w:tc>
          <w:tcPr>
            <w:tcW w:w="2551" w:type="dxa"/>
            <w:vAlign w:val="center"/>
          </w:tcPr>
          <w:p>
            <w:pPr>
              <w:pStyle w:val="13"/>
            </w:pPr>
            <w:r>
              <w:t>45.57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181.25</w:t>
            </w:r>
          </w:p>
        </w:tc>
        <w:tc>
          <w:tcPr>
            <w:tcW w:w="2551" w:type="dxa"/>
            <w:vAlign w:val="center"/>
          </w:tcPr>
          <w:p>
            <w:pPr>
              <w:pStyle w:val="13"/>
            </w:pPr>
            <w:r>
              <w:t>181.25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65.67</w:t>
            </w:r>
          </w:p>
        </w:tc>
        <w:tc>
          <w:tcPr>
            <w:tcW w:w="2551" w:type="dxa"/>
            <w:vAlign w:val="center"/>
          </w:tcPr>
          <w:p>
            <w:pPr>
              <w:pStyle w:val="13"/>
            </w:pPr>
          </w:p>
        </w:tc>
        <w:tc>
          <w:tcPr>
            <w:tcW w:w="2551" w:type="dxa"/>
            <w:vAlign w:val="center"/>
          </w:tcPr>
          <w:p>
            <w:pPr>
              <w:pStyle w:val="13"/>
            </w:pPr>
            <w:r>
              <w:t>65.67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14.10</w:t>
            </w:r>
          </w:p>
        </w:tc>
        <w:tc>
          <w:tcPr>
            <w:tcW w:w="2551" w:type="dxa"/>
            <w:vAlign w:val="center"/>
          </w:tcPr>
          <w:p>
            <w:pPr>
              <w:pStyle w:val="13"/>
            </w:pPr>
          </w:p>
        </w:tc>
        <w:tc>
          <w:tcPr>
            <w:tcW w:w="2551" w:type="dxa"/>
            <w:vAlign w:val="center"/>
          </w:tcPr>
          <w:p>
            <w:pPr>
              <w:pStyle w:val="13"/>
            </w:pPr>
            <w:r>
              <w:t>14.10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11.82</w:t>
            </w:r>
          </w:p>
        </w:tc>
        <w:tc>
          <w:tcPr>
            <w:tcW w:w="2551" w:type="dxa"/>
            <w:vAlign w:val="center"/>
          </w:tcPr>
          <w:p>
            <w:pPr>
              <w:pStyle w:val="13"/>
            </w:pPr>
          </w:p>
        </w:tc>
        <w:tc>
          <w:tcPr>
            <w:tcW w:w="2551" w:type="dxa"/>
            <w:vAlign w:val="center"/>
          </w:tcPr>
          <w:p>
            <w:pPr>
              <w:pStyle w:val="13"/>
            </w:pPr>
            <w:r>
              <w:t>11.82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3.52</w:t>
            </w:r>
          </w:p>
        </w:tc>
        <w:tc>
          <w:tcPr>
            <w:tcW w:w="2551" w:type="dxa"/>
            <w:vAlign w:val="center"/>
          </w:tcPr>
          <w:p>
            <w:pPr>
              <w:pStyle w:val="13"/>
            </w:pPr>
          </w:p>
        </w:tc>
        <w:tc>
          <w:tcPr>
            <w:tcW w:w="2551" w:type="dxa"/>
            <w:vAlign w:val="center"/>
          </w:tcPr>
          <w:p>
            <w:pPr>
              <w:pStyle w:val="13"/>
            </w:pPr>
            <w:r>
              <w:t>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4.40</w:t>
            </w:r>
          </w:p>
        </w:tc>
        <w:tc>
          <w:tcPr>
            <w:tcW w:w="2551" w:type="dxa"/>
            <w:vAlign w:val="center"/>
          </w:tcPr>
          <w:p>
            <w:pPr>
              <w:pStyle w:val="13"/>
            </w:pPr>
          </w:p>
        </w:tc>
        <w:tc>
          <w:tcPr>
            <w:tcW w:w="2551" w:type="dxa"/>
            <w:vAlign w:val="center"/>
          </w:tcPr>
          <w:p>
            <w:pPr>
              <w:pStyle w:val="13"/>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26.34</w:t>
            </w:r>
          </w:p>
        </w:tc>
        <w:tc>
          <w:tcPr>
            <w:tcW w:w="2551" w:type="dxa"/>
            <w:vAlign w:val="center"/>
          </w:tcPr>
          <w:p>
            <w:pPr>
              <w:pStyle w:val="13"/>
            </w:pPr>
          </w:p>
        </w:tc>
        <w:tc>
          <w:tcPr>
            <w:tcW w:w="2551" w:type="dxa"/>
            <w:vAlign w:val="center"/>
          </w:tcPr>
          <w:p>
            <w:pPr>
              <w:pStyle w:val="13"/>
            </w:pPr>
            <w:bookmarkStart w:id="1" w:name="_GoBack"/>
            <w:bookmarkEnd w:id="1"/>
            <w:r>
              <w:t>26.3</w:t>
            </w:r>
            <w:r>
              <w:rPr>
                <w:rFonts w:hint="default"/>
                <w:lang w:val="en-US"/>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26.65</w:t>
            </w:r>
          </w:p>
        </w:tc>
        <w:tc>
          <w:tcPr>
            <w:tcW w:w="2551" w:type="dxa"/>
            <w:vAlign w:val="center"/>
          </w:tcPr>
          <w:p>
            <w:pPr>
              <w:pStyle w:val="13"/>
            </w:pPr>
            <w:r>
              <w:t>26.65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22.79</w:t>
            </w:r>
          </w:p>
        </w:tc>
        <w:tc>
          <w:tcPr>
            <w:tcW w:w="2551" w:type="dxa"/>
            <w:vAlign w:val="center"/>
          </w:tcPr>
          <w:p>
            <w:pPr>
              <w:pStyle w:val="13"/>
            </w:pPr>
            <w:r>
              <w:t>22.79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3.86</w:t>
            </w:r>
          </w:p>
        </w:tc>
        <w:tc>
          <w:tcPr>
            <w:tcW w:w="2551" w:type="dxa"/>
            <w:vAlign w:val="center"/>
          </w:tcPr>
          <w:p>
            <w:pPr>
              <w:pStyle w:val="13"/>
            </w:pPr>
            <w:r>
              <w:t>3.86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806001唐山市开平区双桥镇人民政府本级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1037.99</w:t>
            </w:r>
          </w:p>
        </w:tc>
        <w:tc>
          <w:tcPr>
            <w:tcW w:w="2551" w:type="dxa"/>
            <w:vAlign w:val="center"/>
          </w:tcPr>
          <w:p>
            <w:pPr>
              <w:pStyle w:val="17"/>
            </w:pPr>
          </w:p>
        </w:tc>
        <w:tc>
          <w:tcPr>
            <w:tcW w:w="2551" w:type="dxa"/>
            <w:vAlign w:val="center"/>
          </w:tcPr>
          <w:p>
            <w:pPr>
              <w:pStyle w:val="17"/>
            </w:pPr>
            <w:r>
              <w:t>1037.99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1037.99</w:t>
            </w:r>
          </w:p>
        </w:tc>
        <w:tc>
          <w:tcPr>
            <w:tcW w:w="2551" w:type="dxa"/>
            <w:vAlign w:val="center"/>
          </w:tcPr>
          <w:p>
            <w:pPr>
              <w:pStyle w:val="13"/>
            </w:pPr>
          </w:p>
        </w:tc>
        <w:tc>
          <w:tcPr>
            <w:tcW w:w="2551" w:type="dxa"/>
            <w:vAlign w:val="center"/>
          </w:tcPr>
          <w:p>
            <w:pPr>
              <w:pStyle w:val="13"/>
            </w:pPr>
            <w:r>
              <w:t>1037.99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960.00</w:t>
            </w:r>
          </w:p>
        </w:tc>
        <w:tc>
          <w:tcPr>
            <w:tcW w:w="2551" w:type="dxa"/>
            <w:vAlign w:val="center"/>
          </w:tcPr>
          <w:p>
            <w:pPr>
              <w:pStyle w:val="13"/>
            </w:pPr>
          </w:p>
        </w:tc>
        <w:tc>
          <w:tcPr>
            <w:tcW w:w="2551" w:type="dxa"/>
            <w:vAlign w:val="center"/>
          </w:tcPr>
          <w:p>
            <w:pPr>
              <w:pStyle w:val="13"/>
            </w:pPr>
            <w:r>
              <w:t>960.00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2120804</w:t>
            </w:r>
          </w:p>
        </w:tc>
        <w:tc>
          <w:tcPr>
            <w:tcW w:w="4535" w:type="dxa"/>
            <w:vAlign w:val="center"/>
          </w:tcPr>
          <w:p>
            <w:pPr>
              <w:pStyle w:val="14"/>
            </w:pPr>
            <w:r>
              <w:t>农村基础设施建设支出</w:t>
            </w:r>
          </w:p>
        </w:tc>
        <w:tc>
          <w:tcPr>
            <w:tcW w:w="2551" w:type="dxa"/>
            <w:vAlign w:val="center"/>
          </w:tcPr>
          <w:p>
            <w:pPr>
              <w:pStyle w:val="13"/>
            </w:pPr>
            <w:r>
              <w:t>960.00</w:t>
            </w:r>
          </w:p>
        </w:tc>
        <w:tc>
          <w:tcPr>
            <w:tcW w:w="2551" w:type="dxa"/>
            <w:vAlign w:val="center"/>
          </w:tcPr>
          <w:p>
            <w:pPr>
              <w:pStyle w:val="13"/>
            </w:pPr>
          </w:p>
        </w:tc>
        <w:tc>
          <w:tcPr>
            <w:tcW w:w="2551" w:type="dxa"/>
            <w:vAlign w:val="center"/>
          </w:tcPr>
          <w:p>
            <w:pPr>
              <w:pStyle w:val="13"/>
            </w:pPr>
            <w:r>
              <w:t>960.00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21210</w:t>
            </w:r>
          </w:p>
        </w:tc>
        <w:tc>
          <w:tcPr>
            <w:tcW w:w="4535" w:type="dxa"/>
            <w:vAlign w:val="center"/>
          </w:tcPr>
          <w:p>
            <w:pPr>
              <w:pStyle w:val="14"/>
            </w:pPr>
            <w:r>
              <w:t>国有土地收益基金安排的支出</w:t>
            </w:r>
          </w:p>
        </w:tc>
        <w:tc>
          <w:tcPr>
            <w:tcW w:w="2551" w:type="dxa"/>
            <w:vAlign w:val="center"/>
          </w:tcPr>
          <w:p>
            <w:pPr>
              <w:pStyle w:val="13"/>
            </w:pPr>
            <w:r>
              <w:t>77.99</w:t>
            </w:r>
          </w:p>
        </w:tc>
        <w:tc>
          <w:tcPr>
            <w:tcW w:w="2551" w:type="dxa"/>
            <w:vAlign w:val="center"/>
          </w:tcPr>
          <w:p>
            <w:pPr>
              <w:pStyle w:val="13"/>
            </w:pPr>
          </w:p>
        </w:tc>
        <w:tc>
          <w:tcPr>
            <w:tcW w:w="2551" w:type="dxa"/>
            <w:vAlign w:val="center"/>
          </w:tcPr>
          <w:p>
            <w:pPr>
              <w:pStyle w:val="13"/>
            </w:pPr>
            <w:r>
              <w:t>77.99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2121001</w:t>
            </w:r>
          </w:p>
        </w:tc>
        <w:tc>
          <w:tcPr>
            <w:tcW w:w="4535" w:type="dxa"/>
            <w:vAlign w:val="center"/>
          </w:tcPr>
          <w:p>
            <w:pPr>
              <w:pStyle w:val="14"/>
            </w:pPr>
            <w:r>
              <w:t>征地和拆迁补偿支出</w:t>
            </w:r>
          </w:p>
        </w:tc>
        <w:tc>
          <w:tcPr>
            <w:tcW w:w="2551" w:type="dxa"/>
            <w:vAlign w:val="center"/>
          </w:tcPr>
          <w:p>
            <w:pPr>
              <w:pStyle w:val="13"/>
            </w:pPr>
            <w:r>
              <w:t>77.99</w:t>
            </w:r>
          </w:p>
        </w:tc>
        <w:tc>
          <w:tcPr>
            <w:tcW w:w="2551" w:type="dxa"/>
            <w:vAlign w:val="center"/>
          </w:tcPr>
          <w:p>
            <w:pPr>
              <w:pStyle w:val="13"/>
            </w:pPr>
          </w:p>
        </w:tc>
        <w:tc>
          <w:tcPr>
            <w:tcW w:w="2551" w:type="dxa"/>
            <w:vAlign w:val="center"/>
          </w:tcPr>
          <w:p>
            <w:pPr>
              <w:pStyle w:val="13"/>
            </w:pPr>
            <w:r>
              <w:t>77.99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806001唐山市开平区双桥镇人民政府本级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p>
      <w:pPr>
        <w:ind w:firstLine="420"/>
        <w:rPr>
          <w:rFonts w:ascii="方正书宋_GBK" w:hAnsi="方正书宋_GBK" w:eastAsia="方正书宋_GBK" w:cs="方正书宋_GBK"/>
          <w:color w:val="000000"/>
          <w:sz w:val="21"/>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804001唐山市开平区</w:t>
            </w:r>
            <w:r>
              <w:rPr>
                <w:rFonts w:hint="eastAsia"/>
                <w:lang w:eastAsia="zh-CN"/>
              </w:rPr>
              <w:t>双桥</w:t>
            </w:r>
            <w:r>
              <w:t>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t>4.00</w:t>
            </w:r>
          </w:p>
        </w:tc>
        <w:tc>
          <w:tcPr>
            <w:tcW w:w="1643" w:type="dxa"/>
            <w:vAlign w:val="center"/>
          </w:tcPr>
          <w:p>
            <w:pPr>
              <w:pStyle w:val="17"/>
            </w:pPr>
            <w:r>
              <w:t>4.00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r>
              <w:t>4.00</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r>
              <w:t>4.00</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4.00</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10</w:t>
            </w:r>
          </w:p>
        </w:tc>
        <w:tc>
          <w:tcPr>
            <w:tcW w:w="1643" w:type="dxa"/>
            <w:vAlign w:val="center"/>
          </w:tcPr>
          <w:p>
            <w:pPr>
              <w:pStyle w:val="14"/>
            </w:pPr>
            <w:r>
              <w:t>四、会议费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11</w:t>
            </w:r>
          </w:p>
        </w:tc>
        <w:tc>
          <w:tcPr>
            <w:tcW w:w="1643" w:type="dxa"/>
            <w:vAlign w:val="center"/>
          </w:tcPr>
          <w:p>
            <w:pPr>
              <w:pStyle w:val="14"/>
            </w:pPr>
            <w:r>
              <w:t xml:space="preserve">    其中：省属高校业务性会议费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12</w:t>
            </w:r>
          </w:p>
        </w:tc>
        <w:tc>
          <w:tcPr>
            <w:tcW w:w="1643" w:type="dxa"/>
            <w:vAlign w:val="center"/>
          </w:tcPr>
          <w:p>
            <w:pPr>
              <w:pStyle w:val="14"/>
            </w:pPr>
            <w:r>
              <w:t xml:space="preserve">          其他会议费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13</w:t>
            </w:r>
          </w:p>
        </w:tc>
        <w:tc>
          <w:tcPr>
            <w:tcW w:w="1643" w:type="dxa"/>
            <w:vAlign w:val="center"/>
          </w:tcPr>
          <w:p>
            <w:pPr>
              <w:pStyle w:val="14"/>
            </w:pPr>
            <w:r>
              <w:t>五、培训费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rPr>
          <w:rFonts w:ascii="方正书宋_GBK" w:hAnsi="方正书宋_GBK" w:eastAsia="方正书宋_GBK" w:cs="方正书宋_GBK"/>
          <w:color w:val="000000"/>
          <w:sz w:val="21"/>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唐山市开平区双桥镇人民政府本级2024年单位预算信息公开情况说明</w:t>
      </w:r>
    </w:p>
    <w:p>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按照《中华人民共和国预算法》、《地方预决算公开操作规程》和《关于进一步推进预算公开工作的实施意见》规定，现将唐山市开平区双桥镇人民政府本级2024年单位预算公开如下：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pStyle w:val="26"/>
      </w:pPr>
      <w:r>
        <w:rPr>
          <w:rFonts w:ascii="方正楷体_GBK" w:hAnsi="方正楷体_GBK" w:eastAsia="方正楷体_GBK" w:cs="方正楷体_GBK"/>
          <w:b/>
          <w:color w:val="000000"/>
          <w:sz w:val="32"/>
        </w:rPr>
        <w:t>单位职责：</w:t>
      </w:r>
      <w:r>
        <w:t>我镇将以习近平新时代中国特色社会主义思想为统领，牢固树立新发展理念，按照城市发展北大门、经济转型先行区、乡村振兴样板区的目标要求，双桥镇深入学习宣传贯彻党的二十大精神，扎实有力落实“疫情要防住，经济要稳住，发展要安全”的总体要求和区委“12369”工作思路，真抓实干，马上就办，补短板、强弱项，全力以赴推动各项事业高质量发展。</w:t>
      </w:r>
    </w:p>
    <w:p>
      <w:pPr>
        <w:pStyle w:val="26"/>
      </w:pPr>
      <w:r>
        <w:t>一、以乡村振兴为抓手，促进城乡融合发展。</w:t>
      </w:r>
    </w:p>
    <w:p>
      <w:pPr>
        <w:pStyle w:val="26"/>
      </w:pPr>
      <w:r>
        <w:t>我镇将进一步发挥山水双桥资源优势，以产业振兴为抓手，以休闲农业项目为切入点，结合区委全会提出的“EOD”概念，一方面深入挖掘双桥“全域富硒”概念和品牌价值，推广富硒农作物，助力村民增收；一方面加大宣传“山水双桥”优美环境，吸引更多资本和适宜产业到双桥落地，致力于打造生态农业、近郊休闲于一体的特色农旅小镇。一是紧密联系农业农村局、商务局、文广旅局，抓住招商引资机会，致力于引入农旅龙头企业，进一步开发我镇土壤、环境效益。二是进一步提升鞠家岭张明耀休闲农庄项目规模、档次，发挥项目示范带动作用，推动整合全镇农产品资源，利用大柳树驿站、双桥村驿站，搭建线上线下销售平台，大力推广双桥镇农产品，创绿色品牌。三是积极引导农户采摘园规模化，多样化，提升采摘园品质，通过宣传扩大知名度，初步营造“近郊采摘到双桥”的氛围。</w:t>
      </w:r>
    </w:p>
    <w:p>
      <w:pPr>
        <w:pStyle w:val="26"/>
      </w:pPr>
      <w:r>
        <w:t>二、坚持生态优先，增强增质绿色保护</w:t>
      </w:r>
    </w:p>
    <w:p>
      <w:pPr>
        <w:pStyle w:val="26"/>
      </w:pPr>
      <w:r>
        <w:t>绿水青山就是金山银山，严格贯彻落实生态发展之路，牢牢守住前期生态整治工作成果，探索双桥生态治理新路径。强化对工业企业、道理扬尘、重型车出厂的日常管控及“散乱污”企业动态清零，坚定不移的执行各项环保政策，突出重污染天气的有力管控，坚决守护双桥空气质量指数全区领先地位。以陡河水库为基础，严禁一级保护区内建设养殖场，二级水源保护区内禁止建设有污染物排放的养殖场，规范农作物化肥种植，坚决守护全市供水的“大水缸”。</w:t>
      </w:r>
    </w:p>
    <w:p>
      <w:pPr>
        <w:pStyle w:val="26"/>
      </w:pPr>
      <w:r>
        <w:t>三、高标准打造党建示范镇，推动民生福祉不断改善。</w:t>
      </w:r>
    </w:p>
    <w:p>
      <w:pPr>
        <w:pStyle w:val="26"/>
      </w:pPr>
      <w:r>
        <w:t>一是打造全域基层党建示范点。以实现“全域推进，整镇提升”为目标，以点带面，层层推进，逐步实现党建示范点全覆盖。二是全面规范提升党群服务阵地。常态化、制度化开展“三会一课”，创新性开展“主题党日”等党内活动，落实民主评议、流动党员管理服务等制度上墙管理制度，开辟党建宣传新阵地，大力弘扬党建正能量。三是增强党组织力量。持续巩固“不忘初心、牢记使命”主题教育，党史学习教育成果，多多举办基层“微课堂”、邀请党校老师讲课等活动，更好的让党中央会议精神和政策进入基层。发挥党建引领力，为群众办实事，办好事，提高群众对党的信心和满意度。</w:t>
      </w:r>
    </w:p>
    <w:p>
      <w:pPr>
        <w:ind w:firstLine="640"/>
      </w:pPr>
    </w:p>
    <w:p>
      <w:pPr>
        <w:pStyle w:val="1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唐山市开平区双桥镇人民政府本级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w:t>
      </w:r>
      <w:r>
        <w:rPr>
          <w:rFonts w:hint="eastAsia" w:eastAsia="方正仿宋_GBK" w:cs="Times New Roman"/>
          <w:color w:val="000000"/>
          <w:sz w:val="28"/>
          <w:lang w:eastAsia="zh-CN"/>
        </w:rPr>
        <w:t>单位</w:t>
      </w:r>
      <w:r>
        <w:rPr>
          <w:rFonts w:eastAsia="方正仿宋_GBK" w:cs="Times New Roman"/>
          <w:color w:val="000000"/>
          <w:sz w:val="28"/>
        </w:rPr>
        <w:t>预算的编制实行综合预算管理，即全部收入和支出都反映在预算中。唐山市开平区双桥镇人民政府机关及所属事业单位的收支包含在</w:t>
      </w:r>
      <w:r>
        <w:rPr>
          <w:rFonts w:hint="eastAsia" w:eastAsia="方正仿宋_GBK" w:cs="Times New Roman"/>
          <w:color w:val="000000"/>
          <w:sz w:val="28"/>
          <w:lang w:eastAsia="zh-CN"/>
        </w:rPr>
        <w:t>单位</w:t>
      </w:r>
      <w:r>
        <w:rPr>
          <w:rFonts w:eastAsia="方正仿宋_GBK" w:cs="Times New Roman"/>
          <w:color w:val="000000"/>
          <w:sz w:val="28"/>
        </w:rPr>
        <w:t>预算中。</w:t>
      </w:r>
    </w:p>
    <w:p>
      <w:pPr>
        <w:spacing w:line="500" w:lineRule="exact"/>
        <w:ind w:firstLine="560"/>
        <w:rPr>
          <w:rFonts w:cs="Times New Roman" w:eastAsiaTheme="minorEastAsia"/>
          <w:color w:val="000000"/>
          <w:sz w:val="28"/>
        </w:rPr>
      </w:pPr>
      <w:r>
        <w:rPr>
          <w:rFonts w:eastAsia="方正仿宋_GBK" w:cs="Times New Roman"/>
          <w:color w:val="000000"/>
          <w:sz w:val="28"/>
        </w:rPr>
        <w:t>唐山市开平区双桥镇人民政府机关及所属事业单位的收支包含在单位预算中。</w:t>
      </w:r>
    </w:p>
    <w:p>
      <w:pPr>
        <w:ind w:firstLine="640"/>
        <w:rPr>
          <w:rFonts w:eastAsia="方正仿宋_GBK" w:cs="Times New Roman"/>
          <w:sz w:val="28"/>
        </w:rPr>
      </w:pPr>
      <w:r>
        <w:rPr>
          <w:rFonts w:hint="eastAsia" w:eastAsiaTheme="minorEastAsia"/>
        </w:rPr>
        <w:t xml:space="preserve">    </w:t>
      </w:r>
      <w:r>
        <w:rPr>
          <w:rFonts w:hint="eastAsia" w:eastAsia="方正仿宋_GBK" w:cs="Times New Roman"/>
          <w:sz w:val="28"/>
        </w:rPr>
        <w:t>1、收入说明</w:t>
      </w:r>
    </w:p>
    <w:p>
      <w:pPr>
        <w:ind w:firstLine="640"/>
        <w:rPr>
          <w:rFonts w:eastAsia="方正仿宋_GBK" w:cs="Times New Roman"/>
          <w:sz w:val="28"/>
        </w:rPr>
      </w:pPr>
      <w:r>
        <w:rPr>
          <w:rFonts w:hint="eastAsia" w:eastAsia="方正仿宋_GBK" w:cs="Times New Roman"/>
          <w:sz w:val="28"/>
        </w:rPr>
        <w:t>反应本</w:t>
      </w:r>
      <w:r>
        <w:rPr>
          <w:rFonts w:hint="eastAsia" w:eastAsia="方正仿宋_GBK" w:cs="Times New Roman"/>
          <w:sz w:val="28"/>
          <w:lang w:eastAsia="zh-CN"/>
        </w:rPr>
        <w:t>单位</w:t>
      </w:r>
      <w:r>
        <w:rPr>
          <w:rFonts w:hint="eastAsia" w:eastAsia="方正仿宋_GBK" w:cs="Times New Roman"/>
          <w:sz w:val="28"/>
        </w:rPr>
        <w:t>当年全部收入。202</w:t>
      </w:r>
      <w:r>
        <w:rPr>
          <w:rFonts w:hint="eastAsia" w:cs="Times New Roman" w:eastAsiaTheme="minorEastAsia"/>
          <w:sz w:val="28"/>
          <w:lang w:eastAsia="zh-CN"/>
        </w:rPr>
        <w:t>4</w:t>
      </w:r>
      <w:r>
        <w:rPr>
          <w:rFonts w:hint="eastAsia" w:eastAsia="方正仿宋_GBK" w:cs="Times New Roman"/>
          <w:sz w:val="28"/>
        </w:rPr>
        <w:t>年收入预算共计</w:t>
      </w:r>
      <w:r>
        <w:rPr>
          <w:rFonts w:hint="eastAsia" w:cs="Times New Roman" w:asciiTheme="minorEastAsia" w:hAnsiTheme="minorEastAsia" w:eastAsiaTheme="minorEastAsia"/>
          <w:sz w:val="28"/>
          <w:lang w:eastAsia="zh-CN"/>
        </w:rPr>
        <w:t>2004.9</w:t>
      </w:r>
      <w:r>
        <w:rPr>
          <w:rFonts w:hint="eastAsia" w:eastAsia="方正仿宋_GBK" w:cs="Times New Roman"/>
          <w:sz w:val="28"/>
        </w:rPr>
        <w:t>万元。其中：一般公共预算收入</w:t>
      </w:r>
      <w:r>
        <w:rPr>
          <w:rFonts w:hint="eastAsia" w:cs="Times New Roman" w:eastAsiaTheme="minorEastAsia"/>
          <w:sz w:val="28"/>
          <w:lang w:eastAsia="zh-CN"/>
        </w:rPr>
        <w:t>966.91</w:t>
      </w:r>
      <w:r>
        <w:rPr>
          <w:rFonts w:hint="eastAsia" w:eastAsia="方正仿宋_GBK" w:cs="Times New Roman"/>
          <w:sz w:val="28"/>
        </w:rPr>
        <w:t>万元，基金预算收入</w:t>
      </w:r>
      <w:r>
        <w:rPr>
          <w:rFonts w:hint="eastAsia" w:cs="Times New Roman" w:eastAsiaTheme="minorEastAsia"/>
          <w:sz w:val="28"/>
          <w:lang w:eastAsia="zh-CN"/>
        </w:rPr>
        <w:t>1037.99</w:t>
      </w:r>
      <w:r>
        <w:rPr>
          <w:rFonts w:hint="eastAsia" w:eastAsia="方正仿宋_GBK" w:cs="Times New Roman"/>
          <w:sz w:val="28"/>
        </w:rPr>
        <w:t>万元，财政专户核拨收入0万元，其他来源收入0万元。</w:t>
      </w:r>
    </w:p>
    <w:p>
      <w:pPr>
        <w:numPr>
          <w:ilvl w:val="0"/>
          <w:numId w:val="1"/>
        </w:numPr>
        <w:ind w:firstLine="640"/>
        <w:rPr>
          <w:rFonts w:eastAsia="方正仿宋_GBK" w:cs="Times New Roman"/>
          <w:sz w:val="28"/>
        </w:rPr>
      </w:pPr>
      <w:r>
        <w:rPr>
          <w:rFonts w:hint="eastAsia" w:eastAsia="方正仿宋_GBK" w:cs="Times New Roman"/>
          <w:sz w:val="28"/>
        </w:rPr>
        <w:t>支出说明</w:t>
      </w:r>
    </w:p>
    <w:p>
      <w:pPr>
        <w:pStyle w:val="27"/>
        <w:rPr>
          <w:rFonts w:hint="eastAsia"/>
          <w:lang w:eastAsia="zh-CN"/>
        </w:rPr>
      </w:pPr>
      <w:r>
        <w:rPr>
          <w:rFonts w:hint="eastAsia" w:eastAsia="方正仿宋_GBK" w:cs="Times New Roman"/>
          <w:sz w:val="28"/>
        </w:rPr>
        <w:t>收支预算总表支出栏、基本支出表、项目支出表按经济分类和支出功能分类科目编制，反映唐山市开平区</w:t>
      </w:r>
      <w:r>
        <w:rPr>
          <w:rFonts w:hint="eastAsia" w:eastAsia="方正仿宋_GBK" w:cs="Times New Roman"/>
          <w:sz w:val="28"/>
          <w:lang w:eastAsia="zh-CN"/>
        </w:rPr>
        <w:t>双桥</w:t>
      </w:r>
      <w:r>
        <w:rPr>
          <w:rFonts w:hint="eastAsia" w:eastAsia="方正仿宋_GBK" w:cs="Times New Roman"/>
          <w:sz w:val="28"/>
        </w:rPr>
        <w:t>镇人民政府年度部门预算中支出预算的总体情况。202</w:t>
      </w:r>
      <w:r>
        <w:rPr>
          <w:rFonts w:hint="eastAsia" w:cs="Times New Roman" w:eastAsiaTheme="minorEastAsia"/>
          <w:sz w:val="28"/>
          <w:lang w:eastAsia="zh-CN"/>
        </w:rPr>
        <w:t>4</w:t>
      </w:r>
      <w:r>
        <w:rPr>
          <w:rFonts w:hint="eastAsia" w:eastAsia="方正仿宋_GBK" w:cs="Times New Roman"/>
          <w:sz w:val="28"/>
        </w:rPr>
        <w:t>年部门支出预算为</w:t>
      </w:r>
      <w:r>
        <w:rPr>
          <w:rFonts w:hint="eastAsia" w:cs="Times New Roman" w:eastAsiaTheme="minorEastAsia"/>
          <w:sz w:val="28"/>
          <w:lang w:eastAsia="zh-CN"/>
        </w:rPr>
        <w:t>2004.9</w:t>
      </w:r>
      <w:r>
        <w:rPr>
          <w:rFonts w:hint="eastAsia" w:eastAsia="方正仿宋_GBK" w:cs="Times New Roman"/>
          <w:sz w:val="28"/>
        </w:rPr>
        <w:t>万元，其中基本支出</w:t>
      </w:r>
      <w:r>
        <w:rPr>
          <w:rFonts w:hint="eastAsia" w:cs="Times New Roman" w:eastAsiaTheme="minorEastAsia"/>
          <w:sz w:val="28"/>
          <w:lang w:eastAsia="zh-CN"/>
        </w:rPr>
        <w:t>951.96</w:t>
      </w:r>
      <w:r>
        <w:rPr>
          <w:rFonts w:hint="eastAsia" w:eastAsia="方正仿宋_GBK" w:cs="Times New Roman"/>
          <w:sz w:val="28"/>
        </w:rPr>
        <w:t>万元，其中人员经费支出预算</w:t>
      </w:r>
      <w:r>
        <w:rPr>
          <w:rFonts w:hint="eastAsia" w:cs="Times New Roman" w:eastAsiaTheme="minorEastAsia"/>
          <w:sz w:val="28"/>
          <w:lang w:eastAsia="zh-CN"/>
        </w:rPr>
        <w:t>886.29</w:t>
      </w:r>
      <w:r>
        <w:rPr>
          <w:rFonts w:hint="eastAsia" w:eastAsia="方正仿宋_GBK" w:cs="Times New Roman"/>
          <w:sz w:val="28"/>
        </w:rPr>
        <w:t>万元，日常公用经费支出预算</w:t>
      </w:r>
      <w:r>
        <w:rPr>
          <w:rFonts w:hint="eastAsia" w:cs="Times New Roman" w:eastAsiaTheme="minorEastAsia"/>
          <w:sz w:val="28"/>
          <w:lang w:eastAsia="zh-CN"/>
        </w:rPr>
        <w:t>65.67</w:t>
      </w:r>
      <w:r>
        <w:rPr>
          <w:rFonts w:hint="eastAsia" w:eastAsia="方正仿宋_GBK" w:cs="Times New Roman"/>
          <w:sz w:val="28"/>
        </w:rPr>
        <w:t>万元。</w:t>
      </w:r>
      <w:r>
        <w:t>项目支出1052.94万元，主要为项目支出主要为党组织建设，武装工作经费，</w:t>
      </w:r>
      <w:r>
        <w:rPr>
          <w:rFonts w:hint="eastAsia"/>
          <w:lang w:eastAsia="zh-CN"/>
        </w:rPr>
        <w:t>乡村振兴工作经费、冶里村景观绿化费。</w:t>
      </w:r>
    </w:p>
    <w:p>
      <w:pPr>
        <w:pStyle w:val="20"/>
      </w:pPr>
      <w:r>
        <w:t>3、比上年增减情况</w:t>
      </w:r>
    </w:p>
    <w:p>
      <w:pPr>
        <w:pStyle w:val="20"/>
        <w:rPr>
          <w:rFonts w:hint="eastAsia" w:eastAsia="方正仿宋_GBK"/>
          <w:lang w:eastAsia="zh-CN"/>
        </w:rPr>
      </w:pPr>
      <w:r>
        <w:t>2024年预算收支安排</w:t>
      </w:r>
      <w:r>
        <w:rPr>
          <w:rFonts w:hint="eastAsia" w:cs="Times New Roman" w:asciiTheme="minorEastAsia" w:hAnsiTheme="minorEastAsia" w:eastAsiaTheme="minorEastAsia"/>
          <w:sz w:val="28"/>
          <w:lang w:eastAsia="zh-CN"/>
        </w:rPr>
        <w:t>2004.9</w:t>
      </w:r>
      <w:r>
        <w:t>万元，较2023年预算增加</w:t>
      </w:r>
      <w:r>
        <w:rPr>
          <w:rFonts w:hint="eastAsia"/>
          <w:lang w:val="en-US" w:eastAsia="zh-CN"/>
        </w:rPr>
        <w:t>1004.12</w:t>
      </w:r>
      <w:r>
        <w:t>万元，其中：基本支出增加</w:t>
      </w:r>
      <w:r>
        <w:rPr>
          <w:rFonts w:hint="eastAsia"/>
          <w:lang w:val="en-US" w:eastAsia="zh-CN"/>
        </w:rPr>
        <w:t>44.72</w:t>
      </w:r>
      <w:r>
        <w:t>万元，主要为人员调入工资增加</w:t>
      </w:r>
      <w:r>
        <w:rPr>
          <w:rFonts w:hint="eastAsia"/>
          <w:lang w:val="en-US" w:eastAsia="zh-CN"/>
        </w:rPr>
        <w:t>.</w:t>
      </w:r>
      <w:r>
        <w:t>项目支出</w:t>
      </w:r>
      <w:r>
        <w:rPr>
          <w:rFonts w:hint="eastAsia"/>
          <w:lang w:eastAsia="zh-CN"/>
        </w:rPr>
        <w:t>增加</w:t>
      </w:r>
      <w:r>
        <w:rPr>
          <w:rFonts w:hint="eastAsia"/>
          <w:lang w:val="en-US" w:eastAsia="zh-CN"/>
        </w:rPr>
        <w:t>959.4</w:t>
      </w:r>
      <w:r>
        <w:t>万元，主要为</w:t>
      </w:r>
      <w:r>
        <w:rPr>
          <w:rFonts w:hint="eastAsia"/>
          <w:lang w:eastAsia="zh-CN"/>
        </w:rPr>
        <w:t>乡村振兴工作资金、森林防火项目增加。</w:t>
      </w:r>
    </w:p>
    <w:p>
      <w:pPr>
        <w:spacing w:before="10" w:after="10"/>
        <w:ind w:firstLine="640"/>
        <w:outlineLvl w:val="5"/>
      </w:pPr>
      <w:r>
        <w:rPr>
          <w:rFonts w:ascii="黑体" w:hAnsi="黑体" w:eastAsia="黑体" w:cs="黑体"/>
          <w:color w:val="000000"/>
          <w:sz w:val="32"/>
        </w:rPr>
        <w:t>三、机关运行经费安排情况</w:t>
      </w:r>
    </w:p>
    <w:p>
      <w:pPr>
        <w:spacing w:before="10" w:after="10" w:line="360" w:lineRule="auto"/>
        <w:outlineLvl w:val="2"/>
        <w:rPr>
          <w:rFonts w:ascii="黑体" w:hAnsi="黑体" w:eastAsia="黑体" w:cs="黑体"/>
          <w:color w:val="000000"/>
          <w:sz w:val="32"/>
          <w:lang w:eastAsia="zh-CN"/>
        </w:rPr>
      </w:pPr>
      <w:r>
        <w:rPr>
          <w:rFonts w:hint="eastAsia" w:eastAsia="方正仿宋_GBK" w:cs="Times New Roman"/>
          <w:color w:val="000000"/>
          <w:sz w:val="28"/>
        </w:rPr>
        <w:t>机关运行经费共计安排</w:t>
      </w:r>
      <w:r>
        <w:rPr>
          <w:rFonts w:hint="eastAsia" w:cs="Times New Roman" w:eastAsiaTheme="minorEastAsia"/>
          <w:color w:val="000000"/>
          <w:sz w:val="28"/>
          <w:lang w:eastAsia="zh-CN"/>
        </w:rPr>
        <w:t>65.67</w:t>
      </w:r>
      <w:r>
        <w:rPr>
          <w:rFonts w:hint="eastAsia" w:eastAsia="方正仿宋_GBK" w:cs="Times New Roman"/>
          <w:color w:val="000000"/>
          <w:sz w:val="28"/>
        </w:rPr>
        <w:t>万元，主要用于保证正常办公的基本需要和维持单位日常业务运转，包括：办公费、</w:t>
      </w:r>
      <w:r>
        <w:rPr>
          <w:rFonts w:hint="eastAsia" w:eastAsia="方正仿宋_GBK" w:cs="Times New Roman"/>
          <w:color w:val="000000"/>
          <w:sz w:val="28"/>
          <w:lang w:eastAsia="zh-CN"/>
        </w:rPr>
        <w:t>邮电费、工会经费、福利费、</w:t>
      </w:r>
      <w:r>
        <w:rPr>
          <w:rFonts w:hint="eastAsia" w:eastAsia="方正仿宋_GBK" w:cs="Times New Roman"/>
          <w:color w:val="000000"/>
          <w:sz w:val="28"/>
        </w:rPr>
        <w:t>公务用车运行维护费和其他费</w:t>
      </w:r>
      <w:r>
        <w:rPr>
          <w:rFonts w:hint="eastAsia" w:eastAsia="方正仿宋_GBK" w:cs="Times New Roman"/>
          <w:color w:val="000000"/>
          <w:sz w:val="28"/>
          <w:lang w:eastAsia="zh-CN"/>
        </w:rPr>
        <w:t>用</w:t>
      </w:r>
      <w:r>
        <w:rPr>
          <w:rFonts w:hint="eastAsia" w:eastAsia="方正仿宋_GBK" w:cs="Times New Roman"/>
          <w:color w:val="000000"/>
          <w:sz w:val="28"/>
        </w:rPr>
        <w:t>。</w:t>
      </w:r>
    </w:p>
    <w:p>
      <w:pPr>
        <w:pStyle w:val="21"/>
      </w:pPr>
    </w:p>
    <w:p>
      <w:pPr>
        <w:spacing w:before="10" w:after="10"/>
        <w:ind w:firstLine="640"/>
        <w:outlineLvl w:val="5"/>
      </w:pPr>
      <w:r>
        <w:rPr>
          <w:rFonts w:ascii="黑体" w:hAnsi="黑体" w:eastAsia="黑体" w:cs="黑体"/>
          <w:color w:val="000000"/>
          <w:sz w:val="32"/>
        </w:rPr>
        <w:t>四、财政拨款“三公”经费预算情况及增减变化原因</w:t>
      </w:r>
    </w:p>
    <w:p>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2024年我单位“三公”经费预算安排4万元，与上年持平，无增减变化。</w:t>
      </w:r>
    </w:p>
    <w:p>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具体安排情况为： </w:t>
      </w:r>
    </w:p>
    <w:p>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（一）公务用车购置及运行费。共计安排4万元，与上年持平，无增减变化。①公务用车购置安排0万元，与上年持平，无增减变化。②公车运行维护经费安排4万元，与上年持平，无增减变化。</w:t>
      </w:r>
    </w:p>
    <w:p>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（二）公务接待费。安排0万元，与上年持平，无增减变化。</w:t>
      </w:r>
    </w:p>
    <w:p>
      <w:pPr>
        <w:ind w:firstLine="640" w:firstLineChars="200"/>
      </w:pPr>
      <w:r>
        <w:rPr>
          <w:rFonts w:hint="eastAsia" w:ascii="仿宋_GB2312" w:hAnsi="仿宋_GB2312" w:eastAsia="仿宋_GB2312" w:cs="仿宋_GB2312"/>
          <w:sz w:val="32"/>
          <w:szCs w:val="32"/>
          <w:lang w:eastAsia="zh-CN"/>
        </w:rPr>
        <w:t>（三）因公出国（境）费。安排0万元，与上年持平，无增减变化。</w:t>
      </w:r>
    </w:p>
    <w:p>
      <w:pPr>
        <w:spacing w:before="10" w:after="10" w:line="360" w:lineRule="auto"/>
        <w:ind w:firstLine="640"/>
        <w:outlineLvl w:val="2"/>
        <w:rPr>
          <w:rFonts w:ascii="黑体" w:hAnsi="黑体" w:eastAsia="黑体" w:cs="黑体"/>
          <w:color w:val="000000"/>
          <w:sz w:val="32"/>
          <w:lang w:eastAsia="zh-CN"/>
        </w:rPr>
      </w:pPr>
    </w:p>
    <w:p>
      <w:pPr>
        <w:spacing w:before="10" w:after="10"/>
        <w:ind w:firstLine="640"/>
        <w:outlineLvl w:val="5"/>
        <w:rPr>
          <w:lang w:eastAsia="zh-CN"/>
        </w:rPr>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1、本级党组织建设、武装工作专项经费绩效目标表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13020524P00000210009H</w:t>
            </w:r>
          </w:p>
        </w:tc>
        <w:tc>
          <w:tcPr>
            <w:tcW w:w="1587" w:type="dxa"/>
            <w:vAlign w:val="center"/>
          </w:tcPr>
          <w:p>
            <w:pPr>
              <w:pStyle w:val="12"/>
            </w:pPr>
            <w:r>
              <w:t>项目名称</w:t>
            </w:r>
          </w:p>
        </w:tc>
        <w:tc>
          <w:tcPr>
            <w:tcW w:w="4422" w:type="dxa"/>
            <w:gridSpan w:val="3"/>
            <w:vAlign w:val="center"/>
          </w:tcPr>
          <w:p>
            <w:pPr>
              <w:pStyle w:val="14"/>
            </w:pPr>
            <w:r>
              <w:t>本级党组织建设、武装工作专项经费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3.00</w:t>
            </w:r>
          </w:p>
        </w:tc>
        <w:tc>
          <w:tcPr>
            <w:tcW w:w="1587" w:type="dxa"/>
            <w:vAlign w:val="center"/>
          </w:tcPr>
          <w:p>
            <w:pPr>
              <w:pStyle w:val="12"/>
            </w:pPr>
            <w:r>
              <w:t>其中：财政    资金</w:t>
            </w:r>
          </w:p>
        </w:tc>
        <w:tc>
          <w:tcPr>
            <w:tcW w:w="1304" w:type="dxa"/>
            <w:vAlign w:val="center"/>
          </w:tcPr>
          <w:p>
            <w:pPr>
              <w:pStyle w:val="14"/>
            </w:pPr>
            <w:r>
              <w:t>3.00</w:t>
            </w:r>
          </w:p>
        </w:tc>
        <w:tc>
          <w:tcPr>
            <w:tcW w:w="1276" w:type="dxa"/>
            <w:vAlign w:val="center"/>
          </w:tcPr>
          <w:p>
            <w:pPr>
              <w:pStyle w:val="12"/>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基层人民武装部基础设施建设，业务开展、日常办公、专武干部服装购置等经费，提升基层武装建设水平，为开平区国防后备力量建设发挥积极作用。村级党组织活动场所建设，党员培训、警示教育参观学习，不忘初心</w:t>
            </w:r>
            <w:r>
              <w:rPr>
                <w:rFonts w:hint="eastAsia"/>
                <w:lang w:eastAsia="zh-CN"/>
              </w:rPr>
              <w:t>、</w:t>
            </w:r>
            <w:r>
              <w:t>牢记使命教育，党建宣传建设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基层人民武装部基础设施建设，业务开展、日常办公、专武干部服装购置等经费，提升基层武装建设水平，为开平区国防后备力量建设发挥积极作用。村级党组织活动场所建设，党员培训、警示教育参观学习，不忘初心</w:t>
            </w:r>
            <w:r>
              <w:rPr>
                <w:rFonts w:hint="eastAsia"/>
                <w:lang w:eastAsia="zh-CN"/>
              </w:rPr>
              <w:t>、</w:t>
            </w:r>
            <w:r>
              <w:t>牢记使命教育，党建宣传建设</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党刊覆盖面</w:t>
            </w:r>
          </w:p>
        </w:tc>
        <w:tc>
          <w:tcPr>
            <w:tcW w:w="2891" w:type="dxa"/>
            <w:vAlign w:val="center"/>
          </w:tcPr>
          <w:p>
            <w:pPr>
              <w:pStyle w:val="14"/>
            </w:pPr>
            <w:r>
              <w:t>党刊覆盖面</w:t>
            </w:r>
          </w:p>
        </w:tc>
        <w:tc>
          <w:tcPr>
            <w:tcW w:w="1276" w:type="dxa"/>
            <w:vAlign w:val="center"/>
          </w:tcPr>
          <w:p>
            <w:pPr>
              <w:pStyle w:val="14"/>
            </w:pPr>
            <w:r>
              <w:t>≥95%</w:t>
            </w:r>
          </w:p>
        </w:tc>
        <w:tc>
          <w:tcPr>
            <w:tcW w:w="1843" w:type="dxa"/>
            <w:vAlign w:val="center"/>
          </w:tcPr>
          <w:p>
            <w:pPr>
              <w:pStyle w:val="14"/>
            </w:pPr>
            <w:r>
              <w:t>党刊覆盖面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提升社会组织党支部建设质量</w:t>
            </w:r>
          </w:p>
        </w:tc>
        <w:tc>
          <w:tcPr>
            <w:tcW w:w="2891" w:type="dxa"/>
            <w:vAlign w:val="center"/>
          </w:tcPr>
          <w:p>
            <w:pPr>
              <w:pStyle w:val="14"/>
            </w:pPr>
            <w:r>
              <w:t>提升社会组织党支部建设质量</w:t>
            </w:r>
          </w:p>
        </w:tc>
        <w:tc>
          <w:tcPr>
            <w:tcW w:w="1276" w:type="dxa"/>
            <w:vAlign w:val="center"/>
          </w:tcPr>
          <w:p>
            <w:pPr>
              <w:pStyle w:val="14"/>
            </w:pPr>
            <w:r>
              <w:t>≥95%</w:t>
            </w:r>
          </w:p>
        </w:tc>
        <w:tc>
          <w:tcPr>
            <w:tcW w:w="1843" w:type="dxa"/>
            <w:vAlign w:val="center"/>
          </w:tcPr>
          <w:p>
            <w:pPr>
              <w:pStyle w:val="14"/>
            </w:pPr>
            <w:r>
              <w:t>提升社会组织党支部建设质量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开展培训、组织党员活动按年度工</w:t>
            </w:r>
          </w:p>
        </w:tc>
        <w:tc>
          <w:tcPr>
            <w:tcW w:w="2891" w:type="dxa"/>
            <w:vAlign w:val="center"/>
          </w:tcPr>
          <w:p>
            <w:pPr>
              <w:pStyle w:val="14"/>
            </w:pPr>
            <w:r>
              <w:t>开展培训、组织党员活动按年度工</w:t>
            </w:r>
          </w:p>
        </w:tc>
        <w:tc>
          <w:tcPr>
            <w:tcW w:w="1276" w:type="dxa"/>
            <w:vAlign w:val="center"/>
          </w:tcPr>
          <w:p>
            <w:pPr>
              <w:pStyle w:val="14"/>
            </w:pPr>
            <w:r>
              <w:t>≥95%</w:t>
            </w:r>
          </w:p>
        </w:tc>
        <w:tc>
          <w:tcPr>
            <w:tcW w:w="1843" w:type="dxa"/>
            <w:vAlign w:val="center"/>
          </w:tcPr>
          <w:p>
            <w:pPr>
              <w:pStyle w:val="14"/>
            </w:pPr>
            <w:r>
              <w:t>开展培训、组织党员活动按年度工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日常办公费用成本控制率</w:t>
            </w:r>
          </w:p>
        </w:tc>
        <w:tc>
          <w:tcPr>
            <w:tcW w:w="2891" w:type="dxa"/>
            <w:vAlign w:val="center"/>
          </w:tcPr>
          <w:p>
            <w:pPr>
              <w:pStyle w:val="14"/>
            </w:pPr>
            <w:r>
              <w:t>日常办公费用成本控制率</w:t>
            </w:r>
          </w:p>
        </w:tc>
        <w:tc>
          <w:tcPr>
            <w:tcW w:w="1276" w:type="dxa"/>
            <w:vAlign w:val="center"/>
          </w:tcPr>
          <w:p>
            <w:pPr>
              <w:pStyle w:val="14"/>
            </w:pPr>
            <w:r>
              <w:t>≤100%</w:t>
            </w:r>
          </w:p>
        </w:tc>
        <w:tc>
          <w:tcPr>
            <w:tcW w:w="1843" w:type="dxa"/>
            <w:vAlign w:val="center"/>
          </w:tcPr>
          <w:p>
            <w:pPr>
              <w:pStyle w:val="14"/>
            </w:pPr>
            <w:r>
              <w:t>日常办公费用成本控制率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经济效益指标</w:t>
            </w:r>
          </w:p>
        </w:tc>
        <w:tc>
          <w:tcPr>
            <w:tcW w:w="1332" w:type="dxa"/>
            <w:vAlign w:val="center"/>
          </w:tcPr>
          <w:p>
            <w:pPr>
              <w:pStyle w:val="14"/>
            </w:pPr>
            <w:r>
              <w:t>促进全镇域内经济水平提高</w:t>
            </w:r>
          </w:p>
        </w:tc>
        <w:tc>
          <w:tcPr>
            <w:tcW w:w="2891" w:type="dxa"/>
            <w:vAlign w:val="center"/>
          </w:tcPr>
          <w:p>
            <w:pPr>
              <w:pStyle w:val="14"/>
            </w:pPr>
            <w:r>
              <w:t>促进全镇域内经济水平提高</w:t>
            </w:r>
          </w:p>
        </w:tc>
        <w:tc>
          <w:tcPr>
            <w:tcW w:w="1276" w:type="dxa"/>
            <w:vAlign w:val="center"/>
          </w:tcPr>
          <w:p>
            <w:pPr>
              <w:pStyle w:val="14"/>
            </w:pPr>
            <w:r>
              <w:t>≥95%</w:t>
            </w:r>
          </w:p>
          <w:p>
            <w:pPr>
              <w:pStyle w:val="14"/>
            </w:pPr>
          </w:p>
        </w:tc>
        <w:tc>
          <w:tcPr>
            <w:tcW w:w="1843" w:type="dxa"/>
            <w:vAlign w:val="center"/>
          </w:tcPr>
          <w:p>
            <w:pPr>
              <w:pStyle w:val="14"/>
            </w:pPr>
            <w:r>
              <w:t>促进全镇域内经济水平提高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民兵参加重大演习，临时任务参与率</w:t>
            </w:r>
          </w:p>
        </w:tc>
        <w:tc>
          <w:tcPr>
            <w:tcW w:w="2891" w:type="dxa"/>
            <w:vAlign w:val="center"/>
          </w:tcPr>
          <w:p>
            <w:pPr>
              <w:pStyle w:val="14"/>
            </w:pPr>
            <w:r>
              <w:t>民兵参加重大演习，临时任务参与率</w:t>
            </w:r>
          </w:p>
        </w:tc>
        <w:tc>
          <w:tcPr>
            <w:tcW w:w="1276" w:type="dxa"/>
            <w:vAlign w:val="center"/>
          </w:tcPr>
          <w:p>
            <w:pPr>
              <w:pStyle w:val="14"/>
            </w:pPr>
            <w:r>
              <w:t>≥95%</w:t>
            </w:r>
          </w:p>
        </w:tc>
        <w:tc>
          <w:tcPr>
            <w:tcW w:w="1843" w:type="dxa"/>
            <w:vAlign w:val="center"/>
          </w:tcPr>
          <w:p>
            <w:pPr>
              <w:pStyle w:val="14"/>
            </w:pPr>
            <w:r>
              <w:t>民兵参加重大演习，临时任务参与率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对区域生态改善</w:t>
            </w:r>
          </w:p>
        </w:tc>
        <w:tc>
          <w:tcPr>
            <w:tcW w:w="2891" w:type="dxa"/>
            <w:vAlign w:val="center"/>
          </w:tcPr>
          <w:p>
            <w:pPr>
              <w:pStyle w:val="14"/>
            </w:pPr>
            <w:r>
              <w:t>对区域生态改善</w:t>
            </w:r>
          </w:p>
        </w:tc>
        <w:tc>
          <w:tcPr>
            <w:tcW w:w="1276" w:type="dxa"/>
            <w:vAlign w:val="center"/>
          </w:tcPr>
          <w:p>
            <w:pPr>
              <w:pStyle w:val="14"/>
            </w:pPr>
            <w:r>
              <w:t>≥95%</w:t>
            </w:r>
          </w:p>
        </w:tc>
        <w:tc>
          <w:tcPr>
            <w:tcW w:w="1843" w:type="dxa"/>
            <w:vAlign w:val="center"/>
          </w:tcPr>
          <w:p>
            <w:pPr>
              <w:pStyle w:val="14"/>
            </w:pPr>
            <w:r>
              <w:t>对区域生态改善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文体活动室接待人数</w:t>
            </w:r>
          </w:p>
        </w:tc>
        <w:tc>
          <w:tcPr>
            <w:tcW w:w="2891" w:type="dxa"/>
            <w:vAlign w:val="center"/>
          </w:tcPr>
          <w:p>
            <w:pPr>
              <w:pStyle w:val="14"/>
            </w:pPr>
            <w:r>
              <w:t>文体活动室接待人数</w:t>
            </w:r>
          </w:p>
        </w:tc>
        <w:tc>
          <w:tcPr>
            <w:tcW w:w="1276" w:type="dxa"/>
            <w:vAlign w:val="center"/>
          </w:tcPr>
          <w:p>
            <w:pPr>
              <w:pStyle w:val="14"/>
            </w:pPr>
            <w:r>
              <w:t>≥95%</w:t>
            </w:r>
          </w:p>
        </w:tc>
        <w:tc>
          <w:tcPr>
            <w:tcW w:w="1843" w:type="dxa"/>
            <w:vAlign w:val="center"/>
          </w:tcPr>
          <w:p>
            <w:pPr>
              <w:pStyle w:val="14"/>
            </w:pPr>
            <w:r>
              <w:t>文体活动室接待人数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群众满意度</w:t>
            </w:r>
          </w:p>
        </w:tc>
        <w:tc>
          <w:tcPr>
            <w:tcW w:w="2891" w:type="dxa"/>
            <w:vAlign w:val="center"/>
          </w:tcPr>
          <w:p>
            <w:pPr>
              <w:pStyle w:val="14"/>
            </w:pPr>
            <w:r>
              <w:t>群众满意度</w:t>
            </w:r>
          </w:p>
        </w:tc>
        <w:tc>
          <w:tcPr>
            <w:tcW w:w="1276" w:type="dxa"/>
            <w:vAlign w:val="center"/>
          </w:tcPr>
          <w:p>
            <w:pPr>
              <w:pStyle w:val="14"/>
            </w:pPr>
            <w:r>
              <w:t>≥95%</w:t>
            </w:r>
          </w:p>
        </w:tc>
        <w:tc>
          <w:tcPr>
            <w:tcW w:w="1843"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2、本级党组织建设、武装工作专项经费绩效目标表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13020524P000002100176</w:t>
            </w:r>
          </w:p>
        </w:tc>
        <w:tc>
          <w:tcPr>
            <w:tcW w:w="1587" w:type="dxa"/>
            <w:vAlign w:val="center"/>
          </w:tcPr>
          <w:p>
            <w:pPr>
              <w:pStyle w:val="12"/>
            </w:pPr>
            <w:r>
              <w:t>项目名称</w:t>
            </w:r>
          </w:p>
        </w:tc>
        <w:tc>
          <w:tcPr>
            <w:tcW w:w="4422" w:type="dxa"/>
            <w:gridSpan w:val="3"/>
            <w:vAlign w:val="center"/>
          </w:tcPr>
          <w:p>
            <w:pPr>
              <w:pStyle w:val="14"/>
            </w:pPr>
            <w:r>
              <w:t>本级党组织建设、武装工作专项经费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8.90</w:t>
            </w:r>
          </w:p>
        </w:tc>
        <w:tc>
          <w:tcPr>
            <w:tcW w:w="1587" w:type="dxa"/>
            <w:vAlign w:val="center"/>
          </w:tcPr>
          <w:p>
            <w:pPr>
              <w:pStyle w:val="12"/>
            </w:pPr>
            <w:r>
              <w:t>其中：财政    资金</w:t>
            </w:r>
          </w:p>
        </w:tc>
        <w:tc>
          <w:tcPr>
            <w:tcW w:w="1304" w:type="dxa"/>
            <w:vAlign w:val="center"/>
          </w:tcPr>
          <w:p>
            <w:pPr>
              <w:pStyle w:val="14"/>
            </w:pPr>
            <w:r>
              <w:t>8.90</w:t>
            </w:r>
          </w:p>
        </w:tc>
        <w:tc>
          <w:tcPr>
            <w:tcW w:w="1276" w:type="dxa"/>
            <w:vAlign w:val="center"/>
          </w:tcPr>
          <w:p>
            <w:pPr>
              <w:pStyle w:val="12"/>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基层人民武装部基础设施建设，业务开展、日常办公、专武干部服装购置等经费，提升基层武装建设水平，为开平区国防后备力量建设发挥积极作用。村级党组织活动场所建设，党员培训、警示教育参观学习，不忘初心</w:t>
            </w:r>
            <w:r>
              <w:rPr>
                <w:rFonts w:hint="eastAsia"/>
                <w:lang w:eastAsia="zh-CN"/>
              </w:rPr>
              <w:t>、</w:t>
            </w:r>
            <w:r>
              <w:t>牢记使命教育，党建宣传建设。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基层人民武装部基础设施建设，业务开展、日常办公、专武干部服装购置等经费，提升基层武装建设水平，为开平区国防后备力量建设发挥积极作用。村级党组织活动场所建设，党员培训、警示教育参观学习，不忘初心</w:t>
            </w:r>
            <w:r>
              <w:rPr>
                <w:rFonts w:hint="eastAsia"/>
                <w:lang w:eastAsia="zh-CN"/>
              </w:rPr>
              <w:t>、</w:t>
            </w:r>
            <w:r>
              <w:t>牢记使命教育，党建宣传建设。</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党刊覆盖面</w:t>
            </w:r>
          </w:p>
        </w:tc>
        <w:tc>
          <w:tcPr>
            <w:tcW w:w="2891" w:type="dxa"/>
            <w:vAlign w:val="center"/>
          </w:tcPr>
          <w:p>
            <w:pPr>
              <w:pStyle w:val="14"/>
            </w:pPr>
            <w:r>
              <w:t>党刊覆盖面</w:t>
            </w:r>
          </w:p>
        </w:tc>
        <w:tc>
          <w:tcPr>
            <w:tcW w:w="1276" w:type="dxa"/>
            <w:vAlign w:val="center"/>
          </w:tcPr>
          <w:p>
            <w:pPr>
              <w:pStyle w:val="14"/>
            </w:pPr>
            <w:r>
              <w:t>≥95%</w:t>
            </w:r>
          </w:p>
        </w:tc>
        <w:tc>
          <w:tcPr>
            <w:tcW w:w="1843" w:type="dxa"/>
            <w:vAlign w:val="center"/>
          </w:tcPr>
          <w:p>
            <w:pPr>
              <w:pStyle w:val="14"/>
            </w:pPr>
            <w:r>
              <w:t>党刊覆盖面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提升社会组织党支部建设质量</w:t>
            </w:r>
          </w:p>
        </w:tc>
        <w:tc>
          <w:tcPr>
            <w:tcW w:w="2891" w:type="dxa"/>
            <w:vAlign w:val="center"/>
          </w:tcPr>
          <w:p>
            <w:pPr>
              <w:pStyle w:val="14"/>
            </w:pPr>
            <w:r>
              <w:t>提升社会组织党支部建设质量</w:t>
            </w:r>
          </w:p>
        </w:tc>
        <w:tc>
          <w:tcPr>
            <w:tcW w:w="1276" w:type="dxa"/>
            <w:vAlign w:val="center"/>
          </w:tcPr>
          <w:p>
            <w:pPr>
              <w:pStyle w:val="14"/>
            </w:pPr>
            <w:r>
              <w:t>≥95%</w:t>
            </w:r>
          </w:p>
        </w:tc>
        <w:tc>
          <w:tcPr>
            <w:tcW w:w="1843" w:type="dxa"/>
            <w:vAlign w:val="center"/>
          </w:tcPr>
          <w:p>
            <w:pPr>
              <w:pStyle w:val="14"/>
            </w:pPr>
            <w:r>
              <w:t>提升社会组织党支部建设质量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开展培训、组织党员活动按年度工</w:t>
            </w:r>
          </w:p>
        </w:tc>
        <w:tc>
          <w:tcPr>
            <w:tcW w:w="2891" w:type="dxa"/>
            <w:vAlign w:val="center"/>
          </w:tcPr>
          <w:p>
            <w:pPr>
              <w:pStyle w:val="14"/>
            </w:pPr>
            <w:r>
              <w:t>开展培训、组织党员活动按年度工</w:t>
            </w:r>
          </w:p>
        </w:tc>
        <w:tc>
          <w:tcPr>
            <w:tcW w:w="1276" w:type="dxa"/>
            <w:vAlign w:val="center"/>
          </w:tcPr>
          <w:p>
            <w:pPr>
              <w:pStyle w:val="14"/>
            </w:pPr>
            <w:r>
              <w:t>≥95%</w:t>
            </w:r>
          </w:p>
        </w:tc>
        <w:tc>
          <w:tcPr>
            <w:tcW w:w="1843" w:type="dxa"/>
            <w:vAlign w:val="center"/>
          </w:tcPr>
          <w:p>
            <w:pPr>
              <w:pStyle w:val="14"/>
            </w:pPr>
            <w:r>
              <w:t>开展培训、组织党员活动按年度工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日常办公费用成本控制率</w:t>
            </w:r>
          </w:p>
        </w:tc>
        <w:tc>
          <w:tcPr>
            <w:tcW w:w="2891" w:type="dxa"/>
            <w:vAlign w:val="center"/>
          </w:tcPr>
          <w:p>
            <w:pPr>
              <w:pStyle w:val="14"/>
            </w:pPr>
            <w:r>
              <w:t>日常办公费用成本控制率</w:t>
            </w:r>
          </w:p>
        </w:tc>
        <w:tc>
          <w:tcPr>
            <w:tcW w:w="1276" w:type="dxa"/>
            <w:vAlign w:val="center"/>
          </w:tcPr>
          <w:p>
            <w:pPr>
              <w:pStyle w:val="14"/>
            </w:pPr>
            <w:r>
              <w:t>≤100%</w:t>
            </w:r>
          </w:p>
        </w:tc>
        <w:tc>
          <w:tcPr>
            <w:tcW w:w="1843" w:type="dxa"/>
            <w:vAlign w:val="center"/>
          </w:tcPr>
          <w:p>
            <w:pPr>
              <w:pStyle w:val="14"/>
            </w:pPr>
            <w:r>
              <w:t>日常办公费用成本控制率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经济效益指标</w:t>
            </w:r>
          </w:p>
        </w:tc>
        <w:tc>
          <w:tcPr>
            <w:tcW w:w="1332" w:type="dxa"/>
            <w:vAlign w:val="center"/>
          </w:tcPr>
          <w:p>
            <w:pPr>
              <w:pStyle w:val="14"/>
            </w:pPr>
            <w:r>
              <w:t>促进全镇域内经济水平提高</w:t>
            </w:r>
          </w:p>
        </w:tc>
        <w:tc>
          <w:tcPr>
            <w:tcW w:w="2891" w:type="dxa"/>
            <w:vAlign w:val="center"/>
          </w:tcPr>
          <w:p>
            <w:pPr>
              <w:pStyle w:val="14"/>
            </w:pPr>
            <w:r>
              <w:t>促进全镇域内经济水平提高</w:t>
            </w:r>
          </w:p>
        </w:tc>
        <w:tc>
          <w:tcPr>
            <w:tcW w:w="1276" w:type="dxa"/>
            <w:vAlign w:val="center"/>
          </w:tcPr>
          <w:p>
            <w:pPr>
              <w:pStyle w:val="14"/>
            </w:pPr>
            <w:r>
              <w:t>≥95%</w:t>
            </w:r>
          </w:p>
        </w:tc>
        <w:tc>
          <w:tcPr>
            <w:tcW w:w="1843" w:type="dxa"/>
            <w:vAlign w:val="center"/>
          </w:tcPr>
          <w:p>
            <w:pPr>
              <w:pStyle w:val="14"/>
            </w:pPr>
            <w:r>
              <w:t>促进全镇域内经济水平提高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民兵参加重大演习，临时任务参与率</w:t>
            </w:r>
          </w:p>
        </w:tc>
        <w:tc>
          <w:tcPr>
            <w:tcW w:w="2891" w:type="dxa"/>
            <w:vAlign w:val="center"/>
          </w:tcPr>
          <w:p>
            <w:pPr>
              <w:pStyle w:val="14"/>
            </w:pPr>
            <w:r>
              <w:t>民兵参加重大演习，临时任务参与率</w:t>
            </w:r>
          </w:p>
        </w:tc>
        <w:tc>
          <w:tcPr>
            <w:tcW w:w="1276" w:type="dxa"/>
            <w:vAlign w:val="center"/>
          </w:tcPr>
          <w:p>
            <w:pPr>
              <w:pStyle w:val="14"/>
            </w:pPr>
            <w:r>
              <w:t>≥95%</w:t>
            </w:r>
          </w:p>
        </w:tc>
        <w:tc>
          <w:tcPr>
            <w:tcW w:w="1843" w:type="dxa"/>
            <w:vAlign w:val="center"/>
          </w:tcPr>
          <w:p>
            <w:pPr>
              <w:pStyle w:val="14"/>
            </w:pPr>
            <w:r>
              <w:t>民兵参加重大演习，临时任务参与率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对区域生态改善</w:t>
            </w:r>
          </w:p>
        </w:tc>
        <w:tc>
          <w:tcPr>
            <w:tcW w:w="2891" w:type="dxa"/>
            <w:vAlign w:val="center"/>
          </w:tcPr>
          <w:p>
            <w:pPr>
              <w:pStyle w:val="14"/>
            </w:pPr>
            <w:r>
              <w:t>对区域生态改善</w:t>
            </w:r>
          </w:p>
        </w:tc>
        <w:tc>
          <w:tcPr>
            <w:tcW w:w="1276" w:type="dxa"/>
            <w:vAlign w:val="center"/>
          </w:tcPr>
          <w:p>
            <w:pPr>
              <w:pStyle w:val="14"/>
            </w:pPr>
            <w:r>
              <w:t>≥95%</w:t>
            </w:r>
          </w:p>
        </w:tc>
        <w:tc>
          <w:tcPr>
            <w:tcW w:w="1843" w:type="dxa"/>
            <w:vAlign w:val="center"/>
          </w:tcPr>
          <w:p>
            <w:pPr>
              <w:pStyle w:val="14"/>
            </w:pPr>
            <w:r>
              <w:t>对区域生态改善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文体活动室接待人数</w:t>
            </w:r>
          </w:p>
        </w:tc>
        <w:tc>
          <w:tcPr>
            <w:tcW w:w="2891" w:type="dxa"/>
            <w:vAlign w:val="center"/>
          </w:tcPr>
          <w:p>
            <w:pPr>
              <w:pStyle w:val="14"/>
            </w:pPr>
            <w:r>
              <w:t>文体活动室接待人数</w:t>
            </w:r>
          </w:p>
        </w:tc>
        <w:tc>
          <w:tcPr>
            <w:tcW w:w="1276" w:type="dxa"/>
            <w:vAlign w:val="center"/>
          </w:tcPr>
          <w:p>
            <w:pPr>
              <w:pStyle w:val="14"/>
            </w:pPr>
            <w:r>
              <w:t>≥95%</w:t>
            </w:r>
          </w:p>
        </w:tc>
        <w:tc>
          <w:tcPr>
            <w:tcW w:w="1843" w:type="dxa"/>
            <w:vAlign w:val="center"/>
          </w:tcPr>
          <w:p>
            <w:pPr>
              <w:pStyle w:val="14"/>
            </w:pPr>
            <w:r>
              <w:t>文体活动室接待人数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群众满意度</w:t>
            </w:r>
          </w:p>
        </w:tc>
        <w:tc>
          <w:tcPr>
            <w:tcW w:w="2891" w:type="dxa"/>
            <w:vAlign w:val="center"/>
          </w:tcPr>
          <w:p>
            <w:pPr>
              <w:pStyle w:val="14"/>
            </w:pPr>
            <w:r>
              <w:t>群众满意度</w:t>
            </w:r>
          </w:p>
        </w:tc>
        <w:tc>
          <w:tcPr>
            <w:tcW w:w="1276" w:type="dxa"/>
            <w:vAlign w:val="center"/>
          </w:tcPr>
          <w:p>
            <w:pPr>
              <w:pStyle w:val="14"/>
            </w:pPr>
            <w:r>
              <w:t>≥95%</w:t>
            </w:r>
          </w:p>
        </w:tc>
        <w:tc>
          <w:tcPr>
            <w:tcW w:w="1843"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3、本级森林防火资金绩效目标表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13020524P00907910014W</w:t>
            </w:r>
          </w:p>
        </w:tc>
        <w:tc>
          <w:tcPr>
            <w:tcW w:w="1587" w:type="dxa"/>
            <w:vAlign w:val="center"/>
          </w:tcPr>
          <w:p>
            <w:pPr>
              <w:pStyle w:val="12"/>
            </w:pPr>
            <w:r>
              <w:t>项目名称</w:t>
            </w:r>
          </w:p>
        </w:tc>
        <w:tc>
          <w:tcPr>
            <w:tcW w:w="4422" w:type="dxa"/>
            <w:gridSpan w:val="3"/>
            <w:vAlign w:val="center"/>
          </w:tcPr>
          <w:p>
            <w:pPr>
              <w:pStyle w:val="14"/>
            </w:pPr>
            <w:r>
              <w:t>本级森林防火资金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160.00</w:t>
            </w:r>
          </w:p>
        </w:tc>
        <w:tc>
          <w:tcPr>
            <w:tcW w:w="1587" w:type="dxa"/>
            <w:vAlign w:val="center"/>
          </w:tcPr>
          <w:p>
            <w:pPr>
              <w:pStyle w:val="12"/>
            </w:pPr>
            <w:r>
              <w:t>其中：财政    资金</w:t>
            </w:r>
          </w:p>
        </w:tc>
        <w:tc>
          <w:tcPr>
            <w:tcW w:w="1304" w:type="dxa"/>
            <w:vAlign w:val="center"/>
          </w:tcPr>
          <w:p>
            <w:pPr>
              <w:pStyle w:val="14"/>
            </w:pPr>
            <w:r>
              <w:t>160.00</w:t>
            </w:r>
          </w:p>
        </w:tc>
        <w:tc>
          <w:tcPr>
            <w:tcW w:w="1276" w:type="dxa"/>
            <w:vAlign w:val="center"/>
          </w:tcPr>
          <w:p>
            <w:pPr>
              <w:pStyle w:val="12"/>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为预防森林火灾，双桥镇为省级森林小镇，山林总面积约3万余亩，保证人们的生命财产安全，保护生态环境，维护社会稳定，特申请防火款项目。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1.为预防森林火灾，双桥镇为省级森林小镇，山林总面积约3万余亩，保证人们的生命财产安全，保护生态环境，维护社会稳定，特申请防火款项目。</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开展环保专项行动次数</w:t>
            </w:r>
          </w:p>
        </w:tc>
        <w:tc>
          <w:tcPr>
            <w:tcW w:w="2891" w:type="dxa"/>
            <w:vAlign w:val="center"/>
          </w:tcPr>
          <w:p>
            <w:pPr>
              <w:pStyle w:val="14"/>
            </w:pPr>
            <w:r>
              <w:t>开展环保专项行动次数</w:t>
            </w:r>
          </w:p>
        </w:tc>
        <w:tc>
          <w:tcPr>
            <w:tcW w:w="1276" w:type="dxa"/>
            <w:vAlign w:val="center"/>
          </w:tcPr>
          <w:p>
            <w:pPr>
              <w:pStyle w:val="14"/>
            </w:pPr>
            <w:r>
              <w:t>≥5次</w:t>
            </w:r>
          </w:p>
        </w:tc>
        <w:tc>
          <w:tcPr>
            <w:tcW w:w="1843" w:type="dxa"/>
            <w:vAlign w:val="center"/>
          </w:tcPr>
          <w:p>
            <w:pPr>
              <w:pStyle w:val="14"/>
            </w:pPr>
            <w:r>
              <w:t>开展环保专项行动次数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开展环境保障工作质量</w:t>
            </w:r>
          </w:p>
        </w:tc>
        <w:tc>
          <w:tcPr>
            <w:tcW w:w="2891" w:type="dxa"/>
            <w:vAlign w:val="center"/>
          </w:tcPr>
          <w:p>
            <w:pPr>
              <w:pStyle w:val="14"/>
            </w:pPr>
            <w:r>
              <w:t>开展环境保障工作质量</w:t>
            </w:r>
          </w:p>
        </w:tc>
        <w:tc>
          <w:tcPr>
            <w:tcW w:w="1276" w:type="dxa"/>
            <w:vAlign w:val="center"/>
          </w:tcPr>
          <w:p>
            <w:pPr>
              <w:pStyle w:val="14"/>
            </w:pPr>
            <w:r>
              <w:t>≥95%</w:t>
            </w:r>
          </w:p>
          <w:p>
            <w:pPr>
              <w:pStyle w:val="14"/>
            </w:pPr>
          </w:p>
        </w:tc>
        <w:tc>
          <w:tcPr>
            <w:tcW w:w="1843" w:type="dxa"/>
            <w:vAlign w:val="center"/>
          </w:tcPr>
          <w:p>
            <w:pPr>
              <w:pStyle w:val="14"/>
            </w:pPr>
            <w:r>
              <w:t>开展环境保障工作质量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资金按时拨付</w:t>
            </w:r>
          </w:p>
        </w:tc>
        <w:tc>
          <w:tcPr>
            <w:tcW w:w="2891" w:type="dxa"/>
            <w:vAlign w:val="center"/>
          </w:tcPr>
          <w:p>
            <w:pPr>
              <w:pStyle w:val="14"/>
            </w:pPr>
            <w:r>
              <w:t>资金按时拨付</w:t>
            </w:r>
          </w:p>
        </w:tc>
        <w:tc>
          <w:tcPr>
            <w:tcW w:w="1276" w:type="dxa"/>
            <w:vAlign w:val="center"/>
          </w:tcPr>
          <w:p>
            <w:pPr>
              <w:pStyle w:val="14"/>
            </w:pPr>
            <w:r>
              <w:t>≥95%</w:t>
            </w:r>
          </w:p>
          <w:p>
            <w:pPr>
              <w:pStyle w:val="14"/>
            </w:pPr>
          </w:p>
        </w:tc>
        <w:tc>
          <w:tcPr>
            <w:tcW w:w="1843" w:type="dxa"/>
            <w:vAlign w:val="center"/>
          </w:tcPr>
          <w:p>
            <w:pPr>
              <w:pStyle w:val="14"/>
            </w:pPr>
            <w:r>
              <w:t>资金按时拨付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项目资金支付率</w:t>
            </w:r>
          </w:p>
        </w:tc>
        <w:tc>
          <w:tcPr>
            <w:tcW w:w="2891" w:type="dxa"/>
            <w:vAlign w:val="center"/>
          </w:tcPr>
          <w:p>
            <w:pPr>
              <w:pStyle w:val="14"/>
            </w:pPr>
            <w:r>
              <w:t>项目资金支付率</w:t>
            </w:r>
          </w:p>
        </w:tc>
        <w:tc>
          <w:tcPr>
            <w:tcW w:w="1276" w:type="dxa"/>
            <w:vAlign w:val="center"/>
          </w:tcPr>
          <w:p>
            <w:pPr>
              <w:pStyle w:val="14"/>
            </w:pPr>
            <w:r>
              <w:t>≥95%</w:t>
            </w:r>
          </w:p>
          <w:p>
            <w:pPr>
              <w:pStyle w:val="14"/>
            </w:pPr>
          </w:p>
        </w:tc>
        <w:tc>
          <w:tcPr>
            <w:tcW w:w="1843" w:type="dxa"/>
            <w:vAlign w:val="center"/>
          </w:tcPr>
          <w:p>
            <w:pPr>
              <w:pStyle w:val="14"/>
            </w:pPr>
            <w:r>
              <w:t>项目资金支付率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经济效益指标</w:t>
            </w:r>
          </w:p>
        </w:tc>
        <w:tc>
          <w:tcPr>
            <w:tcW w:w="1332" w:type="dxa"/>
            <w:vAlign w:val="center"/>
          </w:tcPr>
          <w:p>
            <w:pPr>
              <w:pStyle w:val="14"/>
            </w:pPr>
            <w:r>
              <w:t>项目工程完成情况</w:t>
            </w:r>
          </w:p>
        </w:tc>
        <w:tc>
          <w:tcPr>
            <w:tcW w:w="2891" w:type="dxa"/>
            <w:vAlign w:val="center"/>
          </w:tcPr>
          <w:p>
            <w:pPr>
              <w:pStyle w:val="14"/>
            </w:pPr>
            <w:r>
              <w:t>项目工程完成情况</w:t>
            </w:r>
          </w:p>
        </w:tc>
        <w:tc>
          <w:tcPr>
            <w:tcW w:w="1276" w:type="dxa"/>
            <w:vAlign w:val="center"/>
          </w:tcPr>
          <w:p>
            <w:pPr>
              <w:pStyle w:val="14"/>
            </w:pPr>
            <w:r>
              <w:t>≥95%</w:t>
            </w:r>
          </w:p>
          <w:p>
            <w:pPr>
              <w:pStyle w:val="14"/>
            </w:pPr>
          </w:p>
        </w:tc>
        <w:tc>
          <w:tcPr>
            <w:tcW w:w="1843" w:type="dxa"/>
            <w:vAlign w:val="center"/>
          </w:tcPr>
          <w:p>
            <w:pPr>
              <w:pStyle w:val="14"/>
            </w:pPr>
            <w:r>
              <w:t>项目工程完成情况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项目对社会效益提升比</w:t>
            </w:r>
          </w:p>
        </w:tc>
        <w:tc>
          <w:tcPr>
            <w:tcW w:w="2891" w:type="dxa"/>
            <w:vAlign w:val="center"/>
          </w:tcPr>
          <w:p>
            <w:pPr>
              <w:pStyle w:val="14"/>
            </w:pPr>
            <w:r>
              <w:t>项目对社会效益提升比</w:t>
            </w:r>
          </w:p>
        </w:tc>
        <w:tc>
          <w:tcPr>
            <w:tcW w:w="1276" w:type="dxa"/>
            <w:vAlign w:val="center"/>
          </w:tcPr>
          <w:p>
            <w:pPr>
              <w:pStyle w:val="14"/>
            </w:pPr>
            <w:r>
              <w:t>≥95%</w:t>
            </w:r>
          </w:p>
          <w:p>
            <w:pPr>
              <w:pStyle w:val="14"/>
            </w:pPr>
          </w:p>
        </w:tc>
        <w:tc>
          <w:tcPr>
            <w:tcW w:w="1843" w:type="dxa"/>
            <w:vAlign w:val="center"/>
          </w:tcPr>
          <w:p>
            <w:pPr>
              <w:pStyle w:val="14"/>
            </w:pPr>
            <w:r>
              <w:t>项目对社会效益提升比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大气质量环境得到显著改善</w:t>
            </w:r>
          </w:p>
        </w:tc>
        <w:tc>
          <w:tcPr>
            <w:tcW w:w="2891" w:type="dxa"/>
            <w:vAlign w:val="center"/>
          </w:tcPr>
          <w:p>
            <w:pPr>
              <w:pStyle w:val="14"/>
            </w:pPr>
            <w:r>
              <w:t>大气质量环境得到显著改善</w:t>
            </w:r>
          </w:p>
        </w:tc>
        <w:tc>
          <w:tcPr>
            <w:tcW w:w="1276" w:type="dxa"/>
            <w:vAlign w:val="center"/>
          </w:tcPr>
          <w:p>
            <w:pPr>
              <w:pStyle w:val="14"/>
            </w:pPr>
            <w:r>
              <w:t>≥95%</w:t>
            </w:r>
          </w:p>
          <w:p>
            <w:pPr>
              <w:pStyle w:val="14"/>
            </w:pPr>
          </w:p>
        </w:tc>
        <w:tc>
          <w:tcPr>
            <w:tcW w:w="1843" w:type="dxa"/>
            <w:vAlign w:val="center"/>
          </w:tcPr>
          <w:p>
            <w:pPr>
              <w:pStyle w:val="14"/>
            </w:pPr>
            <w:r>
              <w:t>大气质量环境得到显著改善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促进我镇生态环境可持续发展</w:t>
            </w:r>
          </w:p>
        </w:tc>
        <w:tc>
          <w:tcPr>
            <w:tcW w:w="2891" w:type="dxa"/>
            <w:vAlign w:val="center"/>
          </w:tcPr>
          <w:p>
            <w:pPr>
              <w:pStyle w:val="14"/>
            </w:pPr>
            <w:r>
              <w:t>促进我镇生态环境可持续发展</w:t>
            </w:r>
          </w:p>
        </w:tc>
        <w:tc>
          <w:tcPr>
            <w:tcW w:w="1276" w:type="dxa"/>
            <w:vAlign w:val="center"/>
          </w:tcPr>
          <w:p>
            <w:pPr>
              <w:pStyle w:val="14"/>
            </w:pPr>
            <w:r>
              <w:t>≥95%</w:t>
            </w:r>
          </w:p>
          <w:p>
            <w:pPr>
              <w:pStyle w:val="14"/>
            </w:pPr>
          </w:p>
        </w:tc>
        <w:tc>
          <w:tcPr>
            <w:tcW w:w="1843" w:type="dxa"/>
            <w:vAlign w:val="center"/>
          </w:tcPr>
          <w:p>
            <w:pPr>
              <w:pStyle w:val="14"/>
            </w:pPr>
            <w:r>
              <w:t>促进我镇生态环境可持续发展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群众满意度</w:t>
            </w:r>
          </w:p>
        </w:tc>
        <w:tc>
          <w:tcPr>
            <w:tcW w:w="2891" w:type="dxa"/>
            <w:vAlign w:val="center"/>
          </w:tcPr>
          <w:p>
            <w:pPr>
              <w:pStyle w:val="14"/>
            </w:pPr>
            <w:r>
              <w:t>群众满意度</w:t>
            </w:r>
          </w:p>
        </w:tc>
        <w:tc>
          <w:tcPr>
            <w:tcW w:w="1276" w:type="dxa"/>
            <w:vAlign w:val="center"/>
          </w:tcPr>
          <w:p>
            <w:pPr>
              <w:pStyle w:val="14"/>
            </w:pPr>
            <w:r>
              <w:t>≥95%</w:t>
            </w:r>
          </w:p>
          <w:p>
            <w:pPr>
              <w:pStyle w:val="14"/>
            </w:pPr>
          </w:p>
        </w:tc>
        <w:tc>
          <w:tcPr>
            <w:tcW w:w="1843"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4、本级双桥镇2024年援藏干部补贴绩效目标表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13020524P009082100029</w:t>
            </w:r>
          </w:p>
        </w:tc>
        <w:tc>
          <w:tcPr>
            <w:tcW w:w="1587" w:type="dxa"/>
            <w:vAlign w:val="center"/>
          </w:tcPr>
          <w:p>
            <w:pPr>
              <w:pStyle w:val="12"/>
            </w:pPr>
            <w:r>
              <w:t>项目名称</w:t>
            </w:r>
          </w:p>
        </w:tc>
        <w:tc>
          <w:tcPr>
            <w:tcW w:w="4422" w:type="dxa"/>
            <w:gridSpan w:val="3"/>
            <w:vAlign w:val="center"/>
          </w:tcPr>
          <w:p>
            <w:pPr>
              <w:pStyle w:val="14"/>
            </w:pPr>
            <w:r>
              <w:t>本级双桥镇2024年援藏干部补贴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3.05</w:t>
            </w:r>
          </w:p>
        </w:tc>
        <w:tc>
          <w:tcPr>
            <w:tcW w:w="1587" w:type="dxa"/>
            <w:vAlign w:val="center"/>
          </w:tcPr>
          <w:p>
            <w:pPr>
              <w:pStyle w:val="12"/>
            </w:pPr>
            <w:r>
              <w:t>其中：财政    资金</w:t>
            </w:r>
          </w:p>
        </w:tc>
        <w:tc>
          <w:tcPr>
            <w:tcW w:w="1304" w:type="dxa"/>
            <w:vAlign w:val="center"/>
          </w:tcPr>
          <w:p>
            <w:pPr>
              <w:pStyle w:val="14"/>
            </w:pPr>
            <w:r>
              <w:t>3.05</w:t>
            </w:r>
          </w:p>
        </w:tc>
        <w:tc>
          <w:tcPr>
            <w:tcW w:w="1276" w:type="dxa"/>
            <w:vAlign w:val="center"/>
          </w:tcPr>
          <w:p>
            <w:pPr>
              <w:pStyle w:val="12"/>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 xml:space="preserve"> 确保援藏干部工作顺利开展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1.目标内容1   确保援藏干部工作顺利开展</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保障人员数量</w:t>
            </w:r>
          </w:p>
        </w:tc>
        <w:tc>
          <w:tcPr>
            <w:tcW w:w="2891" w:type="dxa"/>
            <w:vAlign w:val="center"/>
          </w:tcPr>
          <w:p>
            <w:pPr>
              <w:pStyle w:val="14"/>
            </w:pPr>
            <w:r>
              <w:t>保障人员数量</w:t>
            </w:r>
          </w:p>
        </w:tc>
        <w:tc>
          <w:tcPr>
            <w:tcW w:w="1276" w:type="dxa"/>
            <w:vAlign w:val="center"/>
          </w:tcPr>
          <w:p>
            <w:pPr>
              <w:pStyle w:val="14"/>
            </w:pPr>
            <w:r>
              <w:t>≥1人</w:t>
            </w:r>
          </w:p>
        </w:tc>
        <w:tc>
          <w:tcPr>
            <w:tcW w:w="1843" w:type="dxa"/>
            <w:vAlign w:val="center"/>
          </w:tcPr>
          <w:p>
            <w:pPr>
              <w:pStyle w:val="14"/>
            </w:pPr>
            <w:r>
              <w:t>《关于第十批援藏干部人才进藏工作的通知》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专款专用率</w:t>
            </w:r>
          </w:p>
        </w:tc>
        <w:tc>
          <w:tcPr>
            <w:tcW w:w="2891" w:type="dxa"/>
            <w:vAlign w:val="center"/>
          </w:tcPr>
          <w:p>
            <w:pPr>
              <w:pStyle w:val="14"/>
            </w:pPr>
            <w:r>
              <w:t>专款专用率</w:t>
            </w:r>
          </w:p>
        </w:tc>
        <w:tc>
          <w:tcPr>
            <w:tcW w:w="1276" w:type="dxa"/>
            <w:vAlign w:val="center"/>
          </w:tcPr>
          <w:p>
            <w:pPr>
              <w:pStyle w:val="14"/>
            </w:pPr>
            <w:r>
              <w:t>≥95%</w:t>
            </w:r>
          </w:p>
        </w:tc>
        <w:tc>
          <w:tcPr>
            <w:tcW w:w="1843" w:type="dxa"/>
            <w:vAlign w:val="center"/>
          </w:tcPr>
          <w:p>
            <w:pPr>
              <w:pStyle w:val="14"/>
            </w:pPr>
            <w:r>
              <w:t>《关于第十批援藏干部人才进藏工作的通知》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支付时效</w:t>
            </w:r>
          </w:p>
        </w:tc>
        <w:tc>
          <w:tcPr>
            <w:tcW w:w="2891" w:type="dxa"/>
            <w:vAlign w:val="center"/>
          </w:tcPr>
          <w:p>
            <w:pPr>
              <w:pStyle w:val="14"/>
            </w:pPr>
            <w:r>
              <w:t>支付时效</w:t>
            </w:r>
          </w:p>
        </w:tc>
        <w:tc>
          <w:tcPr>
            <w:tcW w:w="1276" w:type="dxa"/>
            <w:vAlign w:val="center"/>
          </w:tcPr>
          <w:p>
            <w:pPr>
              <w:pStyle w:val="14"/>
            </w:pPr>
            <w:r>
              <w:t>≥95%</w:t>
            </w:r>
          </w:p>
        </w:tc>
        <w:tc>
          <w:tcPr>
            <w:tcW w:w="1843" w:type="dxa"/>
            <w:vAlign w:val="center"/>
          </w:tcPr>
          <w:p>
            <w:pPr>
              <w:pStyle w:val="14"/>
            </w:pPr>
            <w:r>
              <w:t>《关于第十批援藏干部人才进藏工作的通知》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经费保证能力</w:t>
            </w:r>
          </w:p>
        </w:tc>
        <w:tc>
          <w:tcPr>
            <w:tcW w:w="2891" w:type="dxa"/>
            <w:vAlign w:val="center"/>
          </w:tcPr>
          <w:p>
            <w:pPr>
              <w:pStyle w:val="14"/>
            </w:pPr>
            <w:r>
              <w:t>经费保证能力</w:t>
            </w:r>
          </w:p>
          <w:p>
            <w:pPr>
              <w:pStyle w:val="14"/>
            </w:pPr>
          </w:p>
        </w:tc>
        <w:tc>
          <w:tcPr>
            <w:tcW w:w="1276" w:type="dxa"/>
            <w:vAlign w:val="center"/>
          </w:tcPr>
          <w:p>
            <w:pPr>
              <w:pStyle w:val="14"/>
            </w:pPr>
            <w:r>
              <w:t>≥95%</w:t>
            </w:r>
          </w:p>
        </w:tc>
        <w:tc>
          <w:tcPr>
            <w:tcW w:w="1843" w:type="dxa"/>
            <w:vAlign w:val="center"/>
          </w:tcPr>
          <w:p>
            <w:pPr>
              <w:pStyle w:val="14"/>
            </w:pPr>
            <w:r>
              <w:t>《关于第十批援藏干部人才进藏工作的通知》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经济效益指标</w:t>
            </w:r>
          </w:p>
        </w:tc>
        <w:tc>
          <w:tcPr>
            <w:tcW w:w="1332" w:type="dxa"/>
            <w:vAlign w:val="center"/>
          </w:tcPr>
          <w:p>
            <w:pPr>
              <w:pStyle w:val="14"/>
            </w:pPr>
            <w:r>
              <w:t>提供工作参考</w:t>
            </w:r>
          </w:p>
        </w:tc>
        <w:tc>
          <w:tcPr>
            <w:tcW w:w="2891" w:type="dxa"/>
            <w:vAlign w:val="center"/>
          </w:tcPr>
          <w:p>
            <w:pPr>
              <w:pStyle w:val="14"/>
            </w:pPr>
            <w:r>
              <w:t>提供工作参考</w:t>
            </w:r>
          </w:p>
        </w:tc>
        <w:tc>
          <w:tcPr>
            <w:tcW w:w="1276" w:type="dxa"/>
            <w:vAlign w:val="center"/>
          </w:tcPr>
          <w:p>
            <w:pPr>
              <w:pStyle w:val="14"/>
            </w:pPr>
            <w:r>
              <w:t>≥95%</w:t>
            </w:r>
          </w:p>
        </w:tc>
        <w:tc>
          <w:tcPr>
            <w:tcW w:w="1843" w:type="dxa"/>
            <w:vAlign w:val="center"/>
          </w:tcPr>
          <w:p>
            <w:pPr>
              <w:pStyle w:val="14"/>
            </w:pPr>
            <w:r>
              <w:t>《关于第十批援藏干部人才进藏工作的通知》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推进社会治理现代化</w:t>
            </w:r>
          </w:p>
        </w:tc>
        <w:tc>
          <w:tcPr>
            <w:tcW w:w="2891" w:type="dxa"/>
            <w:vAlign w:val="center"/>
          </w:tcPr>
          <w:p>
            <w:pPr>
              <w:pStyle w:val="14"/>
            </w:pPr>
            <w:r>
              <w:t>推进社会治理现代化</w:t>
            </w:r>
          </w:p>
        </w:tc>
        <w:tc>
          <w:tcPr>
            <w:tcW w:w="1276" w:type="dxa"/>
            <w:vAlign w:val="center"/>
          </w:tcPr>
          <w:p>
            <w:pPr>
              <w:pStyle w:val="14"/>
            </w:pPr>
            <w:r>
              <w:t>≥95%</w:t>
            </w:r>
          </w:p>
        </w:tc>
        <w:tc>
          <w:tcPr>
            <w:tcW w:w="1843" w:type="dxa"/>
            <w:vAlign w:val="center"/>
          </w:tcPr>
          <w:p>
            <w:pPr>
              <w:pStyle w:val="14"/>
            </w:pPr>
            <w:r>
              <w:t>《关于第十批援藏干部人才进藏工作的通知》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项目实施满意度</w:t>
            </w:r>
          </w:p>
        </w:tc>
        <w:tc>
          <w:tcPr>
            <w:tcW w:w="2891" w:type="dxa"/>
            <w:vAlign w:val="center"/>
          </w:tcPr>
          <w:p>
            <w:pPr>
              <w:pStyle w:val="14"/>
            </w:pPr>
            <w:r>
              <w:t>项目实施满意度</w:t>
            </w:r>
          </w:p>
        </w:tc>
        <w:tc>
          <w:tcPr>
            <w:tcW w:w="1276" w:type="dxa"/>
            <w:vAlign w:val="center"/>
          </w:tcPr>
          <w:p>
            <w:pPr>
              <w:pStyle w:val="14"/>
            </w:pPr>
            <w:r>
              <w:t>≥95%</w:t>
            </w:r>
          </w:p>
        </w:tc>
        <w:tc>
          <w:tcPr>
            <w:tcW w:w="1843" w:type="dxa"/>
            <w:vAlign w:val="center"/>
          </w:tcPr>
          <w:p>
            <w:pPr>
              <w:pStyle w:val="14"/>
            </w:pPr>
            <w:r>
              <w:t>《关于第十批援藏干部人才进藏工作的通知》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5、本级双桥镇乡村振兴工作资金绩效目标表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13020524P009079100139</w:t>
            </w:r>
          </w:p>
        </w:tc>
        <w:tc>
          <w:tcPr>
            <w:tcW w:w="1587" w:type="dxa"/>
            <w:vAlign w:val="center"/>
          </w:tcPr>
          <w:p>
            <w:pPr>
              <w:pStyle w:val="12"/>
            </w:pPr>
            <w:r>
              <w:t>项目名称</w:t>
            </w:r>
          </w:p>
        </w:tc>
        <w:tc>
          <w:tcPr>
            <w:tcW w:w="4422" w:type="dxa"/>
            <w:gridSpan w:val="3"/>
            <w:vAlign w:val="center"/>
          </w:tcPr>
          <w:p>
            <w:pPr>
              <w:pStyle w:val="14"/>
            </w:pPr>
            <w:r>
              <w:t>本级双桥镇乡村振兴工作资金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800.00</w:t>
            </w:r>
          </w:p>
        </w:tc>
        <w:tc>
          <w:tcPr>
            <w:tcW w:w="1587" w:type="dxa"/>
            <w:vAlign w:val="center"/>
          </w:tcPr>
          <w:p>
            <w:pPr>
              <w:pStyle w:val="12"/>
            </w:pPr>
            <w:r>
              <w:t>其中：财政    资金</w:t>
            </w:r>
          </w:p>
        </w:tc>
        <w:tc>
          <w:tcPr>
            <w:tcW w:w="1304" w:type="dxa"/>
            <w:vAlign w:val="center"/>
          </w:tcPr>
          <w:p>
            <w:pPr>
              <w:pStyle w:val="14"/>
            </w:pPr>
            <w:r>
              <w:t>800.00</w:t>
            </w:r>
          </w:p>
        </w:tc>
        <w:tc>
          <w:tcPr>
            <w:tcW w:w="1276" w:type="dxa"/>
            <w:vAlign w:val="center"/>
          </w:tcPr>
          <w:p>
            <w:pPr>
              <w:pStyle w:val="12"/>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乡村振兴工作经费，主要用于巍山公墓及周边硬化、绿化、美化、人居环境整治，绿、美、亮、净、硬建设。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1.目标内容1乡村振兴工作经费，主要用于巍山公墓及周边硬化、绿化、美化、人居环境整治，绿、美、亮、净、硬建设。</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其他各项综合实务工作完成率</w:t>
            </w:r>
          </w:p>
        </w:tc>
        <w:tc>
          <w:tcPr>
            <w:tcW w:w="2891" w:type="dxa"/>
            <w:vAlign w:val="center"/>
          </w:tcPr>
          <w:p>
            <w:pPr>
              <w:pStyle w:val="14"/>
            </w:pPr>
            <w:r>
              <w:t>其他各项综合实务工作完成率</w:t>
            </w:r>
          </w:p>
        </w:tc>
        <w:tc>
          <w:tcPr>
            <w:tcW w:w="1276" w:type="dxa"/>
            <w:vAlign w:val="center"/>
          </w:tcPr>
          <w:p>
            <w:pPr>
              <w:pStyle w:val="14"/>
            </w:pPr>
            <w:r>
              <w:t>≥95%</w:t>
            </w:r>
          </w:p>
        </w:tc>
        <w:tc>
          <w:tcPr>
            <w:tcW w:w="1843" w:type="dxa"/>
            <w:vAlign w:val="center"/>
          </w:tcPr>
          <w:p>
            <w:pPr>
              <w:pStyle w:val="14"/>
            </w:pPr>
            <w:r>
              <w:t>其他各项综合实务工作完成率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推进乡村治理工作数</w:t>
            </w:r>
          </w:p>
        </w:tc>
        <w:tc>
          <w:tcPr>
            <w:tcW w:w="2891" w:type="dxa"/>
            <w:vAlign w:val="center"/>
          </w:tcPr>
          <w:p>
            <w:pPr>
              <w:pStyle w:val="14"/>
            </w:pPr>
            <w:r>
              <w:t>推进乡村治理工作数</w:t>
            </w:r>
          </w:p>
        </w:tc>
        <w:tc>
          <w:tcPr>
            <w:tcW w:w="1276" w:type="dxa"/>
            <w:vAlign w:val="center"/>
          </w:tcPr>
          <w:p>
            <w:pPr>
              <w:pStyle w:val="14"/>
            </w:pPr>
            <w:r>
              <w:t>≥10次</w:t>
            </w:r>
          </w:p>
        </w:tc>
        <w:tc>
          <w:tcPr>
            <w:tcW w:w="1843" w:type="dxa"/>
            <w:vAlign w:val="center"/>
          </w:tcPr>
          <w:p>
            <w:pPr>
              <w:pStyle w:val="14"/>
            </w:pPr>
            <w:r>
              <w:t>推进乡村治理工作数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项目按时完成率</w:t>
            </w:r>
          </w:p>
        </w:tc>
        <w:tc>
          <w:tcPr>
            <w:tcW w:w="2891" w:type="dxa"/>
            <w:vAlign w:val="center"/>
          </w:tcPr>
          <w:p>
            <w:pPr>
              <w:pStyle w:val="14"/>
            </w:pPr>
            <w:r>
              <w:t>项目按时完成率</w:t>
            </w:r>
          </w:p>
        </w:tc>
        <w:tc>
          <w:tcPr>
            <w:tcW w:w="1276" w:type="dxa"/>
            <w:vAlign w:val="center"/>
          </w:tcPr>
          <w:p>
            <w:pPr>
              <w:pStyle w:val="14"/>
            </w:pPr>
            <w:r>
              <w:t>≥95%</w:t>
            </w:r>
          </w:p>
        </w:tc>
        <w:tc>
          <w:tcPr>
            <w:tcW w:w="1843" w:type="dxa"/>
            <w:vAlign w:val="center"/>
          </w:tcPr>
          <w:p>
            <w:pPr>
              <w:pStyle w:val="14"/>
            </w:pPr>
            <w:r>
              <w:t>项目按时完成率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项目资金支付率</w:t>
            </w:r>
          </w:p>
        </w:tc>
        <w:tc>
          <w:tcPr>
            <w:tcW w:w="2891" w:type="dxa"/>
            <w:vAlign w:val="center"/>
          </w:tcPr>
          <w:p>
            <w:pPr>
              <w:pStyle w:val="14"/>
            </w:pPr>
            <w:r>
              <w:t>项目资金支付率</w:t>
            </w:r>
          </w:p>
        </w:tc>
        <w:tc>
          <w:tcPr>
            <w:tcW w:w="1276" w:type="dxa"/>
            <w:vAlign w:val="center"/>
          </w:tcPr>
          <w:p>
            <w:pPr>
              <w:pStyle w:val="14"/>
            </w:pPr>
            <w:r>
              <w:t>≥95%</w:t>
            </w:r>
          </w:p>
        </w:tc>
        <w:tc>
          <w:tcPr>
            <w:tcW w:w="1843" w:type="dxa"/>
            <w:vAlign w:val="center"/>
          </w:tcPr>
          <w:p>
            <w:pPr>
              <w:pStyle w:val="14"/>
            </w:pPr>
            <w:r>
              <w:t>项目资金支付率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经济效益指标</w:t>
            </w:r>
          </w:p>
        </w:tc>
        <w:tc>
          <w:tcPr>
            <w:tcW w:w="1332" w:type="dxa"/>
            <w:vAlign w:val="center"/>
          </w:tcPr>
          <w:p>
            <w:pPr>
              <w:pStyle w:val="14"/>
            </w:pPr>
            <w:r>
              <w:t>项目工程完成情况</w:t>
            </w:r>
          </w:p>
        </w:tc>
        <w:tc>
          <w:tcPr>
            <w:tcW w:w="2891" w:type="dxa"/>
            <w:vAlign w:val="center"/>
          </w:tcPr>
          <w:p>
            <w:pPr>
              <w:pStyle w:val="14"/>
            </w:pPr>
            <w:r>
              <w:t>项目工程完成情况</w:t>
            </w:r>
          </w:p>
        </w:tc>
        <w:tc>
          <w:tcPr>
            <w:tcW w:w="1276" w:type="dxa"/>
            <w:vAlign w:val="center"/>
          </w:tcPr>
          <w:p>
            <w:pPr>
              <w:pStyle w:val="14"/>
            </w:pPr>
            <w:r>
              <w:t>≥95%</w:t>
            </w:r>
          </w:p>
        </w:tc>
        <w:tc>
          <w:tcPr>
            <w:tcW w:w="1843" w:type="dxa"/>
            <w:vAlign w:val="center"/>
          </w:tcPr>
          <w:p>
            <w:pPr>
              <w:pStyle w:val="14"/>
            </w:pPr>
            <w:r>
              <w:t>项目工程完成情况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项目对社会效益提升比</w:t>
            </w:r>
          </w:p>
        </w:tc>
        <w:tc>
          <w:tcPr>
            <w:tcW w:w="2891" w:type="dxa"/>
            <w:vAlign w:val="center"/>
          </w:tcPr>
          <w:p>
            <w:pPr>
              <w:pStyle w:val="14"/>
            </w:pPr>
            <w:r>
              <w:t>项目对社会效益提升比</w:t>
            </w:r>
          </w:p>
        </w:tc>
        <w:tc>
          <w:tcPr>
            <w:tcW w:w="1276" w:type="dxa"/>
            <w:vAlign w:val="center"/>
          </w:tcPr>
          <w:p>
            <w:pPr>
              <w:pStyle w:val="14"/>
            </w:pPr>
            <w:r>
              <w:t>≥95%</w:t>
            </w:r>
          </w:p>
        </w:tc>
        <w:tc>
          <w:tcPr>
            <w:tcW w:w="1843" w:type="dxa"/>
            <w:vAlign w:val="center"/>
          </w:tcPr>
          <w:p>
            <w:pPr>
              <w:pStyle w:val="14"/>
            </w:pPr>
            <w:r>
              <w:t>项目对社会效益提升比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项目对生态效益提升比</w:t>
            </w:r>
          </w:p>
        </w:tc>
        <w:tc>
          <w:tcPr>
            <w:tcW w:w="2891" w:type="dxa"/>
            <w:vAlign w:val="center"/>
          </w:tcPr>
          <w:p>
            <w:pPr>
              <w:pStyle w:val="14"/>
            </w:pPr>
            <w:r>
              <w:t>项目对生态效益提升比</w:t>
            </w:r>
          </w:p>
        </w:tc>
        <w:tc>
          <w:tcPr>
            <w:tcW w:w="1276" w:type="dxa"/>
            <w:vAlign w:val="center"/>
          </w:tcPr>
          <w:p>
            <w:pPr>
              <w:pStyle w:val="14"/>
            </w:pPr>
            <w:r>
              <w:t>≥95%</w:t>
            </w:r>
          </w:p>
        </w:tc>
        <w:tc>
          <w:tcPr>
            <w:tcW w:w="1843" w:type="dxa"/>
            <w:vAlign w:val="center"/>
          </w:tcPr>
          <w:p>
            <w:pPr>
              <w:pStyle w:val="14"/>
            </w:pPr>
            <w:r>
              <w:t>项目对生态效益提升比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项目持续影响效果</w:t>
            </w:r>
          </w:p>
        </w:tc>
        <w:tc>
          <w:tcPr>
            <w:tcW w:w="2891" w:type="dxa"/>
            <w:vAlign w:val="center"/>
          </w:tcPr>
          <w:p>
            <w:pPr>
              <w:pStyle w:val="14"/>
            </w:pPr>
            <w:r>
              <w:t>项目持续影响效果</w:t>
            </w:r>
          </w:p>
        </w:tc>
        <w:tc>
          <w:tcPr>
            <w:tcW w:w="1276" w:type="dxa"/>
            <w:vAlign w:val="center"/>
          </w:tcPr>
          <w:p>
            <w:pPr>
              <w:pStyle w:val="14"/>
            </w:pPr>
            <w:r>
              <w:t>≥95%</w:t>
            </w:r>
          </w:p>
        </w:tc>
        <w:tc>
          <w:tcPr>
            <w:tcW w:w="1843" w:type="dxa"/>
            <w:vAlign w:val="center"/>
          </w:tcPr>
          <w:p>
            <w:pPr>
              <w:pStyle w:val="14"/>
            </w:pPr>
            <w:r>
              <w:t>项目持续影响效果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群众满意度</w:t>
            </w:r>
          </w:p>
        </w:tc>
        <w:tc>
          <w:tcPr>
            <w:tcW w:w="2891" w:type="dxa"/>
            <w:vAlign w:val="center"/>
          </w:tcPr>
          <w:p>
            <w:pPr>
              <w:pStyle w:val="14"/>
            </w:pPr>
            <w:r>
              <w:t>群众满意度</w:t>
            </w:r>
          </w:p>
        </w:tc>
        <w:tc>
          <w:tcPr>
            <w:tcW w:w="1276" w:type="dxa"/>
            <w:vAlign w:val="center"/>
          </w:tcPr>
          <w:p>
            <w:pPr>
              <w:pStyle w:val="14"/>
            </w:pPr>
            <w:r>
              <w:t>≥95%</w:t>
            </w:r>
          </w:p>
        </w:tc>
        <w:tc>
          <w:tcPr>
            <w:tcW w:w="1843"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6、本级双桥镇冶里村景观绿化租地费绩效目标表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13020524P00897010003D</w:t>
            </w:r>
          </w:p>
        </w:tc>
        <w:tc>
          <w:tcPr>
            <w:tcW w:w="1587" w:type="dxa"/>
            <w:vAlign w:val="center"/>
          </w:tcPr>
          <w:p>
            <w:pPr>
              <w:pStyle w:val="12"/>
            </w:pPr>
            <w:r>
              <w:t>项目名称</w:t>
            </w:r>
          </w:p>
        </w:tc>
        <w:tc>
          <w:tcPr>
            <w:tcW w:w="4422" w:type="dxa"/>
            <w:gridSpan w:val="3"/>
            <w:vAlign w:val="center"/>
          </w:tcPr>
          <w:p>
            <w:pPr>
              <w:pStyle w:val="14"/>
            </w:pPr>
            <w:r>
              <w:t>本级双桥镇冶里村景观绿化租地费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77.99</w:t>
            </w:r>
          </w:p>
        </w:tc>
        <w:tc>
          <w:tcPr>
            <w:tcW w:w="1587" w:type="dxa"/>
            <w:vAlign w:val="center"/>
          </w:tcPr>
          <w:p>
            <w:pPr>
              <w:pStyle w:val="12"/>
            </w:pPr>
            <w:r>
              <w:t>其中：财政    资金</w:t>
            </w:r>
          </w:p>
        </w:tc>
        <w:tc>
          <w:tcPr>
            <w:tcW w:w="1304" w:type="dxa"/>
            <w:vAlign w:val="center"/>
          </w:tcPr>
          <w:p>
            <w:pPr>
              <w:pStyle w:val="14"/>
            </w:pPr>
            <w:r>
              <w:t>77.99</w:t>
            </w:r>
          </w:p>
        </w:tc>
        <w:tc>
          <w:tcPr>
            <w:tcW w:w="1276" w:type="dxa"/>
            <w:vAlign w:val="center"/>
          </w:tcPr>
          <w:p>
            <w:pPr>
              <w:pStyle w:val="12"/>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为保证景观绿化用地，保证失地农民的生活，维护社会稳定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1.为保证景观绿化用地，保证失地农民的生活，维护社会稳定</w:t>
            </w:r>
          </w:p>
        </w:tc>
      </w:tr>
    </w:tbl>
    <w:p>
      <w:pPr>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开展群众安全感调查次数</w:t>
            </w:r>
          </w:p>
        </w:tc>
        <w:tc>
          <w:tcPr>
            <w:tcW w:w="2891" w:type="dxa"/>
            <w:vAlign w:val="center"/>
          </w:tcPr>
          <w:p>
            <w:pPr>
              <w:pStyle w:val="14"/>
            </w:pPr>
            <w:r>
              <w:t>开展群众安全感调查次数</w:t>
            </w:r>
          </w:p>
        </w:tc>
        <w:tc>
          <w:tcPr>
            <w:tcW w:w="1276" w:type="dxa"/>
            <w:vAlign w:val="center"/>
          </w:tcPr>
          <w:p>
            <w:pPr>
              <w:pStyle w:val="14"/>
            </w:pPr>
            <w:r>
              <w:t>≥4次</w:t>
            </w:r>
          </w:p>
        </w:tc>
        <w:tc>
          <w:tcPr>
            <w:tcW w:w="1843" w:type="dxa"/>
            <w:vAlign w:val="center"/>
          </w:tcPr>
          <w:p>
            <w:pPr>
              <w:pStyle w:val="14"/>
            </w:pPr>
            <w:r>
              <w:t>开展群众安全感调查次数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园林绿化</w:t>
            </w:r>
          </w:p>
        </w:tc>
        <w:tc>
          <w:tcPr>
            <w:tcW w:w="2891" w:type="dxa"/>
            <w:vAlign w:val="center"/>
          </w:tcPr>
          <w:p>
            <w:pPr>
              <w:pStyle w:val="14"/>
            </w:pPr>
            <w:r>
              <w:t>园林绿化</w:t>
            </w:r>
          </w:p>
        </w:tc>
        <w:tc>
          <w:tcPr>
            <w:tcW w:w="1276" w:type="dxa"/>
            <w:vAlign w:val="center"/>
          </w:tcPr>
          <w:p>
            <w:pPr>
              <w:pStyle w:val="14"/>
            </w:pPr>
            <w:r>
              <w:t>≥95%</w:t>
            </w:r>
          </w:p>
        </w:tc>
        <w:tc>
          <w:tcPr>
            <w:tcW w:w="1843" w:type="dxa"/>
            <w:vAlign w:val="center"/>
          </w:tcPr>
          <w:p>
            <w:pPr>
              <w:pStyle w:val="14"/>
            </w:pPr>
            <w:r>
              <w:t>园林绿化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及时性</w:t>
            </w:r>
          </w:p>
        </w:tc>
        <w:tc>
          <w:tcPr>
            <w:tcW w:w="2891" w:type="dxa"/>
            <w:vAlign w:val="center"/>
          </w:tcPr>
          <w:p>
            <w:pPr>
              <w:pStyle w:val="14"/>
            </w:pPr>
            <w:r>
              <w:t>及时性</w:t>
            </w:r>
          </w:p>
        </w:tc>
        <w:tc>
          <w:tcPr>
            <w:tcW w:w="1276" w:type="dxa"/>
            <w:vAlign w:val="center"/>
          </w:tcPr>
          <w:p>
            <w:pPr>
              <w:pStyle w:val="14"/>
            </w:pPr>
            <w:r>
              <w:t>≥95%</w:t>
            </w:r>
          </w:p>
        </w:tc>
        <w:tc>
          <w:tcPr>
            <w:tcW w:w="1843" w:type="dxa"/>
            <w:vAlign w:val="center"/>
          </w:tcPr>
          <w:p>
            <w:pPr>
              <w:pStyle w:val="14"/>
            </w:pPr>
            <w:r>
              <w:t>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人均发放水平</w:t>
            </w:r>
          </w:p>
        </w:tc>
        <w:tc>
          <w:tcPr>
            <w:tcW w:w="2891" w:type="dxa"/>
            <w:vAlign w:val="center"/>
          </w:tcPr>
          <w:p>
            <w:pPr>
              <w:pStyle w:val="14"/>
            </w:pPr>
            <w:r>
              <w:t>人均发放水平</w:t>
            </w:r>
          </w:p>
        </w:tc>
        <w:tc>
          <w:tcPr>
            <w:tcW w:w="1276" w:type="dxa"/>
            <w:vAlign w:val="center"/>
          </w:tcPr>
          <w:p>
            <w:pPr>
              <w:pStyle w:val="14"/>
            </w:pPr>
            <w:r>
              <w:t>≥95%</w:t>
            </w:r>
          </w:p>
        </w:tc>
        <w:tc>
          <w:tcPr>
            <w:tcW w:w="1843" w:type="dxa"/>
            <w:vAlign w:val="center"/>
          </w:tcPr>
          <w:p>
            <w:pPr>
              <w:pStyle w:val="14"/>
            </w:pPr>
            <w:r>
              <w:t>人均发放水平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1276" w:type="dxa"/>
            <w:vAlign w:val="center"/>
          </w:tcPr>
          <w:p>
            <w:pPr>
              <w:pStyle w:val="14"/>
            </w:pPr>
            <w:r>
              <w:t>经济效益指标</w:t>
            </w:r>
          </w:p>
        </w:tc>
        <w:tc>
          <w:tcPr>
            <w:tcW w:w="1332" w:type="dxa"/>
            <w:vAlign w:val="center"/>
          </w:tcPr>
          <w:p>
            <w:pPr>
              <w:pStyle w:val="14"/>
            </w:pPr>
            <w:r>
              <w:t>拉动地方经济发展</w:t>
            </w:r>
          </w:p>
        </w:tc>
        <w:tc>
          <w:tcPr>
            <w:tcW w:w="2891" w:type="dxa"/>
            <w:vAlign w:val="center"/>
          </w:tcPr>
          <w:p>
            <w:pPr>
              <w:pStyle w:val="14"/>
            </w:pPr>
            <w:r>
              <w:t>拉动地方经济发展</w:t>
            </w:r>
          </w:p>
        </w:tc>
        <w:tc>
          <w:tcPr>
            <w:tcW w:w="1276" w:type="dxa"/>
            <w:vAlign w:val="center"/>
          </w:tcPr>
          <w:p>
            <w:pPr>
              <w:pStyle w:val="14"/>
            </w:pPr>
            <w:r>
              <w:t>≥95%</w:t>
            </w:r>
          </w:p>
        </w:tc>
        <w:tc>
          <w:tcPr>
            <w:tcW w:w="1843" w:type="dxa"/>
            <w:vAlign w:val="center"/>
          </w:tcPr>
          <w:p>
            <w:pPr>
              <w:pStyle w:val="14"/>
            </w:pPr>
            <w:r>
              <w:t>拉动地方经济发展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促进地方经济发展</w:t>
            </w:r>
          </w:p>
        </w:tc>
        <w:tc>
          <w:tcPr>
            <w:tcW w:w="2891" w:type="dxa"/>
            <w:vAlign w:val="center"/>
          </w:tcPr>
          <w:p>
            <w:pPr>
              <w:pStyle w:val="14"/>
            </w:pPr>
            <w:r>
              <w:t>促进地方经济发展</w:t>
            </w:r>
          </w:p>
        </w:tc>
        <w:tc>
          <w:tcPr>
            <w:tcW w:w="1276" w:type="dxa"/>
            <w:vAlign w:val="center"/>
          </w:tcPr>
          <w:p>
            <w:pPr>
              <w:pStyle w:val="14"/>
            </w:pPr>
            <w:r>
              <w:t>≥95%</w:t>
            </w:r>
          </w:p>
        </w:tc>
        <w:tc>
          <w:tcPr>
            <w:tcW w:w="1843" w:type="dxa"/>
            <w:vAlign w:val="center"/>
          </w:tcPr>
          <w:p>
            <w:pPr>
              <w:pStyle w:val="14"/>
            </w:pPr>
            <w:r>
              <w:t>促进地方经济发展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改善生态环境质量</w:t>
            </w:r>
          </w:p>
        </w:tc>
        <w:tc>
          <w:tcPr>
            <w:tcW w:w="2891" w:type="dxa"/>
            <w:vAlign w:val="center"/>
          </w:tcPr>
          <w:p>
            <w:pPr>
              <w:pStyle w:val="14"/>
            </w:pPr>
            <w:r>
              <w:t>改善生态环境质量</w:t>
            </w:r>
          </w:p>
        </w:tc>
        <w:tc>
          <w:tcPr>
            <w:tcW w:w="1276" w:type="dxa"/>
            <w:vAlign w:val="center"/>
          </w:tcPr>
          <w:p>
            <w:pPr>
              <w:pStyle w:val="14"/>
            </w:pPr>
            <w:r>
              <w:t>≥95%</w:t>
            </w:r>
          </w:p>
        </w:tc>
        <w:tc>
          <w:tcPr>
            <w:tcW w:w="1843" w:type="dxa"/>
            <w:vAlign w:val="center"/>
          </w:tcPr>
          <w:p>
            <w:pPr>
              <w:pStyle w:val="14"/>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提升人员素质</w:t>
            </w:r>
          </w:p>
        </w:tc>
        <w:tc>
          <w:tcPr>
            <w:tcW w:w="2891" w:type="dxa"/>
            <w:vAlign w:val="center"/>
          </w:tcPr>
          <w:p>
            <w:pPr>
              <w:pStyle w:val="14"/>
            </w:pPr>
            <w:r>
              <w:t>提升人员素质</w:t>
            </w:r>
          </w:p>
        </w:tc>
        <w:tc>
          <w:tcPr>
            <w:tcW w:w="1276" w:type="dxa"/>
            <w:vAlign w:val="center"/>
          </w:tcPr>
          <w:p>
            <w:pPr>
              <w:pStyle w:val="14"/>
            </w:pPr>
            <w:r>
              <w:t>≥95%</w:t>
            </w:r>
          </w:p>
        </w:tc>
        <w:tc>
          <w:tcPr>
            <w:tcW w:w="1843" w:type="dxa"/>
            <w:vAlign w:val="center"/>
          </w:tcPr>
          <w:p>
            <w:pPr>
              <w:pStyle w:val="14"/>
            </w:pPr>
            <w:r>
              <w:t>提升人员素质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人民群众满意度</w:t>
            </w:r>
          </w:p>
        </w:tc>
        <w:tc>
          <w:tcPr>
            <w:tcW w:w="2891" w:type="dxa"/>
            <w:vAlign w:val="center"/>
          </w:tcPr>
          <w:p>
            <w:pPr>
              <w:pStyle w:val="14"/>
            </w:pPr>
            <w:r>
              <w:t>人民群众满意度</w:t>
            </w:r>
          </w:p>
        </w:tc>
        <w:tc>
          <w:tcPr>
            <w:tcW w:w="1276" w:type="dxa"/>
            <w:vAlign w:val="center"/>
          </w:tcPr>
          <w:p>
            <w:pPr>
              <w:pStyle w:val="14"/>
            </w:pPr>
            <w:r>
              <w:t>≥95%</w:t>
            </w:r>
          </w:p>
        </w:tc>
        <w:tc>
          <w:tcPr>
            <w:tcW w:w="1843" w:type="dxa"/>
            <w:vAlign w:val="center"/>
          </w:tcPr>
          <w:p>
            <w:pPr>
              <w:pStyle w:val="14"/>
            </w:pPr>
            <w:r>
              <w:t>人民群众满意度</w:t>
            </w:r>
          </w:p>
        </w:tc>
      </w:tr>
    </w:tbl>
    <w:p>
      <w:pPr>
        <w:sectPr>
          <w:pgSz w:w="16840" w:h="11900" w:orient="landscape"/>
          <w:pgMar w:top="1361" w:right="1020" w:bottom="1134" w:left="1020" w:header="720" w:footer="720" w:gutter="0"/>
          <w:cols w:space="720" w:num="1"/>
        </w:sectPr>
      </w:pPr>
    </w:p>
    <w:p>
      <w:pPr>
        <w:numPr>
          <w:ilvl w:val="0"/>
          <w:numId w:val="2"/>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政府采购预算情况</w:t>
      </w:r>
    </w:p>
    <w:p>
      <w:pPr>
        <w:numPr>
          <w:ilvl w:val="0"/>
          <w:numId w:val="0"/>
        </w:numPr>
        <w:spacing w:before="10" w:after="10"/>
        <w:outlineLvl w:val="5"/>
        <w:rPr>
          <w:rFonts w:ascii="黑体" w:hAnsi="黑体" w:eastAsia="黑体" w:cs="黑体"/>
          <w:color w:val="000000"/>
          <w:sz w:val="32"/>
        </w:rPr>
      </w:pPr>
      <w:r>
        <w:rPr>
          <w:rFonts w:eastAsia="方正仿宋_GBK" w:cs="Times New Roman"/>
          <w:color w:val="000000"/>
          <w:sz w:val="28"/>
        </w:rPr>
        <w:t>202</w:t>
      </w:r>
      <w:r>
        <w:rPr>
          <w:rFonts w:hint="eastAsia" w:eastAsia="方正仿宋_GBK" w:cs="Times New Roman"/>
          <w:color w:val="000000"/>
          <w:sz w:val="28"/>
          <w:lang w:val="en-US" w:eastAsia="zh-CN"/>
        </w:rPr>
        <w:t>4</w:t>
      </w:r>
      <w:r>
        <w:rPr>
          <w:rFonts w:eastAsia="方正仿宋_GBK" w:cs="Times New Roman"/>
          <w:color w:val="000000"/>
          <w:sz w:val="28"/>
        </w:rPr>
        <w:t>年，唐山市开平区双桥镇人民政府安排政府采购预算</w:t>
      </w:r>
      <w:r>
        <w:rPr>
          <w:rFonts w:hint="eastAsia" w:eastAsia="方正仿宋_GBK" w:cs="Times New Roman"/>
          <w:color w:val="000000"/>
          <w:sz w:val="28"/>
          <w:lang w:val="en-US" w:eastAsia="zh-CN"/>
        </w:rPr>
        <w:t>2.4</w:t>
      </w:r>
      <w:r>
        <w:rPr>
          <w:rFonts w:eastAsia="方正仿宋_GBK" w:cs="Times New Roman"/>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806001唐山市开平区双桥镇人民政府本级</w:t>
            </w:r>
          </w:p>
        </w:tc>
        <w:tc>
          <w:tcPr>
            <w:tcW w:w="7710"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2.40</w:t>
            </w:r>
          </w:p>
        </w:tc>
        <w:tc>
          <w:tcPr>
            <w:tcW w:w="964" w:type="dxa"/>
            <w:vAlign w:val="center"/>
          </w:tcPr>
          <w:p>
            <w:pPr>
              <w:pStyle w:val="17"/>
            </w:pPr>
            <w:r>
              <w:t>2.40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w:t>
            </w:r>
            <w:r>
              <w:rPr>
                <w:rFonts w:hint="default"/>
                <w:lang w:val="en-US"/>
              </w:rPr>
              <w:t>4</w:t>
            </w: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唐山市开平区双桥镇人民政府本级小计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2.40</w:t>
            </w:r>
          </w:p>
        </w:tc>
        <w:tc>
          <w:tcPr>
            <w:tcW w:w="964" w:type="dxa"/>
            <w:vAlign w:val="center"/>
          </w:tcPr>
          <w:p>
            <w:pPr>
              <w:pStyle w:val="17"/>
            </w:pPr>
            <w:r>
              <w:t>2.40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w:t>
            </w:r>
            <w:r>
              <w:rPr>
                <w:rFonts w:hint="default"/>
                <w:lang w:val="en-US"/>
              </w:rPr>
              <w:t>4</w:t>
            </w: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公用经费（三保）</w:t>
            </w:r>
          </w:p>
        </w:tc>
        <w:tc>
          <w:tcPr>
            <w:tcW w:w="964" w:type="dxa"/>
            <w:vAlign w:val="center"/>
          </w:tcPr>
          <w:p>
            <w:pPr>
              <w:pStyle w:val="13"/>
            </w:pPr>
            <w:r>
              <w:t>26.01</w:t>
            </w:r>
          </w:p>
        </w:tc>
        <w:tc>
          <w:tcPr>
            <w:tcW w:w="1134" w:type="dxa"/>
            <w:vAlign w:val="center"/>
          </w:tcPr>
          <w:p>
            <w:pPr>
              <w:pStyle w:val="14"/>
            </w:pPr>
            <w:r>
              <w:t>碎纸机</w:t>
            </w:r>
          </w:p>
        </w:tc>
        <w:tc>
          <w:tcPr>
            <w:tcW w:w="1134" w:type="dxa"/>
            <w:vAlign w:val="center"/>
          </w:tcPr>
          <w:p>
            <w:pPr>
              <w:pStyle w:val="14"/>
            </w:pPr>
            <w:r>
              <w:t>A02021301</w:t>
            </w:r>
          </w:p>
        </w:tc>
        <w:tc>
          <w:tcPr>
            <w:tcW w:w="709" w:type="dxa"/>
            <w:vAlign w:val="center"/>
          </w:tcPr>
          <w:p>
            <w:pPr>
              <w:pStyle w:val="15"/>
            </w:pPr>
            <w:r>
              <w:t>台</w:t>
            </w:r>
          </w:p>
        </w:tc>
        <w:tc>
          <w:tcPr>
            <w:tcW w:w="850" w:type="dxa"/>
            <w:vAlign w:val="center"/>
          </w:tcPr>
          <w:p>
            <w:pPr>
              <w:pStyle w:val="13"/>
            </w:pPr>
            <w:r>
              <w:t>5</w:t>
            </w:r>
          </w:p>
        </w:tc>
        <w:tc>
          <w:tcPr>
            <w:tcW w:w="850" w:type="dxa"/>
            <w:vAlign w:val="center"/>
          </w:tcPr>
          <w:p>
            <w:pPr>
              <w:pStyle w:val="13"/>
            </w:pPr>
            <w:r>
              <w:t>0.09</w:t>
            </w:r>
          </w:p>
        </w:tc>
        <w:tc>
          <w:tcPr>
            <w:tcW w:w="964" w:type="dxa"/>
            <w:vAlign w:val="center"/>
          </w:tcPr>
          <w:p>
            <w:pPr>
              <w:pStyle w:val="13"/>
            </w:pPr>
            <w:r>
              <w:t>0.45</w:t>
            </w:r>
          </w:p>
        </w:tc>
        <w:tc>
          <w:tcPr>
            <w:tcW w:w="964" w:type="dxa"/>
            <w:vAlign w:val="center"/>
          </w:tcPr>
          <w:p>
            <w:pPr>
              <w:pStyle w:val="13"/>
            </w:pPr>
            <w:r>
              <w:t>0.45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公用经费（三保）</w:t>
            </w:r>
          </w:p>
        </w:tc>
        <w:tc>
          <w:tcPr>
            <w:tcW w:w="964" w:type="dxa"/>
            <w:vAlign w:val="center"/>
          </w:tcPr>
          <w:p>
            <w:pPr>
              <w:pStyle w:val="13"/>
            </w:pPr>
            <w:r>
              <w:t>26.01</w:t>
            </w:r>
          </w:p>
        </w:tc>
        <w:tc>
          <w:tcPr>
            <w:tcW w:w="1134" w:type="dxa"/>
            <w:vAlign w:val="center"/>
          </w:tcPr>
          <w:p>
            <w:pPr>
              <w:pStyle w:val="14"/>
            </w:pPr>
            <w:r>
              <w:t>空调机组</w:t>
            </w:r>
          </w:p>
        </w:tc>
        <w:tc>
          <w:tcPr>
            <w:tcW w:w="1134" w:type="dxa"/>
            <w:vAlign w:val="center"/>
          </w:tcPr>
          <w:p>
            <w:pPr>
              <w:pStyle w:val="14"/>
            </w:pPr>
            <w:r>
              <w:t>A02052305</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0.75</w:t>
            </w:r>
          </w:p>
        </w:tc>
        <w:tc>
          <w:tcPr>
            <w:tcW w:w="964" w:type="dxa"/>
            <w:vAlign w:val="center"/>
          </w:tcPr>
          <w:p>
            <w:pPr>
              <w:pStyle w:val="13"/>
            </w:pPr>
            <w:r>
              <w:t>0.75</w:t>
            </w:r>
          </w:p>
        </w:tc>
        <w:tc>
          <w:tcPr>
            <w:tcW w:w="964" w:type="dxa"/>
            <w:vAlign w:val="center"/>
          </w:tcPr>
          <w:p>
            <w:pPr>
              <w:pStyle w:val="13"/>
            </w:pPr>
            <w:r>
              <w:t>0.75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公用经费（三保）</w:t>
            </w:r>
          </w:p>
        </w:tc>
        <w:tc>
          <w:tcPr>
            <w:tcW w:w="964" w:type="dxa"/>
            <w:vAlign w:val="center"/>
          </w:tcPr>
          <w:p>
            <w:pPr>
              <w:pStyle w:val="13"/>
            </w:pPr>
            <w:r>
              <w:t>26.01</w:t>
            </w:r>
          </w:p>
        </w:tc>
        <w:tc>
          <w:tcPr>
            <w:tcW w:w="1134" w:type="dxa"/>
            <w:vAlign w:val="center"/>
          </w:tcPr>
          <w:p>
            <w:pPr>
              <w:pStyle w:val="14"/>
            </w:pPr>
            <w:r>
              <w:t>空调机组</w:t>
            </w:r>
          </w:p>
        </w:tc>
        <w:tc>
          <w:tcPr>
            <w:tcW w:w="1134" w:type="dxa"/>
            <w:vAlign w:val="center"/>
          </w:tcPr>
          <w:p>
            <w:pPr>
              <w:pStyle w:val="14"/>
            </w:pPr>
            <w:r>
              <w:t>A02052305</w:t>
            </w:r>
          </w:p>
        </w:tc>
        <w:tc>
          <w:tcPr>
            <w:tcW w:w="709" w:type="dxa"/>
            <w:vAlign w:val="center"/>
          </w:tcPr>
          <w:p>
            <w:pPr>
              <w:pStyle w:val="15"/>
            </w:pPr>
            <w:r>
              <w:t>台</w:t>
            </w:r>
          </w:p>
        </w:tc>
        <w:tc>
          <w:tcPr>
            <w:tcW w:w="850" w:type="dxa"/>
            <w:vAlign w:val="center"/>
          </w:tcPr>
          <w:p>
            <w:pPr>
              <w:pStyle w:val="13"/>
            </w:pPr>
            <w:r>
              <w:t>4</w:t>
            </w:r>
          </w:p>
        </w:tc>
        <w:tc>
          <w:tcPr>
            <w:tcW w:w="850" w:type="dxa"/>
            <w:vAlign w:val="center"/>
          </w:tcPr>
          <w:p>
            <w:pPr>
              <w:pStyle w:val="13"/>
            </w:pPr>
            <w:r>
              <w:t>0.30</w:t>
            </w:r>
          </w:p>
        </w:tc>
        <w:tc>
          <w:tcPr>
            <w:tcW w:w="964" w:type="dxa"/>
            <w:vAlign w:val="center"/>
          </w:tcPr>
          <w:p>
            <w:pPr>
              <w:pStyle w:val="13"/>
            </w:pPr>
            <w:r>
              <w:t>1.20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806唐山市开平区双桥镇人民政府</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cs="宋体"/>
                <w:color w:val="000000"/>
                <w:szCs w:val="21"/>
              </w:rPr>
            </w:pPr>
            <w:r>
              <w:rPr>
                <w:rFonts w:hint="eastAsia" w:ascii="宋体" w:hAnsi="宋体" w:cs="宋体"/>
                <w:color w:val="000000"/>
                <w:szCs w:val="21"/>
              </w:rPr>
              <w:t xml:space="preserve">资产总额 </w:t>
            </w:r>
          </w:p>
        </w:tc>
        <w:tc>
          <w:tcPr>
            <w:tcW w:w="2835" w:type="dxa"/>
            <w:vAlign w:val="center"/>
          </w:tcPr>
          <w:p>
            <w:pPr>
              <w:jc w:val="center"/>
              <w:rPr>
                <w:rFonts w:ascii="宋体" w:hAnsi="宋体" w:cs="宋体"/>
                <w:szCs w:val="21"/>
              </w:rPr>
            </w:pPr>
            <w:r>
              <w:rPr>
                <w:rFonts w:hint="eastAsia" w:ascii="宋体" w:hAnsi="宋体" w:cs="宋体"/>
                <w:szCs w:val="21"/>
              </w:rPr>
              <w:t>——</w:t>
            </w:r>
          </w:p>
        </w:tc>
        <w:tc>
          <w:tcPr>
            <w:tcW w:w="2835" w:type="dxa"/>
            <w:vAlign w:val="center"/>
          </w:tcPr>
          <w:p>
            <w:pPr>
              <w:jc w:val="center"/>
              <w:rPr>
                <w:rFonts w:ascii="宋体" w:hAnsi="宋体" w:cs="宋体" w:eastAsiaTheme="minorEastAsia"/>
                <w:szCs w:val="21"/>
                <w:lang w:eastAsia="zh-CN"/>
              </w:rPr>
            </w:pPr>
            <w:r>
              <w:rPr>
                <w:rFonts w:hint="eastAsia" w:ascii="宋体" w:hAnsi="宋体" w:cs="宋体" w:eastAsiaTheme="minorEastAsia"/>
                <w:szCs w:val="21"/>
                <w:lang w:eastAsia="zh-CN"/>
              </w:rPr>
              <w:t>431.33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cs="宋体"/>
                <w:color w:val="000000"/>
                <w:szCs w:val="21"/>
              </w:rPr>
            </w:pPr>
            <w:r>
              <w:rPr>
                <w:rFonts w:hint="eastAsia" w:ascii="宋体" w:hAnsi="宋体" w:cs="宋体"/>
                <w:color w:val="000000"/>
                <w:szCs w:val="21"/>
              </w:rPr>
              <w:t xml:space="preserve">  （一）房屋（平方米）</w:t>
            </w:r>
          </w:p>
        </w:tc>
        <w:tc>
          <w:tcPr>
            <w:tcW w:w="2835" w:type="dxa"/>
            <w:vAlign w:val="center"/>
          </w:tcPr>
          <w:p>
            <w:pPr>
              <w:jc w:val="center"/>
              <w:rPr>
                <w:rFonts w:ascii="宋体" w:hAnsi="宋体" w:cs="宋体"/>
                <w:szCs w:val="21"/>
              </w:rPr>
            </w:pPr>
            <w:r>
              <w:rPr>
                <w:rFonts w:hint="eastAsia" w:ascii="宋体" w:hAnsi="宋体" w:cs="宋体"/>
                <w:szCs w:val="21"/>
              </w:rPr>
              <w:t>1560</w:t>
            </w:r>
          </w:p>
        </w:tc>
        <w:tc>
          <w:tcPr>
            <w:tcW w:w="2835" w:type="dxa"/>
            <w:vAlign w:val="center"/>
          </w:tcPr>
          <w:p>
            <w:pPr>
              <w:jc w:val="center"/>
              <w:rPr>
                <w:rFonts w:ascii="宋体" w:hAnsi="宋体" w:cs="宋体" w:eastAsiaTheme="minorEastAsia"/>
                <w:szCs w:val="21"/>
                <w:lang w:eastAsia="zh-CN"/>
              </w:rPr>
            </w:pPr>
            <w:r>
              <w:rPr>
                <w:rFonts w:hint="eastAsia" w:ascii="宋体" w:hAnsi="宋体" w:cs="宋体" w:eastAsiaTheme="minorEastAsia"/>
                <w:szCs w:val="21"/>
                <w:lang w:eastAsia="zh-CN"/>
              </w:rP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rPr>
                <w:rFonts w:ascii="宋体" w:hAnsi="宋体" w:cs="宋体"/>
                <w:color w:val="000000"/>
                <w:szCs w:val="21"/>
              </w:rPr>
            </w:pPr>
            <w:r>
              <w:rPr>
                <w:rFonts w:hint="eastAsia" w:ascii="宋体" w:hAnsi="宋体" w:cs="宋体"/>
                <w:color w:val="000000"/>
                <w:szCs w:val="21"/>
              </w:rPr>
              <w:t xml:space="preserve">  （二）汽车（台、辆）</w:t>
            </w:r>
          </w:p>
        </w:tc>
        <w:tc>
          <w:tcPr>
            <w:tcW w:w="2835"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cs="宋体"/>
                <w:color w:val="000000"/>
                <w:szCs w:val="21"/>
              </w:rPr>
            </w:pPr>
            <w:r>
              <w:rPr>
                <w:rFonts w:hint="eastAsia" w:ascii="宋体" w:hAnsi="宋体" w:cs="宋体"/>
                <w:color w:val="000000"/>
                <w:szCs w:val="21"/>
              </w:rPr>
              <w:t xml:space="preserve">  （三）单价在20万元以上的设备（台、套…）</w:t>
            </w:r>
          </w:p>
        </w:tc>
        <w:tc>
          <w:tcPr>
            <w:tcW w:w="2835" w:type="dxa"/>
            <w:vAlign w:val="center"/>
          </w:tcPr>
          <w:p>
            <w:pPr>
              <w:rPr>
                <w:rFonts w:ascii="宋体" w:hAnsi="宋体" w:cs="宋体"/>
                <w:szCs w:val="21"/>
              </w:rPr>
            </w:pPr>
          </w:p>
        </w:tc>
        <w:tc>
          <w:tcPr>
            <w:tcW w:w="2835" w:type="dxa"/>
            <w:vAlign w:val="center"/>
          </w:tcPr>
          <w:p>
            <w:pP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cs="宋体"/>
                <w:color w:val="000000"/>
                <w:szCs w:val="21"/>
              </w:rPr>
            </w:pPr>
            <w:r>
              <w:rPr>
                <w:rFonts w:hint="eastAsia" w:ascii="宋体" w:hAnsi="宋体" w:cs="宋体"/>
                <w:color w:val="000000"/>
                <w:szCs w:val="21"/>
              </w:rPr>
              <w:t xml:space="preserve">  （四）其他固定资产</w:t>
            </w:r>
          </w:p>
        </w:tc>
        <w:tc>
          <w:tcPr>
            <w:tcW w:w="2835" w:type="dxa"/>
            <w:vAlign w:val="center"/>
          </w:tcPr>
          <w:p>
            <w:pPr>
              <w:jc w:val="center"/>
              <w:rPr>
                <w:rFonts w:ascii="宋体" w:hAnsi="宋体" w:cs="宋体"/>
                <w:szCs w:val="21"/>
              </w:rPr>
            </w:pPr>
            <w:r>
              <w:rPr>
                <w:rFonts w:hint="eastAsia" w:ascii="宋体" w:hAnsi="宋体" w:cs="宋体"/>
                <w:szCs w:val="21"/>
              </w:rPr>
              <w:t>——</w:t>
            </w:r>
          </w:p>
        </w:tc>
        <w:tc>
          <w:tcPr>
            <w:tcW w:w="2835" w:type="dxa"/>
            <w:vAlign w:val="center"/>
          </w:tcPr>
          <w:p>
            <w:pPr>
              <w:jc w:val="center"/>
              <w:rPr>
                <w:rFonts w:ascii="宋体" w:hAnsi="宋体" w:cs="宋体" w:eastAsiaTheme="minorEastAsia"/>
                <w:szCs w:val="21"/>
                <w:lang w:eastAsia="zh-CN"/>
              </w:rPr>
            </w:pPr>
            <w:r>
              <w:rPr>
                <w:rFonts w:hint="eastAsia" w:ascii="宋体" w:hAnsi="宋体" w:cs="宋体" w:eastAsiaTheme="minorEastAsia"/>
                <w:color w:val="000000"/>
                <w:szCs w:val="21"/>
                <w:lang w:eastAsia="zh-CN"/>
              </w:rPr>
              <w:t>51.33</w:t>
            </w:r>
          </w:p>
        </w:tc>
      </w:tr>
    </w:tbl>
    <w:p>
      <w:pPr>
        <w:ind w:firstLine="420"/>
        <w:rPr>
          <w:rFonts w:ascii="方正书宋_GBK" w:hAnsi="方正书宋_GBK" w:eastAsia="方正书宋_GBK" w:cs="方正书宋_GBK"/>
          <w:color w:val="000000"/>
          <w:sz w:val="21"/>
        </w:rPr>
      </w:pP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pPr>
        <w:spacing w:line="500" w:lineRule="exact"/>
        <w:ind w:firstLine="560"/>
      </w:pPr>
      <w:r>
        <w:rPr>
          <w:rFonts w:eastAsia="方正仿宋_GBK" w:cs="Times New Roman"/>
          <w:color w:val="000000"/>
          <w:sz w:val="28"/>
        </w:rPr>
        <w:t>7、</w:t>
      </w:r>
      <w:r>
        <w:rPr>
          <w:rFonts w:hint="eastAsia" w:eastAsia="方正仿宋_GBK" w:cs="Times New Roman"/>
          <w:b/>
          <w:color w:val="000000"/>
          <w:sz w:val="28"/>
          <w:lang w:eastAsia="zh-CN"/>
        </w:rPr>
        <w:t>单位</w:t>
      </w:r>
      <w:r>
        <w:rPr>
          <w:rFonts w:eastAsia="方正仿宋_GBK" w:cs="Times New Roman"/>
          <w:b/>
          <w:color w:val="000000"/>
          <w:sz w:val="28"/>
        </w:rPr>
        <w:t>预算支出：</w:t>
      </w:r>
      <w:r>
        <w:rPr>
          <w:rFonts w:eastAsia="方正仿宋_GBK" w:cs="Times New Roman"/>
          <w:color w:val="000000"/>
          <w:sz w:val="28"/>
        </w:rPr>
        <w:t>包括人员类项目支出、运转类项目支出和特定目标类项目支出。其中：人员类项目支出和运转类项目中的公用经费项目支出对应</w:t>
      </w:r>
      <w:r>
        <w:rPr>
          <w:rFonts w:hint="eastAsia" w:eastAsia="方正仿宋_GBK" w:cs="Times New Roman"/>
          <w:color w:val="000000"/>
          <w:sz w:val="28"/>
          <w:lang w:eastAsia="zh-CN"/>
        </w:rPr>
        <w:t>单位</w:t>
      </w:r>
      <w:r>
        <w:rPr>
          <w:rFonts w:eastAsia="方正仿宋_GBK" w:cs="Times New Roman"/>
          <w:color w:val="000000"/>
          <w:sz w:val="28"/>
        </w:rPr>
        <w:t>预算中的基本支出；运转类项目中的其他运转类项目支出和特定目标类项目支出对应</w:t>
      </w:r>
      <w:r>
        <w:rPr>
          <w:rFonts w:hint="eastAsia" w:eastAsia="方正仿宋_GBK" w:cs="Times New Roman"/>
          <w:color w:val="000000"/>
          <w:sz w:val="28"/>
          <w:lang w:eastAsia="zh-CN"/>
        </w:rPr>
        <w:t>单位</w:t>
      </w:r>
      <w:r>
        <w:rPr>
          <w:rFonts w:eastAsia="方正仿宋_GBK" w:cs="Times New Roman"/>
          <w:color w:val="000000"/>
          <w:sz w:val="28"/>
        </w:rPr>
        <w:t>预算中的项目支出，以及经营支出和往来支出。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w:t>
      </w:r>
      <w:r>
        <w:rPr>
          <w:rFonts w:hint="eastAsia" w:eastAsia="方正仿宋_GBK" w:cs="Times New Roman"/>
          <w:color w:val="000000"/>
          <w:sz w:val="28"/>
          <w:lang w:eastAsia="zh-CN"/>
        </w:rPr>
        <w:t>单位</w:t>
      </w:r>
      <w:r>
        <w:rPr>
          <w:rFonts w:eastAsia="方正仿宋_GBK" w:cs="Times New Roman"/>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w:t>
      </w:r>
      <w:r>
        <w:rPr>
          <w:rFonts w:hint="eastAsia" w:eastAsia="方正仿宋_GBK" w:cs="Times New Roman"/>
          <w:color w:val="000000"/>
          <w:sz w:val="28"/>
          <w:lang w:eastAsia="zh-CN"/>
        </w:rPr>
        <w:t>单位</w:t>
      </w:r>
      <w:r>
        <w:rPr>
          <w:rFonts w:eastAsia="方正仿宋_GBK" w:cs="Times New Roman"/>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1DB22F"/>
    <w:multiLevelType w:val="singleLevel"/>
    <w:tmpl w:val="D81DB22F"/>
    <w:lvl w:ilvl="0" w:tentative="0">
      <w:start w:val="2"/>
      <w:numFmt w:val="decimal"/>
      <w:suff w:val="nothing"/>
      <w:lvlText w:val="%1、"/>
      <w:lvlJc w:val="left"/>
    </w:lvl>
  </w:abstractNum>
  <w:abstractNum w:abstractNumId="1">
    <w:nsid w:val="DFBDFED3"/>
    <w:multiLevelType w:val="singleLevel"/>
    <w:tmpl w:val="DFBDFED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rsids>
    <w:rsidRoot w:val="006C7FBB"/>
    <w:rsid w:val="001F6F97"/>
    <w:rsid w:val="003E2B84"/>
    <w:rsid w:val="00574CAF"/>
    <w:rsid w:val="006B47FE"/>
    <w:rsid w:val="006C7FBB"/>
    <w:rsid w:val="009356CC"/>
    <w:rsid w:val="009B6FCF"/>
    <w:rsid w:val="00BF05FC"/>
    <w:rsid w:val="29FAFB35"/>
    <w:rsid w:val="62574D26"/>
    <w:rsid w:val="6EFE66B7"/>
    <w:rsid w:val="789F1C68"/>
    <w:rsid w:val="7BBF02CA"/>
    <w:rsid w:val="7BEB0EB9"/>
    <w:rsid w:val="7D779B53"/>
    <w:rsid w:val="ED7EA285"/>
    <w:rsid w:val="EDCB482F"/>
    <w:rsid w:val="F7FAE726"/>
    <w:rsid w:val="F7FF8580"/>
    <w:rsid w:val="FEEBE9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s="Times New Roman"/>
      <w:color w:val="000000"/>
      <w:sz w:val="28"/>
    </w:rPr>
  </w:style>
  <w:style w:type="paragraph" w:styleId="5">
    <w:name w:val="toc 4"/>
    <w:basedOn w:val="1"/>
    <w:next w:val="1"/>
    <w:qFormat/>
    <w:uiPriority w:val="0"/>
    <w:pPr>
      <w:ind w:left="72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单元格样式23"/>
    <w:basedOn w:val="1"/>
    <w:qFormat/>
    <w:uiPriority w:val="0"/>
    <w:pPr>
      <w:jc w:val="right"/>
    </w:pPr>
    <w:rPr>
      <w:rFonts w:ascii="方正书宋_GBK" w:hAnsi="方正书宋_GBK" w:eastAsia="方正书宋_GBK" w:cs="方正书宋_GBK"/>
    </w:rPr>
  </w:style>
  <w:style w:type="character" w:customStyle="1" w:styleId="24">
    <w:name w:val="页眉 Char"/>
    <w:basedOn w:val="8"/>
    <w:link w:val="3"/>
    <w:semiHidden/>
    <w:qFormat/>
    <w:uiPriority w:val="99"/>
    <w:rPr>
      <w:rFonts w:ascii="Times New Roman" w:hAnsi="Times New Roman" w:eastAsia="Times New Roman"/>
      <w:sz w:val="18"/>
      <w:szCs w:val="18"/>
      <w:lang w:eastAsia="uk-UA"/>
    </w:rPr>
  </w:style>
  <w:style w:type="character" w:customStyle="1" w:styleId="25">
    <w:name w:val="页脚 Char"/>
    <w:basedOn w:val="8"/>
    <w:link w:val="2"/>
    <w:semiHidden/>
    <w:qFormat/>
    <w:uiPriority w:val="99"/>
    <w:rPr>
      <w:rFonts w:ascii="Times New Roman" w:hAnsi="Times New Roman" w:eastAsia="Times New Roman"/>
      <w:sz w:val="18"/>
      <w:szCs w:val="18"/>
      <w:lang w:eastAsia="uk-UA"/>
    </w:rPr>
  </w:style>
  <w:style w:type="paragraph" w:customStyle="1" w:styleId="26">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7">
    <w:name w:val="插入文本样式-插入预算公开部门预算安排的总体情况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2054</Words>
  <Characters>11712</Characters>
  <Lines>97</Lines>
  <Paragraphs>27</Paragraphs>
  <TotalTime>5</TotalTime>
  <ScaleCrop>false</ScaleCrop>
  <LinksUpToDate>false</LinksUpToDate>
  <CharactersWithSpaces>13739</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2024-01-29T17:47:00Z</dcterms:created>
  <dc:creator>Administrator</dc:creator>
  <cp:lastModifiedBy>baixin</cp:lastModifiedBy>
  <dcterms:modified xsi:type="dcterms:W3CDTF">2024-10-18T14:51:29Z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D27C2C7C1CEF4DD0BCEED246C3912949</vt:lpwstr>
  </property>
</Properties>
</file>