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w:pict>
          <v:group id="_x0000_s1033" o:spid="_x0000_s1033" o:spt="203" style="position:absolute;left:0pt;margin-left:-219.15pt;margin-top:168.4pt;height:113.95pt;width:712.85pt;z-index:251662336;mso-width-relative:page;mso-height-relative:page;" coordorigin="-3504,4387" coordsize="19200,2716203">
            <o:lock v:ext="edit"/>
            <v:rect id="矩形 19" o:spid="_x0000_s1026" o:spt="1" style="position:absolute;left:-381;top:4387;height:2457;width:1834;v-text-anchor:middle;" fillcolor="#0176AB" filled="t" stroked="f" coordsize="21600,21600">
              <v:path/>
              <v:fill on="t" focussize="0,0"/>
              <v:stroke on="f"/>
              <v:imagedata o:title=""/>
              <o:lock v:ext="edit"/>
            </v:rect>
            <v:shape id="矩形 24" o:spid="_x0000_s1035" o:spt="100" style="position:absolute;left:-3504;top:6953;height:150;width:11815;" fillcolor="#E5AA57" filled="t" stroked="f" coordsize="7501732,94593" path="m0,0l7458720,6350,7501732,94593,0,94593,0,0xe">
              <v:path o:connecttype="segments" o:connectlocs="0,0;7463453,6619;7506490,98604;0,98604;0,0" o:connectangles="0,0,0,0,0"/>
              <v:fill on="t" focussize="0,0"/>
              <v:stroke on="f" joinstyle="round"/>
              <v:imagedata o:title=""/>
              <o:lock v:ext="edit"/>
            </v:shape>
            <v:shape id="矩形 25" o:spid="_x0000_s1034" o:spt="100" style="position:absolute;left:8331;top:6953;height:150;width:7365;" fillcolor="#0176AB" filled="t" stroked="f" coordsize="4676187,94594" path="m0,0l4676187,0,4676187,94594,57510,94594,0,0xe">
              <v:path o:connecttype="segments" o:connectlocs="0,0;4679715,0;4679715,98599;57552,98599;0,0" o:connectangles="0,0,0,0,0"/>
              <v:fill on="t" focussize="0,0"/>
              <v:stroke on="f" joinstyle="round"/>
              <v:imagedata o:title=""/>
              <o:lock v:ext="edit"/>
            </v:shape>
          </v:group>
        </w:pic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pict>
          <v:group id="_x0000_s1028" o:spid="_x0000_s1028" o:spt="203" style="position:absolute;left:0pt;margin-left:-22.1pt;margin-top:-24.65pt;height:148.45pt;width:468.85pt;z-index:251661312;mso-width-relative:page;mso-height-relative:page;" coordorigin="12098,1831" coordsize="9377,2969203">
            <o:lock v:ext="edit"/>
            <v:shape id="文本框 32" o:spid="_x0000_s1032" o:spt="202" type="#_x0000_t202" style="position:absolute;left:13325;top:1831;height:1348;width:4462;" filled="f" stroked="f" coordsize="21600,21600">
              <v:path/>
              <v:fill on="f" focussize="0,0"/>
              <v:stroke on="f" joinstyle="miter"/>
              <v:imagedata o:title=""/>
              <o:lock v:ext="edit"/>
              <v:textbox>
                <w:txbxContent>
                  <w:p>
                    <w:pPr>
                      <w:jc w:val="distribute"/>
                      <w:rPr>
                        <w:rFonts w:ascii="方正魏碑简体" w:hAnsi="Arial" w:eastAsia="方正魏碑简体" w:cs="Arial"/>
                        <w:color w:val="000000" w:themeColor="text1"/>
                        <w:sz w:val="22"/>
                      </w:rPr>
                    </w:pPr>
                    <w:r>
                      <w:rPr>
                        <w:rFonts w:hint="eastAsia" w:ascii="方正魏碑简体" w:hAnsi="Arial" w:eastAsia="方正魏碑简体" w:cs="Arial"/>
                        <w:color w:val="000000" w:themeColor="text1"/>
                        <w:spacing w:val="60"/>
                        <w:kern w:val="24"/>
                        <w:sz w:val="72"/>
                        <w:szCs w:val="72"/>
                      </w:rPr>
                      <w:t>2023年度</w:t>
                    </w:r>
                  </w:p>
                </w:txbxContent>
              </v:textbox>
            </v:shape>
            <v:group id="_x0000_s1029" o:spid="_x0000_s1029" o:spt="203" style="position:absolute;left:12098;top:3193;height:1607;width:9377;" coordorigin="6119,2843" coordsize="9377,1607203">
              <o:lock v:ext="edit"/>
              <v:shape id="文本框 32" o:spid="_x0000_s1031" o:spt="202" type="#_x0000_t202" style="position:absolute;left:6119;top:2843;height:1421;width:9377;" filled="f" stroked="f" coordsize="21600,21600">
                <v:path/>
                <v:fill on="f" focussize="0,0"/>
                <v:stroke on="f" joinstyle="miter"/>
                <v:imagedata o:title=""/>
                <o:lock v:ext="edit"/>
                <v:textbox>
                  <w:txbxContent>
                    <w:p>
                      <w:pPr>
                        <w:jc w:val="left"/>
                        <w:rPr>
                          <w:rFonts w:ascii="黑体" w:hAnsi="黑体" w:eastAsia="黑体" w:cs="黑体"/>
                          <w:color w:val="000000" w:themeColor="text1"/>
                        </w:rPr>
                      </w:pPr>
                      <w:r>
                        <w:rPr>
                          <w:rFonts w:hint="eastAsia" w:ascii="黑体" w:hAnsi="黑体" w:eastAsia="黑体" w:cs="黑体"/>
                          <w:color w:val="000000" w:themeColor="text1"/>
                          <w:spacing w:val="60"/>
                          <w:kern w:val="24"/>
                          <w:sz w:val="96"/>
                          <w:szCs w:val="96"/>
                        </w:rPr>
                        <w:t>部门决算公开文本</w:t>
                      </w:r>
                    </w:p>
                  </w:txbxContent>
                </v:textbox>
              </v:shape>
              <v:line id="_x0000_s1030" o:spid="_x0000_s1030" o:spt="20" style="position:absolute;left:6226;top:4450;height:0;width:8700;" stroked="t" coordsize="21600,21600">
                <v:path arrowok="t"/>
                <v:fill focussize="0,0"/>
                <v:stroke weight="2.25pt" color="#325395" joinstyle="miter" dashstyle="1 1"/>
                <v:imagedata o:title=""/>
                <o:lock v:ext="edit"/>
              </v:line>
            </v:group>
          </v:group>
        </w:pic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cstate="print">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w:pict>
          <v:shape id="文本框 33" o:spid="_x0000_s1027" o:spt="202" type="#_x0000_t202" style="position:absolute;left:0pt;margin-left:-19.95pt;margin-top:126.9pt;height:44.9pt;width:432.6pt;z-index:251660288;mso-width-relative:page;mso-height-relative:page;" filled="f" stroked="f" coordsize="21600,21600">
            <v:path/>
            <v:fill on="f" focussize="0,0"/>
            <v:stroke on="f" joinstyle="miter"/>
            <v:imagedata o:title=""/>
            <o:lock v:ext="edit"/>
            <v:textbox>
              <w:txbxContent>
                <w:p>
                  <w:pPr>
                    <w:jc w:val="distribute"/>
                    <w:rPr>
                      <w:rFonts w:ascii="思源黑体 CN Heavy" w:hAnsi="思源黑体 CN Heavy" w:eastAsia="思源黑体 CN Heavy"/>
                      <w:color w:val="A5A5A5" w:themeColor="background1" w:themeShade="A6"/>
                      <w:sz w:val="40"/>
                      <w:szCs w:val="40"/>
                    </w:rPr>
                  </w:pPr>
                </w:p>
              </w:txbxContent>
            </v:textbox>
          </v:shape>
        </w:pic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：426001</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：唐山市开平区应急管理局(本级)</w:t>
      </w:r>
    </w:p>
    <w:p>
      <w:pPr>
        <w:spacing w:line="600" w:lineRule="auto"/>
        <w:jc w:val="left"/>
        <w:rPr>
          <w:rFonts w:ascii="楷体_GB2312" w:hAnsi="楷体_GB2312" w:eastAsia="楷体_GB2312" w:cs="楷体_GB2312"/>
          <w:color w:val="000000"/>
          <w:sz w:val="40"/>
          <w:szCs w:val="40"/>
        </w:rPr>
      </w:pPr>
    </w:p>
    <w:p>
      <w:pPr>
        <w:spacing w:line="600" w:lineRule="auto"/>
        <w:jc w:val="center"/>
        <w:rPr>
          <w:rFonts w:ascii="楷体_GB2312" w:hAnsi="楷体_GB2312" w:eastAsia="楷体_GB2312" w:cs="楷体_GB2312"/>
          <w:color w:val="000000"/>
          <w:sz w:val="40"/>
          <w:szCs w:val="40"/>
        </w:rPr>
      </w:pPr>
    </w:p>
    <w:p>
      <w:pPr>
        <w:spacing w:line="600" w:lineRule="auto"/>
        <w:jc w:val="center"/>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pPr>
        <w:rPr>
          <w:rFonts w:ascii="黑体" w:hAnsi="黑体" w:eastAsia="黑体" w:cs="黑体"/>
          <w:bCs/>
          <w:sz w:val="32"/>
          <w:szCs w:val="32"/>
        </w:rPr>
      </w:pPr>
      <w:r>
        <w:rPr>
          <w:rFonts w:hint="eastAsia" w:ascii="楷体_GB2312" w:hAnsi="楷体_GB2312" w:eastAsia="楷体_GB2312" w:cs="楷体_GB2312"/>
          <w:color w:val="000000"/>
          <w:sz w:val="40"/>
          <w:szCs w:val="40"/>
        </w:rPr>
        <w:br w:type="page"/>
      </w: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部分名词解释</w:t>
      </w:r>
    </w:p>
    <w:p>
      <w:pPr>
        <w:rPr>
          <w:rFonts w:ascii="Arial" w:hAnsi="Arial" w:eastAsia="Arial" w:cs="Arial"/>
          <w:color w:val="000000"/>
          <w:sz w:val="18"/>
          <w:szCs w:val="18"/>
          <w:shd w:val="clear" w:color="auto" w:fill="FFFFFF"/>
        </w:rPr>
      </w:pP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rPr>
          <w:rFonts w:ascii="Arial" w:hAnsi="Arial" w:eastAsia="Arial" w:cs="Arial"/>
          <w:color w:val="000000"/>
          <w:sz w:val="18"/>
          <w:szCs w:val="18"/>
          <w:shd w:val="clear" w:color="auto" w:fill="FFFFFF"/>
        </w:rPr>
      </w:pPr>
    </w:p>
    <w:p>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pPr>
        <w:pStyle w:val="10"/>
        <w:widowControl/>
        <w:shd w:val="clear" w:color="auto" w:fill="FFFFFF"/>
        <w:spacing w:beforeAutospacing="0" w:afterAutospacing="0"/>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单位概况</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rPr>
          <w:rFonts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pPr>
        <w:pStyle w:val="10"/>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一、单位职责</w:t>
      </w:r>
    </w:p>
    <w:p>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ind w:firstLine="640" w:firstLineChars="20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根据《唐山市开平区应急管理局职能配置、内设机构和人员编制规定》， 唐山市开平区应急管理局的主要职责是：</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(一)负责全区应急管理工作，指导全区各部门应对安全生产类、自然灾害类等突发事件和综合防灾减灾救灾工作，负责全区安全生产综合监督管理和相关工矿(含煤矿)商贸行业安全生产监督管理工作。</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(二)拟订地方性应急管理、防震减灾、安全生产等政策规定，组织编制区应急体系建设、综合防灾减灾和安全生产规划起草相关地方性法规和政府规章草案，指导、监督相关规程和标准实施。</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(三)指导应急预值系建设，建文完善事故灾准和自灾害分级应对制度，组织编制区总体应急预案和安全生产类、自然灾害类专项预案，綜合协调应急预案衔接工作，组织开展预案演练，推动应急避难设施建设。</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(四)牵头建立统一的全区应急管理信息系统，负责信息传输道的规划和布局，建立监测预警和灾情报告制度，健全自然灾害信息資源获取和共享机制，依法统一发布灾情。</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五)组织指导协调安全生产类、自然灾害类等突发事件应急救援，承担区应对相关事故灾害指挥部工作，综合研判突发事件发展态势并提出应对建议，协助区委、区政府指定的负责同志组织相关事故灾害应急处置工作。</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(六)统一协调指挥各类应急专业队伍，建立应急协调联动机制，推进指挥平台对接，衔接解放军和武警部队参与应急救援工作。</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(七)统筹应急救援力量建设，负责消防、森林火灾扑救、抗洪擒险、地质灾害救援、生产安全事故救援等专业应急救援力量建设，管理区综合性应急救援队伍，指导各级及社会应急救援力量建设。</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(八)组织指导全区防震减灾工作，负责地震监测预测预警、震害防御和地震现场应急救援工作，参与震后救援和震后重建等工作。</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九)组织协凋道防工作指导各级消防监督、火灾预防火灾扑救等工作。</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(十)指导协调森林火灾、水旱灾害、地质灾害等防治工作。</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(十一)组织协调灾害救助工作，组织指导灾情核查，损失评估、救灾捐赠工作，管理、分配区救灾款物并监督使用。</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(十二)依法行使区安全生产综合监督管理职权指导协调监督检查区有关部门和各镇、街道办事处、开发区管委会安全生产工作，组织开展安全生产提查、考核工作。</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十三)按照分级、属地原则，依法监督检查工矿商贸生产经营单位贯彻执行安全生产法律法规情况，及其安全生产条件和有关设备(特种设备除外)、材料、劳动防护用品的安全生产管理工作。负责监督管理区属及以下工矿商贸企业的安全生产工作负责危险化学品企业安全监督管理综合工作和烟花爆竹安全生产监督管理工作。</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(十四)依法组织指导生产安全事故调查处理，监督事故查处和责任追究落实情况。组织开展自然灾害类突发事件的调查评估工作。</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(十五)制定应急物资储备和应急救援装备规划并组织实施，会同区相关部门建立健全应急物资、救援装备信息平台和调拨制度，在救灾时统一调度。</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(十六)负责应急管理、防震减灾、安全生产宣传教育和培训工作，组织指导应急管理、防灾减灾、安全生产的科学技术推广应用和信息化建设工作火灾扑救等工作。</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(十七)负责组织指导协调和监督全区安全生产行政执法工作。负责全区地震行政执法工作。管理直属执法机构对分管区域内的企业开展安全生产执法工作。</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(十八)组织开展应急管理方面的对外交流与合作。</w:t>
      </w:r>
    </w:p>
    <w:p>
      <w:pPr>
        <w:pStyle w:val="10"/>
        <w:widowControl/>
        <w:shd w:val="clear" w:color="auto" w:fill="FFFFFF"/>
        <w:spacing w:beforeAutospacing="0" w:afterAutospacing="0"/>
        <w:outlineLvl w:val="1"/>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(十九)完成区委、区政府交办的其他任务。</w:t>
      </w:r>
    </w:p>
    <w:p>
      <w:pPr>
        <w:pStyle w:val="10"/>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二、机构设置</w:t>
      </w:r>
    </w:p>
    <w:p>
      <w:pPr>
        <w:pStyle w:val="10"/>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ascii="仿宋_GB2312" w:hAnsi="仿宋_GB2312" w:eastAsia="仿宋_GB2312" w:cs="仿宋_GB2312"/>
          <w:sz w:val="32"/>
          <w:szCs w:val="32"/>
          <w:shd w:val="clear" w:color="auto" w:fill="FFFFFF"/>
        </w:rPr>
        <w:t>从决算编报</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构成看，纳入</w:t>
      </w:r>
      <w:r>
        <w:rPr>
          <w:rFonts w:hint="eastAsia" w:ascii="仿宋_GB2312" w:hAnsi="仿宋_GB2312" w:eastAsia="仿宋_GB2312" w:cs="仿宋_GB2312"/>
          <w:sz w:val="32"/>
          <w:szCs w:val="32"/>
          <w:shd w:val="clear" w:color="auto" w:fill="FFFFFF"/>
        </w:rPr>
        <w:t>2023</w:t>
      </w:r>
      <w:r>
        <w:rPr>
          <w:rFonts w:ascii="仿宋_GB2312" w:hAnsi="仿宋_GB2312" w:eastAsia="仿宋_GB2312" w:cs="仿宋_GB2312"/>
          <w:sz w:val="32"/>
          <w:szCs w:val="32"/>
          <w:shd w:val="clear" w:color="auto" w:fill="FFFFFF"/>
        </w:rPr>
        <w:t>年度</w:t>
      </w:r>
      <w:r>
        <w:rPr>
          <w:rFonts w:hint="eastAsia" w:ascii="仿宋_GB2312" w:hAnsi="仿宋_GB2312" w:eastAsia="仿宋_GB2312" w:cs="仿宋_GB2312"/>
          <w:sz w:val="32"/>
          <w:szCs w:val="32"/>
          <w:shd w:val="clear" w:color="auto" w:fill="FFFFFF"/>
        </w:rPr>
        <w:t>本部门</w:t>
      </w:r>
      <w:r>
        <w:rPr>
          <w:rFonts w:ascii="仿宋_GB2312" w:hAnsi="仿宋_GB2312" w:eastAsia="仿宋_GB2312" w:cs="仿宋_GB2312"/>
          <w:sz w:val="32"/>
          <w:szCs w:val="32"/>
          <w:shd w:val="clear" w:color="auto" w:fill="FFFFFF"/>
        </w:rPr>
        <w:t>决算汇编范围的独立核算</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（以下简称“</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 xml:space="preserve">”）共 </w:t>
      </w:r>
      <w:r>
        <w:rPr>
          <w:rFonts w:hint="eastAsia" w:ascii="仿宋_GB2312" w:hAnsi="仿宋_GB2312" w:eastAsia="仿宋_GB2312" w:cs="仿宋_GB2312"/>
          <w:sz w:val="32"/>
          <w:szCs w:val="32"/>
          <w:shd w:val="clear" w:color="auto" w:fill="FFFFFF"/>
          <w:lang w:val="en-US" w:eastAsia="zh-CN"/>
        </w:rPr>
        <w:t>1</w:t>
      </w:r>
      <w:r>
        <w:rPr>
          <w:rFonts w:ascii="仿宋_GB2312" w:hAnsi="仿宋_GB2312" w:eastAsia="仿宋_GB2312" w:cs="仿宋_GB2312"/>
          <w:sz w:val="32"/>
          <w:szCs w:val="32"/>
          <w:shd w:val="clear" w:color="auto"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pPr>
              <w:spacing w:line="560" w:lineRule="exact"/>
              <w:rPr>
                <w:rFonts w:ascii="仿宋_GB2312" w:hAnsi="Calibri" w:eastAsia="仿宋_GB2312" w:cs="ArialUnicodeMS"/>
                <w:sz w:val="28"/>
                <w:szCs w:val="28"/>
              </w:rPr>
            </w:pPr>
            <w:r>
              <w:rPr>
                <w:rFonts w:hint="eastAsia" w:ascii="仿宋_GB2312" w:hAnsi="Calibri" w:eastAsia="仿宋_GB2312" w:cs="ArialUnicodeMS"/>
                <w:sz w:val="28"/>
                <w:szCs w:val="28"/>
                <w:lang w:eastAsia="zh-CN"/>
              </w:rPr>
              <w:t>唐山市开平区应急管理局</w:t>
            </w:r>
            <w:r>
              <w:rPr>
                <w:rFonts w:hint="eastAsia" w:ascii="仿宋_GB2312" w:hAnsi="Calibri" w:eastAsia="仿宋_GB2312" w:cs="ArialUnicodeMS"/>
                <w:sz w:val="28"/>
                <w:szCs w:val="28"/>
              </w:rPr>
              <w:t>(本级)</w:t>
            </w:r>
          </w:p>
        </w:tc>
        <w:tc>
          <w:tcPr>
            <w:tcW w:w="2445" w:type="dxa"/>
          </w:tcPr>
          <w:p>
            <w:pPr>
              <w:spacing w:line="560" w:lineRule="exact"/>
              <w:jc w:val="center"/>
              <w:rPr>
                <w:rFonts w:hint="eastAsia" w:ascii="仿宋_GB2312" w:hAnsi="Calibri" w:eastAsia="仿宋_GB2312" w:cs="ArialUnicodeMS"/>
                <w:sz w:val="28"/>
                <w:szCs w:val="28"/>
                <w:lang w:eastAsia="zh-CN"/>
              </w:rPr>
            </w:pPr>
            <w:r>
              <w:rPr>
                <w:rFonts w:hint="eastAsia" w:ascii="仿宋_GB2312" w:hAnsi="Calibri" w:eastAsia="仿宋_GB2312" w:cs="ArialUnicodeMS"/>
                <w:sz w:val="28"/>
                <w:szCs w:val="28"/>
                <w:lang w:eastAsia="zh-CN"/>
              </w:rPr>
              <w:t>行政单位</w:t>
            </w:r>
          </w:p>
        </w:tc>
        <w:tc>
          <w:tcPr>
            <w:tcW w:w="2665" w:type="dxa"/>
          </w:tcPr>
          <w:p>
            <w:pPr>
              <w:spacing w:line="560" w:lineRule="exact"/>
              <w:jc w:val="center"/>
              <w:rPr>
                <w:rFonts w:hint="eastAsia" w:ascii="仿宋_GB2312" w:hAnsi="Calibri" w:eastAsia="仿宋_GB2312" w:cs="ArialUnicodeMS"/>
                <w:sz w:val="28"/>
                <w:szCs w:val="28"/>
                <w:lang w:eastAsia="zh-CN"/>
              </w:rPr>
            </w:pPr>
            <w:r>
              <w:rPr>
                <w:rFonts w:hint="eastAsia" w:ascii="仿宋_GB2312" w:hAnsi="Calibri" w:eastAsia="仿宋_GB2312" w:cs="ArialUnicodeMS"/>
                <w:sz w:val="28"/>
                <w:szCs w:val="28"/>
                <w:lang w:eastAsia="zh-CN"/>
              </w:rPr>
              <w:t>财政拨款</w:t>
            </w:r>
          </w:p>
        </w:tc>
      </w:tr>
    </w:tbl>
    <w:p>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Times New Roman" w:hAnsi="Times New Roman" w:eastAsia="黑体" w:cs="Times New Roman"/>
          <w:sz w:val="32"/>
          <w:szCs w:val="32"/>
          <w:highlight w:val="yellow"/>
        </w:rPr>
      </w:pPr>
      <w:r>
        <w:rPr>
          <w:rFonts w:hint="eastAsia" w:ascii="仿宋_GB2312" w:hAnsi="Calibri" w:eastAsia="仿宋_GB2312" w:cs="ArialUnicodeMS"/>
          <w:kern w:val="0"/>
          <w:sz w:val="32"/>
          <w:szCs w:val="32"/>
        </w:rPr>
        <w:t>我部门无二级预算单位，因此，唐山市开平区应急管理局202</w:t>
      </w:r>
      <w:r>
        <w:rPr>
          <w:rFonts w:hint="eastAsia" w:ascii="仿宋_GB2312" w:hAnsi="Calibri" w:eastAsia="仿宋_GB2312" w:cs="ArialUnicodeMS"/>
          <w:kern w:val="0"/>
          <w:sz w:val="32"/>
          <w:szCs w:val="32"/>
          <w:lang w:val="en-US" w:eastAsia="zh-CN"/>
        </w:rPr>
        <w:t>3</w:t>
      </w:r>
      <w:r>
        <w:rPr>
          <w:rFonts w:hint="eastAsia" w:ascii="仿宋_GB2312" w:hAnsi="Calibri" w:eastAsia="仿宋_GB2312" w:cs="ArialUnicodeMS"/>
          <w:kern w:val="0"/>
          <w:sz w:val="32"/>
          <w:szCs w:val="32"/>
        </w:rPr>
        <w:t>年度部门决算即唐山市开平区应急管理局本级202</w:t>
      </w:r>
      <w:r>
        <w:rPr>
          <w:rFonts w:hint="eastAsia" w:ascii="仿宋_GB2312" w:hAnsi="Calibri" w:eastAsia="仿宋_GB2312" w:cs="ArialUnicodeMS"/>
          <w:kern w:val="0"/>
          <w:sz w:val="32"/>
          <w:szCs w:val="32"/>
          <w:lang w:val="en-US" w:eastAsia="zh-CN"/>
        </w:rPr>
        <w:t>3</w:t>
      </w:r>
      <w:r>
        <w:rPr>
          <w:rFonts w:hint="eastAsia" w:ascii="仿宋_GB2312" w:hAnsi="Calibri" w:eastAsia="仿宋_GB2312" w:cs="ArialUnicodeMS"/>
          <w:kern w:val="0"/>
          <w:sz w:val="32"/>
          <w:szCs w:val="32"/>
        </w:rPr>
        <w:t>年度决算。</w:t>
      </w: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ascii="Times New Roman" w:hAnsi="Times New Roman" w:eastAsia="黑体" w:cs="Times New Roman"/>
          <w:sz w:val="32"/>
          <w:szCs w:val="32"/>
          <w:highlight w:val="yellow"/>
        </w:rPr>
      </w:pPr>
    </w:p>
    <w:p>
      <w:pPr>
        <w:pStyle w:val="10"/>
        <w:widowControl/>
        <w:shd w:val="clear" w:color="auto" w:fill="FFFFFF"/>
        <w:spacing w:beforeAutospacing="0" w:afterAutospacing="0"/>
        <w:rPr>
          <w:rFonts w:ascii="Arial" w:hAnsi="Arial" w:eastAsia="Arial" w:cs="Arial"/>
          <w:color w:val="000000"/>
          <w:sz w:val="18"/>
          <w:szCs w:val="18"/>
          <w:shd w:val="clear" w:color="auto" w:fill="FFFFFF"/>
        </w:rPr>
      </w:pPr>
    </w:p>
    <w:p>
      <w:pPr>
        <w:widowControl/>
        <w:shd w:val="clear" w:color="auto" w:fill="FFFFFF"/>
        <w:jc w:val="left"/>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第二部分</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2023年度部门决算报表</w:t>
      </w:r>
    </w:p>
    <w:p>
      <w:pPr>
        <w:pStyle w:val="10"/>
        <w:widowControl/>
        <w:spacing w:beforeAutospacing="0" w:afterAutospacing="0"/>
        <w:jc w:val="center"/>
        <w:rPr>
          <w:rFonts w:ascii="仿宋_GB2312" w:hAnsi="仿宋_GB2312" w:eastAsia="仿宋_GB2312" w:cs="仿宋_GB2312"/>
          <w:color w:val="FF0000"/>
          <w:sz w:val="33"/>
          <w:szCs w:val="33"/>
          <w:shd w:val="clear" w:color="auto" w:fill="FFFFFF"/>
        </w:rPr>
      </w:pPr>
    </w:p>
    <w:p>
      <w:pPr>
        <w:pStyle w:val="10"/>
        <w:widowControl/>
        <w:spacing w:beforeAutospacing="0" w:afterAutospacing="0"/>
        <w:jc w:val="center"/>
        <w:rPr>
          <w:rFonts w:ascii="仿宋_GB2312" w:hAnsi="仿宋_GB2312" w:eastAsia="仿宋_GB2312" w:cs="仿宋_GB2312"/>
          <w:color w:val="FF0000"/>
          <w:sz w:val="33"/>
          <w:szCs w:val="33"/>
          <w:shd w:val="clear" w:color="auto" w:fill="FFFFFF"/>
        </w:rPr>
        <w:sectPr>
          <w:headerReference r:id="rId7" w:type="default"/>
          <w:pgSz w:w="11906" w:h="16838"/>
          <w:pgMar w:top="1531" w:right="1984" w:bottom="1531" w:left="2098" w:header="851" w:footer="992" w:gutter="0"/>
          <w:cols w:space="720" w:num="1"/>
          <w:docGrid w:type="lines" w:linePitch="312" w:charSpace="0"/>
        </w:sectPr>
      </w:pPr>
    </w:p>
    <w:tbl>
      <w:tblPr>
        <w:tblStyle w:val="11"/>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编制部门（单位）：唐山市开平区应急管理局(本级)</w:t>
            </w:r>
          </w:p>
        </w:tc>
        <w:tc>
          <w:tcPr>
            <w:tcW w:w="1262" w:type="pct"/>
            <w:gridSpan w:val="2"/>
            <w:tcBorders>
              <w:top w:val="nil"/>
              <w:left w:val="nil"/>
              <w:bottom w:val="single" w:color="auto" w:sz="4" w:space="0"/>
              <w:right w:val="nil"/>
            </w:tcBorders>
            <w:noWrap/>
            <w:vAlign w:val="bottom"/>
          </w:tcPr>
          <w:p>
            <w:pPr>
              <w:jc w:val="center"/>
              <w:rPr>
                <w:rFonts w:ascii="宋体" w:hAnsi="宋体" w:eastAsia="宋体"/>
                <w:color w:val="000000"/>
                <w:sz w:val="20"/>
                <w:szCs w:val="20"/>
              </w:rPr>
            </w:pPr>
            <w:r>
              <w:rPr>
                <w:rFonts w:hint="eastAsia"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757" w:type="pct"/>
            <w:gridSpan w:val="3"/>
            <w:tcBorders>
              <w:top w:val="nil"/>
              <w:left w:val="nil"/>
              <w:bottom w:val="single" w:color="auto" w:sz="4" w:space="0"/>
              <w:right w:val="nil"/>
            </w:tcBorders>
            <w:noWrap/>
            <w:vAlign w:val="bottom"/>
          </w:tcPr>
          <w:p>
            <w:pPr>
              <w:jc w:val="right"/>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支出</w:t>
            </w:r>
          </w:p>
        </w:tc>
      </w:tr>
      <w:tr>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958.78</w:t>
            </w: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64.13</w:t>
            </w: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四、上级补助收入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五、事业收入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六、经营收入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七、附属单位上缴收入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八、其他收入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38.18</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64.03</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64.13</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826" w:type="pct"/>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7"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826"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37.62</w:t>
            </w: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818.95</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1,022.92</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1,022.92</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使用非财政拨款结余（含专用结余）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结余分配</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41.88</w:t>
            </w: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41.88</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1,064.80</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1,064.80</w:t>
            </w:r>
          </w:p>
        </w:tc>
      </w:tr>
      <w:tr>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注：1.本表反映部门本年度的总收支和年末结转结余情况。2.本套报表金额转换时可能存在尾数误差。</w:t>
            </w:r>
          </w:p>
        </w:tc>
      </w:tr>
    </w:tbl>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p>
      <w:pPr>
        <w:widowControl/>
        <w:jc w:val="center"/>
        <w:textAlignment w:val="bottom"/>
        <w:rPr>
          <w:rFonts w:ascii="黑体" w:hAnsi="黑体" w:eastAsia="黑体"/>
          <w:bCs/>
          <w:sz w:val="32"/>
          <w:szCs w:val="32"/>
        </w:rPr>
      </w:pPr>
    </w:p>
    <w:tbl>
      <w:tblPr>
        <w:tblStyle w:val="11"/>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编制部门（单位）：唐山市开平区应急管理局(本级)                                                                                                         </w:t>
            </w:r>
          </w:p>
        </w:tc>
        <w:tc>
          <w:tcPr>
            <w:tcW w:w="3405" w:type="dxa"/>
            <w:gridSpan w:val="4"/>
            <w:tcBorders>
              <w:top w:val="nil"/>
              <w:left w:val="nil"/>
              <w:bottom w:val="single" w:color="auto" w:sz="4" w:space="0"/>
              <w:right w:val="nil"/>
            </w:tcBorders>
            <w:noWrap/>
            <w:vAlign w:val="bottom"/>
          </w:tcPr>
          <w:p>
            <w:pPr>
              <w:jc w:val="center"/>
              <w:rPr>
                <w:rFonts w:ascii="方正仿宋_GB2312" w:hAnsi="方正仿宋_GB2312" w:eastAsia="方正仿宋_GB2312" w:cs="方正仿宋_GB2312"/>
                <w:color w:val="000000"/>
                <w:sz w:val="20"/>
                <w:szCs w:val="20"/>
              </w:rPr>
            </w:pPr>
            <w:r>
              <w:rPr>
                <w:rFonts w:ascii="Times New Roman" w:hAnsi="Times New Roman" w:eastAsia="方正仿宋_GB2312"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2588" w:type="dxa"/>
            <w:gridSpan w:val="3"/>
            <w:tcBorders>
              <w:top w:val="nil"/>
              <w:left w:val="nil"/>
              <w:bottom w:val="single" w:color="auto" w:sz="4" w:space="0"/>
              <w:right w:val="nil"/>
            </w:tcBorders>
            <w:noWrap/>
            <w:vAlign w:val="bottom"/>
          </w:tcPr>
          <w:p>
            <w:pPr>
              <w:jc w:val="righ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1037" w:type="dxa"/>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本年收入合计</w:t>
            </w:r>
          </w:p>
        </w:tc>
        <w:tc>
          <w:tcPr>
            <w:tcW w:w="1037" w:type="dxa"/>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财政拨款收入</w:t>
            </w:r>
          </w:p>
        </w:tc>
        <w:tc>
          <w:tcPr>
            <w:tcW w:w="1037" w:type="dxa"/>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上级补助收入</w:t>
            </w:r>
          </w:p>
        </w:tc>
        <w:tc>
          <w:tcPr>
            <w:tcW w:w="964" w:type="dxa"/>
            <w:vMerge w:val="restart"/>
            <w:tcBorders>
              <w:top w:val="single" w:color="auto" w:sz="4" w:space="0"/>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事业收入</w:t>
            </w:r>
          </w:p>
        </w:tc>
        <w:tc>
          <w:tcPr>
            <w:tcW w:w="964" w:type="dxa"/>
            <w:gridSpan w:val="2"/>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经营收入</w:t>
            </w:r>
          </w:p>
        </w:tc>
        <w:tc>
          <w:tcPr>
            <w:tcW w:w="1027" w:type="dxa"/>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附属单位上缴收入</w:t>
            </w:r>
          </w:p>
        </w:tc>
        <w:tc>
          <w:tcPr>
            <w:tcW w:w="964" w:type="dxa"/>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其他收入</w:t>
            </w:r>
          </w:p>
        </w:tc>
      </w:tr>
      <w:tr>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vMerge w:val="continue"/>
            <w:tcBorders>
              <w:left w:val="nil"/>
              <w:right w:val="single" w:color="000000" w:sz="4" w:space="0"/>
            </w:tcBorders>
            <w:noWrap/>
            <w:vAlign w:val="center"/>
          </w:tcPr>
          <w:p>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vMerge w:val="continue"/>
            <w:tcBorders>
              <w:left w:val="nil"/>
              <w:right w:val="single" w:color="000000" w:sz="4" w:space="0"/>
            </w:tcBorders>
            <w:noWrap/>
            <w:vAlign w:val="center"/>
          </w:tcPr>
          <w:p>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037" w:type="dxa"/>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037" w:type="dxa"/>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037" w:type="dxa"/>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964" w:type="dxa"/>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c>
          <w:tcPr>
            <w:tcW w:w="1027" w:type="dxa"/>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6</w:t>
            </w:r>
          </w:p>
        </w:tc>
        <w:tc>
          <w:tcPr>
            <w:tcW w:w="964" w:type="dxa"/>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7</w:t>
            </w:r>
          </w:p>
        </w:tc>
      </w:tr>
      <w:tr>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1,022.92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1,022.92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38.18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38.18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38.18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38.18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38.18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38.18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64.03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64.03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64.03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64.03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行政单位医疗</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64.03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64.03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城乡社区支出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21213</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城市基础设施配套费安排的支出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2121399</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其他城市基础设施配套费安排的支出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37.62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37.62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37.62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37.62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37.62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37.62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224</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灾害防治及应急管理支出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818.95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818.95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22401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应急管理事务</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802.16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802.16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2240101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行政运行</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802.16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802.16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22407</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自然灾害救灾及恢复重建支出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16.78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16.78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2240703</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自然灾害救灾补助</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16.78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16.78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注：本表反映部门本年度取得的各项收入情况。</w:t>
            </w:r>
          </w:p>
        </w:tc>
      </w:tr>
    </w:tbl>
    <w:p>
      <w:pPr>
        <w:rPr>
          <w:rFonts w:ascii="黑体" w:hAnsi="黑体" w:eastAsia="黑体"/>
          <w:bCs/>
          <w:sz w:val="32"/>
          <w:szCs w:val="32"/>
        </w:rPr>
      </w:pPr>
      <w:r>
        <w:rPr>
          <w:rFonts w:hint="eastAsia" w:ascii="仿宋_GB2312" w:hAnsi="宋体" w:eastAsia="仿宋_GB2312"/>
          <w:b/>
          <w:sz w:val="32"/>
          <w:szCs w:val="32"/>
        </w:rPr>
        <w:br w:type="page"/>
      </w:r>
    </w:p>
    <w:p>
      <w:pPr>
        <w:widowControl/>
        <w:jc w:val="center"/>
        <w:textAlignment w:val="bottom"/>
        <w:rPr>
          <w:rFonts w:ascii="宋体" w:hAnsi="宋体" w:eastAsia="宋体"/>
          <w:spacing w:val="-2"/>
          <w:sz w:val="20"/>
        </w:rPr>
      </w:pPr>
    </w:p>
    <w:tbl>
      <w:tblPr>
        <w:tblStyle w:val="11"/>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03</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编制部门（单位）：唐山市开平区应急管理局(本级) </w:t>
            </w:r>
          </w:p>
        </w:tc>
        <w:tc>
          <w:tcPr>
            <w:tcW w:w="1403" w:type="pct"/>
            <w:gridSpan w:val="3"/>
            <w:tcBorders>
              <w:top w:val="nil"/>
              <w:left w:val="nil"/>
              <w:bottom w:val="single" w:color="auto" w:sz="4" w:space="0"/>
              <w:right w:val="nil"/>
            </w:tcBorders>
            <w:noWrap/>
            <w:vAlign w:val="bottom"/>
          </w:tcPr>
          <w:p>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734" w:type="pct"/>
            <w:gridSpan w:val="3"/>
            <w:tcBorders>
              <w:top w:val="nil"/>
              <w:left w:val="nil"/>
              <w:bottom w:val="single" w:color="auto" w:sz="4" w:space="0"/>
              <w:right w:val="nil"/>
            </w:tcBorders>
            <w:noWrap/>
            <w:vAlign w:val="bottom"/>
          </w:tcPr>
          <w:p>
            <w:pPr>
              <w:widowControl/>
              <w:jc w:val="right"/>
              <w:textAlignment w:val="bottom"/>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 xml:space="preserve"> 金额单位：万元</w:t>
            </w:r>
          </w:p>
        </w:tc>
      </w:tr>
      <w:tr>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03" w:type="pct"/>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602" w:type="pct"/>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602" w:type="pct"/>
            <w:gridSpan w:val="2"/>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上缴上级支出</w:t>
            </w:r>
          </w:p>
        </w:tc>
        <w:tc>
          <w:tcPr>
            <w:tcW w:w="602" w:type="pct"/>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经营支出</w:t>
            </w:r>
          </w:p>
        </w:tc>
        <w:tc>
          <w:tcPr>
            <w:tcW w:w="795" w:type="pct"/>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对附属单位补助支出</w:t>
            </w:r>
          </w:p>
        </w:tc>
      </w:tr>
      <w:tr>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03"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03"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2"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2"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79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r>
      <w:tr>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1,022.92</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676.68</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346.24</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38.18</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38.18</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38.18</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38.18</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38.18</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38.18</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64.03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64.03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64.03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64.03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64.03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64.03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64.13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64.13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21213</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城市基础设施配套费安排的支出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64.13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64.13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2121399</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其他城市基础设施配套费安排的支出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64.13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64.13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37.62</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37.62</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37.62</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37.62</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37.62</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37.62</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灾害防治及应急管理支出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818.95</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536.85</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282.10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应急管理事务</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802.16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536.85</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265.32</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2240101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802.16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536.85</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265.32</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22407</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自然灾害救灾及恢复重建支出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16.78</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16.78</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2240703</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自然灾害救灾补助</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16.78</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16.78</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注：本表反映部门本年度各项支出情况。</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281" w:type="pct"/>
        <w:tblInd w:w="-1857" w:type="dxa"/>
        <w:tblLayout w:type="fixed"/>
        <w:tblCellMar>
          <w:top w:w="0" w:type="dxa"/>
          <w:left w:w="108" w:type="dxa"/>
          <w:bottom w:w="0" w:type="dxa"/>
          <w:right w:w="108" w:type="dxa"/>
        </w:tblCellMar>
      </w:tblPr>
      <w:tblGrid>
        <w:gridCol w:w="1982"/>
        <w:gridCol w:w="623"/>
        <w:gridCol w:w="1428"/>
        <w:gridCol w:w="1658"/>
        <w:gridCol w:w="438"/>
        <w:gridCol w:w="623"/>
        <w:gridCol w:w="459"/>
        <w:gridCol w:w="834"/>
        <w:gridCol w:w="1218"/>
        <w:gridCol w:w="1218"/>
        <w:gridCol w:w="1227"/>
      </w:tblGrid>
      <w:tr>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公开04表</w:t>
            </w:r>
          </w:p>
        </w:tc>
      </w:tr>
      <w:tr>
        <w:tblPrEx>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rPr>
              <w:t xml:space="preserve">编制部门（单位）：唐山市开平区应急管理局(本级) </w:t>
            </w:r>
          </w:p>
        </w:tc>
        <w:tc>
          <w:tcPr>
            <w:tcW w:w="649" w:type="pct"/>
            <w:gridSpan w:val="3"/>
            <w:tcBorders>
              <w:top w:val="nil"/>
              <w:left w:val="nil"/>
              <w:bottom w:val="single" w:color="auto" w:sz="4" w:space="0"/>
              <w:right w:val="nil"/>
            </w:tcBorders>
            <w:noWrap/>
            <w:vAlign w:val="bottom"/>
          </w:tcPr>
          <w:p>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919" w:type="pct"/>
            <w:gridSpan w:val="4"/>
            <w:tcBorders>
              <w:top w:val="nil"/>
              <w:left w:val="nil"/>
              <w:bottom w:val="single" w:color="auto" w:sz="4" w:space="0"/>
              <w:right w:val="nil"/>
            </w:tcBorders>
            <w:noWrap/>
            <w:vAlign w:val="bottom"/>
          </w:tcPr>
          <w:p>
            <w:pPr>
              <w:jc w:val="right"/>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tblPrEx>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    目</w:t>
            </w:r>
          </w:p>
        </w:tc>
        <w:tc>
          <w:tcPr>
            <w:tcW w:w="266"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609"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266"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552" w:type="pct"/>
            <w:gridSpan w:val="2"/>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tblPrEx>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895"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520"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520"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520" w:type="pct"/>
            <w:tcBorders>
              <w:top w:val="nil"/>
              <w:left w:val="nil"/>
              <w:bottom w:val="single" w:color="000000" w:sz="4" w:space="0"/>
              <w:right w:val="single" w:color="000000" w:sz="8"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958.78</w:t>
            </w: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64.13</w:t>
            </w: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38.18</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38.18</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64.03</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64.03</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64.13</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64.13</w:t>
            </w: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609"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6"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552" w:type="pct"/>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37.62</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37.62</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818.95</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818.95</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1,022.92</w:t>
            </w:r>
          </w:p>
        </w:tc>
        <w:tc>
          <w:tcPr>
            <w:tcW w:w="895"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1,022.92</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958.78</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64.13</w:t>
            </w: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年初财政拨款结转和结余</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41.88</w:t>
            </w: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年末财政拨款结转和结余</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41.88</w:t>
            </w:r>
          </w:p>
        </w:tc>
        <w:tc>
          <w:tcPr>
            <w:tcW w:w="520" w:type="pct"/>
            <w:tcBorders>
              <w:top w:val="nil"/>
              <w:left w:val="nil"/>
              <w:bottom w:val="single" w:color="000000" w:sz="4" w:space="0"/>
              <w:right w:val="single" w:color="000000" w:sz="4" w:space="0"/>
            </w:tcBorders>
            <w:noWrap/>
            <w:vAlign w:val="center"/>
          </w:tcPr>
          <w:p>
            <w:pPr>
              <w:rPr>
                <w:rFonts w:ascii="Times New Roman" w:hAnsi="Times New Roman" w:eastAsia="宋体" w:cs="Times New Roman"/>
                <w:color w:val="000000"/>
                <w:sz w:val="20"/>
                <w:szCs w:val="20"/>
              </w:rPr>
            </w:pPr>
            <w:r>
              <w:rPr>
                <w:rFonts w:ascii="Times New Roman" w:hAnsi="Times New Roman" w:cs="Times New Roman"/>
                <w:sz w:val="20"/>
                <w:szCs w:val="20"/>
              </w:rPr>
              <w:t>41.88</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41.88</w:t>
            </w: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609" w:type="pct"/>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1,064.80</w:t>
            </w:r>
          </w:p>
        </w:tc>
        <w:tc>
          <w:tcPr>
            <w:tcW w:w="895" w:type="pct"/>
            <w:gridSpan w:val="2"/>
            <w:tcBorders>
              <w:top w:val="nil"/>
              <w:left w:val="nil"/>
              <w:bottom w:val="single" w:color="000000" w:sz="8"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w:t>
            </w:r>
          </w:p>
        </w:tc>
        <w:tc>
          <w:tcPr>
            <w:tcW w:w="552" w:type="pct"/>
            <w:gridSpan w:val="2"/>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1,064.80</w:t>
            </w:r>
          </w:p>
        </w:tc>
        <w:tc>
          <w:tcPr>
            <w:tcW w:w="520" w:type="pct"/>
            <w:tcBorders>
              <w:top w:val="nil"/>
              <w:left w:val="nil"/>
              <w:bottom w:val="single" w:color="000000" w:sz="8" w:space="0"/>
              <w:right w:val="single" w:color="000000" w:sz="4" w:space="0"/>
            </w:tcBorders>
            <w:noWrap/>
            <w:vAlign w:val="center"/>
          </w:tcPr>
          <w:p>
            <w:pPr>
              <w:jc w:val="right"/>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1,000.66</w:t>
            </w:r>
          </w:p>
          <w:p>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64.13</w:t>
            </w:r>
          </w:p>
        </w:tc>
        <w:tc>
          <w:tcPr>
            <w:tcW w:w="520" w:type="pct"/>
            <w:tcBorders>
              <w:top w:val="nil"/>
              <w:left w:val="nil"/>
              <w:bottom w:val="single" w:color="000000" w:sz="8"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注：本表反映部门本年度一般公共预算财政拨款、政府性基金预算财政拨款和国有资本经营预算财政拨款的总收支和年末结转结余情况。</w:t>
            </w:r>
          </w:p>
        </w:tc>
      </w:tr>
    </w:tbl>
    <w:p>
      <w:pPr>
        <w:rPr>
          <w:rFonts w:ascii="仿宋_GB2312" w:hAnsi="宋体" w:eastAsia="仿宋_GB2312"/>
          <w:b/>
          <w:sz w:val="32"/>
          <w:szCs w:val="32"/>
        </w:rPr>
      </w:pPr>
      <w:r>
        <w:rPr>
          <w:rFonts w:hint="eastAsia" w:ascii="仿宋_GB2312" w:hAnsi="宋体" w:eastAsia="仿宋_GB2312"/>
          <w:b/>
          <w:sz w:val="32"/>
          <w:szCs w:val="32"/>
        </w:rPr>
        <w:br w:type="page"/>
      </w:r>
    </w:p>
    <w:p>
      <w:pPr>
        <w:jc w:val="center"/>
        <w:rPr>
          <w:rFonts w:ascii="宋体" w:hAnsi="宋体" w:eastAsia="宋体"/>
          <w:spacing w:val="-2"/>
          <w:sz w:val="20"/>
        </w:rPr>
      </w:pPr>
    </w:p>
    <w:tbl>
      <w:tblPr>
        <w:tblStyle w:val="11"/>
        <w:tblW w:w="5455" w:type="pct"/>
        <w:tblInd w:w="-657" w:type="dxa"/>
        <w:tblLayout w:type="autofit"/>
        <w:tblCellMar>
          <w:top w:w="0" w:type="dxa"/>
          <w:left w:w="108" w:type="dxa"/>
          <w:bottom w:w="0" w:type="dxa"/>
          <w:right w:w="108" w:type="dxa"/>
        </w:tblCellMar>
      </w:tblPr>
      <w:tblGrid>
        <w:gridCol w:w="1811"/>
        <w:gridCol w:w="2816"/>
        <w:gridCol w:w="1061"/>
        <w:gridCol w:w="762"/>
        <w:gridCol w:w="794"/>
        <w:gridCol w:w="383"/>
        <w:gridCol w:w="1233"/>
      </w:tblGrid>
      <w:tr>
        <w:tblPrEx>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tblPrEx>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05</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编制部门（单位）：唐山市开平区应急管理局(本级)</w:t>
            </w:r>
          </w:p>
        </w:tc>
        <w:tc>
          <w:tcPr>
            <w:tcW w:w="1551" w:type="pct"/>
            <w:gridSpan w:val="2"/>
            <w:tcBorders>
              <w:top w:val="nil"/>
              <w:left w:val="nil"/>
              <w:bottom w:val="single" w:color="auto" w:sz="4" w:space="0"/>
              <w:right w:val="nil"/>
            </w:tcBorders>
            <w:noWrap/>
            <w:vAlign w:val="bottom"/>
          </w:tcPr>
          <w:p>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591" w:type="pct"/>
            <w:gridSpan w:val="2"/>
            <w:tcBorders>
              <w:top w:val="nil"/>
              <w:left w:val="nil"/>
              <w:bottom w:val="single" w:color="auto" w:sz="4" w:space="0"/>
              <w:right w:val="nil"/>
            </w:tcBorders>
            <w:noWrap/>
            <w:vAlign w:val="bottom"/>
          </w:tcPr>
          <w:p>
            <w:pPr>
              <w:widowControl/>
              <w:jc w:val="right"/>
              <w:textAlignment w:val="bottom"/>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3552" w:type="pct"/>
            <w:gridSpan w:val="5"/>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tblPrEx>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tblPrEx>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748"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1213"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748"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1213"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tblPrEx>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958.78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676.68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282.10</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38.18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38.18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38.18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38.18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38.18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38.18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64.03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64.03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64.03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64.03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64.03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64.03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37.62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37.62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37.62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37.62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37.62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37.62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灾害防治及应急管理支出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818.95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536.85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282.10</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应急管理事务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802.16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536.85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265.32</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2240101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802.16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536.85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265.32</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22407</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自然灾害救灾及恢复重建支出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16.78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16.78</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2240703</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自然灾害救灾补助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16.78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16.78</w:t>
            </w:r>
          </w:p>
        </w:tc>
      </w:tr>
      <w:tr>
        <w:tblPrEx>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注：本表反映部门本年度一般公共预算财政拨款支出情况。</w:t>
            </w:r>
          </w:p>
        </w:tc>
      </w:tr>
    </w:tbl>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050" w:type="pct"/>
        <w:tblInd w:w="-1617" w:type="dxa"/>
        <w:tblLayout w:type="fixed"/>
        <w:tblCellMar>
          <w:top w:w="0" w:type="dxa"/>
          <w:left w:w="108" w:type="dxa"/>
          <w:bottom w:w="0" w:type="dxa"/>
          <w:right w:w="108" w:type="dxa"/>
        </w:tblCellMar>
      </w:tblPr>
      <w:tblGrid>
        <w:gridCol w:w="963"/>
        <w:gridCol w:w="1813"/>
        <w:gridCol w:w="1018"/>
        <w:gridCol w:w="964"/>
        <w:gridCol w:w="440"/>
        <w:gridCol w:w="1372"/>
        <w:gridCol w:w="589"/>
        <w:gridCol w:w="374"/>
        <w:gridCol w:w="964"/>
        <w:gridCol w:w="1816"/>
        <w:gridCol w:w="1023"/>
      </w:tblGrid>
      <w:tr>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一般公共预算财政拨款基本支出决算表</w:t>
            </w:r>
          </w:p>
        </w:tc>
      </w:tr>
      <w:tr>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06</w:t>
            </w:r>
            <w:r>
              <w:rPr>
                <w:rFonts w:hint="eastAsia" w:ascii="方正仿宋_GB2312" w:hAnsi="方正仿宋_GB2312" w:eastAsia="方正仿宋_GB2312" w:cs="方正仿宋_GB2312"/>
                <w:color w:val="000000"/>
                <w:sz w:val="18"/>
                <w:szCs w:val="18"/>
              </w:rPr>
              <w:t>表</w:t>
            </w:r>
          </w:p>
        </w:tc>
      </w:tr>
      <w:tr>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 xml:space="preserve">编制部门（单位）：唐山市开平区应急管理局(本级) </w:t>
            </w:r>
          </w:p>
        </w:tc>
        <w:tc>
          <w:tcPr>
            <w:tcW w:w="865" w:type="pct"/>
            <w:gridSpan w:val="2"/>
            <w:tcBorders>
              <w:top w:val="nil"/>
              <w:left w:val="nil"/>
              <w:bottom w:val="single" w:color="auto" w:sz="4" w:space="0"/>
              <w:right w:val="nil"/>
            </w:tcBorders>
            <w:noWrap/>
            <w:vAlign w:val="bottom"/>
          </w:tcPr>
          <w:p>
            <w:pPr>
              <w:jc w:val="center"/>
              <w:rPr>
                <w:rFonts w:asciiTheme="minorEastAsia" w:hAnsiTheme="minorEastAsia" w:cstheme="minorEastAsia"/>
                <w:color w:val="000000"/>
                <w:sz w:val="18"/>
                <w:szCs w:val="18"/>
              </w:rPr>
            </w:pPr>
            <w:r>
              <w:rPr>
                <w:rFonts w:hint="eastAsia" w:asciiTheme="minorEastAsia" w:hAnsiTheme="minorEastAsia" w:cstheme="minorEastAsia"/>
                <w:color w:val="000000"/>
                <w:sz w:val="18"/>
                <w:szCs w:val="18"/>
              </w:rPr>
              <w:t>2023</w:t>
            </w:r>
            <w:r>
              <w:rPr>
                <w:rFonts w:hint="eastAsia" w:ascii="方正仿宋_GB2312" w:hAnsi="方正仿宋_GB2312" w:eastAsia="方正仿宋_GB2312" w:cs="方正仿宋_GB2312"/>
                <w:color w:val="000000"/>
                <w:sz w:val="18"/>
                <w:szCs w:val="18"/>
              </w:rPr>
              <w:t>年度</w:t>
            </w:r>
          </w:p>
        </w:tc>
        <w:tc>
          <w:tcPr>
            <w:tcW w:w="1841" w:type="pct"/>
            <w:gridSpan w:val="4"/>
            <w:tcBorders>
              <w:top w:val="nil"/>
              <w:left w:val="nil"/>
              <w:bottom w:val="single" w:color="auto" w:sz="4" w:space="0"/>
              <w:right w:val="nil"/>
            </w:tcBorders>
            <w:noWrap/>
            <w:vAlign w:val="bottom"/>
          </w:tcPr>
          <w:p>
            <w:pPr>
              <w:jc w:val="right"/>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金额单位：万元</w:t>
            </w:r>
          </w:p>
        </w:tc>
      </w:tr>
      <w:tr>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公用经费</w:t>
            </w: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603.02</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35.48</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188.95</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3.04</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102.81</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32.09</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84.41</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54.97</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29.43</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9.45</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64.03</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2.99</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0.82</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43.33</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38.18</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38.18</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3.37</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4.22</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4.24</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10.33</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ascii="Times New Roman" w:hAnsi="Times New Roman" w:cs="Times New Roman"/>
                <w:sz w:val="18"/>
                <w:szCs w:val="18"/>
              </w:rPr>
              <w:t>641.20</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ascii="Times New Roman" w:hAnsi="Times New Roman" w:cs="Times New Roman"/>
                <w:sz w:val="18"/>
                <w:szCs w:val="18"/>
              </w:rPr>
              <w:t>35.48</w:t>
            </w:r>
          </w:p>
        </w:tc>
      </w:tr>
      <w:tr>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注：本表反映部门本年度一般公共预算财政拨款基本支出明细情况。</w:t>
            </w:r>
          </w:p>
        </w:tc>
      </w:tr>
    </w:tbl>
    <w:p>
      <w:pPr>
        <w:rPr>
          <w:rFonts w:ascii="仿宋_GB2312" w:hAnsi="宋体" w:eastAsia="仿宋_GB2312"/>
          <w:b/>
          <w:sz w:val="32"/>
          <w:szCs w:val="32"/>
        </w:rPr>
      </w:pPr>
      <w:r>
        <w:rPr>
          <w:rFonts w:hint="eastAsia" w:ascii="仿宋_GB2312" w:hAnsi="宋体" w:eastAsia="仿宋_GB2312"/>
          <w:b/>
          <w:sz w:val="32"/>
          <w:szCs w:val="32"/>
        </w:rPr>
        <w:br w:type="page"/>
      </w:r>
    </w:p>
    <w:p>
      <w:pPr>
        <w:jc w:val="center"/>
        <w:rPr>
          <w:rFonts w:ascii="仿宋_GB2312" w:hAnsi="宋体" w:eastAsia="仿宋_GB2312"/>
          <w:b/>
          <w:sz w:val="32"/>
          <w:szCs w:val="32"/>
        </w:rPr>
      </w:pPr>
    </w:p>
    <w:tbl>
      <w:tblPr>
        <w:tblStyle w:val="11"/>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07</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编制部门（单位）：唐山市开平区应急管理局(本级) </w:t>
            </w:r>
          </w:p>
        </w:tc>
        <w:tc>
          <w:tcPr>
            <w:tcW w:w="1217"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854" w:type="pct"/>
            <w:gridSpan w:val="3"/>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23" w:type="pct"/>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489" w:type="pct"/>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w:t>
            </w:r>
          </w:p>
        </w:tc>
        <w:tc>
          <w:tcPr>
            <w:tcW w:w="1609" w:type="pct"/>
            <w:gridSpan w:val="4"/>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c>
          <w:tcPr>
            <w:tcW w:w="973" w:type="pct"/>
            <w:vMerge w:val="restart"/>
            <w:tcBorders>
              <w:top w:val="single" w:color="auto" w:sz="4" w:space="0"/>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r>
      <w:tr>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23" w:type="pct"/>
            <w:vMerge w:val="continue"/>
            <w:tcBorders>
              <w:top w:val="single" w:color="000000" w:sz="4" w:space="0"/>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546"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973" w:type="pct"/>
            <w:vMerge w:val="continue"/>
            <w:tcBorders>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结转</w:t>
            </w:r>
          </w:p>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w:t>
            </w:r>
          </w:p>
        </w:tc>
      </w:tr>
      <w:tr>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23" w:type="pct"/>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1</w:t>
            </w:r>
          </w:p>
        </w:tc>
        <w:tc>
          <w:tcPr>
            <w:tcW w:w="489"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w:t>
            </w:r>
          </w:p>
        </w:tc>
        <w:tc>
          <w:tcPr>
            <w:tcW w:w="5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3</w:t>
            </w:r>
          </w:p>
        </w:tc>
        <w:tc>
          <w:tcPr>
            <w:tcW w:w="534"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4</w:t>
            </w:r>
          </w:p>
        </w:tc>
        <w:tc>
          <w:tcPr>
            <w:tcW w:w="54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5</w:t>
            </w:r>
          </w:p>
        </w:tc>
        <w:tc>
          <w:tcPr>
            <w:tcW w:w="973"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64.13</w:t>
            </w: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64.13</w:t>
            </w:r>
          </w:p>
        </w:tc>
        <w:tc>
          <w:tcPr>
            <w:tcW w:w="53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64.13</w:t>
            </w:r>
          </w:p>
        </w:tc>
        <w:tc>
          <w:tcPr>
            <w:tcW w:w="97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w:t>
            </w:r>
          </w:p>
        </w:tc>
        <w:tc>
          <w:tcPr>
            <w:tcW w:w="703"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城乡社区支出</w:t>
            </w:r>
          </w:p>
        </w:tc>
        <w:tc>
          <w:tcPr>
            <w:tcW w:w="62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53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97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21213</w:t>
            </w:r>
          </w:p>
        </w:tc>
        <w:tc>
          <w:tcPr>
            <w:tcW w:w="703"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城市基础设施配套费安排的支出</w:t>
            </w:r>
          </w:p>
        </w:tc>
        <w:tc>
          <w:tcPr>
            <w:tcW w:w="62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53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97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2121399</w:t>
            </w:r>
          </w:p>
        </w:tc>
        <w:tc>
          <w:tcPr>
            <w:tcW w:w="703"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其他城市基础设施配套费安排的支出</w:t>
            </w:r>
          </w:p>
        </w:tc>
        <w:tc>
          <w:tcPr>
            <w:tcW w:w="62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53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64.13</w:t>
            </w:r>
          </w:p>
        </w:tc>
        <w:tc>
          <w:tcPr>
            <w:tcW w:w="97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注：本表反映部门本年度政府性基金预算财政拨款收入、支出及结转和结余情况。</w:t>
            </w:r>
            <w:r>
              <w:rPr>
                <w:rFonts w:hint="eastAsia" w:ascii="方正仿宋_GB2312" w:hAnsi="方正仿宋_GB2312" w:eastAsia="方正仿宋_GB2312" w:cs="方正仿宋_GB2312"/>
                <w:color w:val="000000"/>
                <w:sz w:val="20"/>
                <w:szCs w:val="20"/>
              </w:rPr>
              <w:br w:type="page"/>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p>
      <w:pPr>
        <w:widowControl/>
        <w:jc w:val="center"/>
        <w:textAlignment w:val="bottom"/>
        <w:rPr>
          <w:rFonts w:ascii="宋体" w:hAnsi="宋体" w:eastAsia="宋体"/>
          <w:spacing w:val="-2"/>
          <w:sz w:val="20"/>
        </w:rPr>
      </w:pPr>
    </w:p>
    <w:tbl>
      <w:tblPr>
        <w:tblStyle w:val="11"/>
        <w:tblW w:w="5000" w:type="pct"/>
        <w:tblInd w:w="0" w:type="dxa"/>
        <w:tblLayout w:type="fixed"/>
        <w:tblCellMar>
          <w:top w:w="0" w:type="dxa"/>
          <w:left w:w="108" w:type="dxa"/>
          <w:bottom w:w="0" w:type="dxa"/>
          <w:right w:w="108" w:type="dxa"/>
        </w:tblCellMar>
      </w:tblPr>
      <w:tblGrid>
        <w:gridCol w:w="2017"/>
        <w:gridCol w:w="730"/>
        <w:gridCol w:w="1298"/>
        <w:gridCol w:w="1336"/>
        <w:gridCol w:w="45"/>
        <w:gridCol w:w="1286"/>
        <w:gridCol w:w="5"/>
        <w:gridCol w:w="1323"/>
      </w:tblGrid>
      <w:tr>
        <w:tblPrEx>
          <w:tblCellMar>
            <w:top w:w="0" w:type="dxa"/>
            <w:left w:w="108" w:type="dxa"/>
            <w:bottom w:w="0" w:type="dxa"/>
            <w:right w:w="108" w:type="dxa"/>
          </w:tblCellMar>
        </w:tblPrEx>
        <w:trPr>
          <w:trHeight w:val="550" w:hRule="atLeast"/>
        </w:trPr>
        <w:tc>
          <w:tcPr>
            <w:tcW w:w="5000" w:type="pct"/>
            <w:gridSpan w:val="8"/>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tblPrEx>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08</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编制部门（单位）：唐山市开平区应急管理局(本级)</w:t>
            </w:r>
          </w:p>
        </w:tc>
        <w:tc>
          <w:tcPr>
            <w:tcW w:w="1666"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624" w:type="pct"/>
            <w:gridSpan w:val="3"/>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 项目</w:t>
            </w:r>
          </w:p>
        </w:tc>
        <w:tc>
          <w:tcPr>
            <w:tcW w:w="2484" w:type="pct"/>
            <w:gridSpan w:val="5"/>
            <w:vMerge w:val="restart"/>
            <w:tcBorders>
              <w:top w:val="single" w:color="auto" w:sz="4" w:space="0"/>
              <w:left w:val="single" w:color="auto"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tblPrEx>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2484" w:type="pct"/>
            <w:gridSpan w:val="5"/>
            <w:vMerge w:val="continue"/>
            <w:tcBorders>
              <w:left w:val="single" w:color="auto"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831" w:type="pct"/>
            <w:vMerge w:val="restart"/>
            <w:tcBorders>
              <w:top w:val="nil"/>
              <w:left w:val="single" w:color="auto"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831" w:type="pct"/>
            <w:gridSpan w:val="3"/>
            <w:vMerge w:val="restart"/>
            <w:tcBorders>
              <w:top w:val="nil"/>
              <w:left w:val="nil"/>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821" w:type="pct"/>
            <w:vMerge w:val="restart"/>
            <w:tcBorders>
              <w:top w:val="nil"/>
              <w:left w:val="nil"/>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tblPrEx>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260" w:type="pct"/>
            <w:gridSpan w:val="2"/>
            <w:vMerge w:val="continue"/>
            <w:tcBorders>
              <w:top w:val="single" w:color="auto" w:sz="4" w:space="0"/>
              <w:left w:val="nil"/>
              <w:bottom w:val="single" w:color="auto" w:sz="4" w:space="0"/>
              <w:right w:val="single" w:color="auto" w:sz="4" w:space="0"/>
            </w:tcBorders>
            <w:noWrap/>
            <w:vAlign w:val="center"/>
          </w:tcPr>
          <w:p>
            <w:pPr>
              <w:jc w:val="center"/>
              <w:rPr>
                <w:rFonts w:ascii="方正仿宋_GB2312" w:hAnsi="方正仿宋_GB2312" w:eastAsia="方正仿宋_GB2312" w:cs="方正仿宋_GB2312"/>
                <w:color w:val="000000"/>
                <w:sz w:val="20"/>
                <w:szCs w:val="20"/>
              </w:rPr>
            </w:pPr>
          </w:p>
        </w:tc>
        <w:tc>
          <w:tcPr>
            <w:tcW w:w="831" w:type="pct"/>
            <w:vMerge w:val="continue"/>
            <w:tcBorders>
              <w:left w:val="single" w:color="auto"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831" w:type="pct"/>
            <w:gridSpan w:val="3"/>
            <w:vMerge w:val="continue"/>
            <w:tcBorders>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821" w:type="pct"/>
            <w:vMerge w:val="continue"/>
            <w:tcBorders>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828" w:type="pct"/>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82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82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tblPrEx>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注：本表反映部门本年度国有资本经营预算财政拨款支出情况。</w:t>
            </w:r>
          </w:p>
        </w:tc>
      </w:tr>
    </w:tbl>
    <w:p>
      <w:pPr>
        <w:rPr>
          <w:rFonts w:ascii="仿宋_GB2312" w:hAnsi="宋体" w:eastAsia="仿宋_GB2312"/>
          <w:b/>
          <w:sz w:val="32"/>
          <w:szCs w:val="32"/>
        </w:rPr>
      </w:pPr>
      <w:r>
        <w:rPr>
          <w:rFonts w:hint="eastAsia" w:ascii="仿宋_GB2312" w:hAnsi="宋体" w:eastAsia="仿宋_GB2312"/>
          <w:b/>
          <w:sz w:val="32"/>
          <w:szCs w:val="32"/>
          <w:lang w:eastAsia="zh-CN"/>
        </w:rPr>
        <w:t>本部门本年度无相关收入情况，按要求空表列示。</w:t>
      </w:r>
      <w:r>
        <w:rPr>
          <w:rFonts w:hint="eastAsia" w:ascii="仿宋_GB2312" w:hAnsi="宋体" w:eastAsia="仿宋_GB2312"/>
          <w:b/>
          <w:sz w:val="32"/>
          <w:szCs w:val="32"/>
        </w:rPr>
        <w:br w:type="page"/>
      </w:r>
    </w:p>
    <w:tbl>
      <w:tblPr>
        <w:tblStyle w:val="11"/>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638"/>
        <w:gridCol w:w="1025"/>
        <w:gridCol w:w="948"/>
        <w:gridCol w:w="1192"/>
      </w:tblGrid>
      <w:tr>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trPr>
          <w:trHeight w:val="260" w:hRule="atLeast"/>
        </w:trPr>
        <w:tc>
          <w:tcPr>
            <w:tcW w:w="5000" w:type="pct"/>
            <w:gridSpan w:val="13"/>
            <w:tcBorders>
              <w:top w:val="nil"/>
              <w:left w:val="nil"/>
              <w:bottom w:val="nil"/>
              <w:right w:val="nil"/>
            </w:tcBorders>
            <w:noWrap/>
            <w:vAlign w:val="bottom"/>
          </w:tcPr>
          <w:p>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09</w:t>
            </w:r>
            <w:r>
              <w:rPr>
                <w:rFonts w:hint="eastAsia" w:ascii="方正仿宋_GB2312" w:hAnsi="方正仿宋_GB2312" w:eastAsia="方正仿宋_GB2312" w:cs="方正仿宋_GB2312"/>
                <w:color w:val="000000"/>
                <w:sz w:val="18"/>
                <w:szCs w:val="18"/>
              </w:rPr>
              <w:t>表</w:t>
            </w:r>
          </w:p>
        </w:tc>
      </w:tr>
      <w:tr>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编制部门（单位）：唐山市开平区应急管理局(本级)</w:t>
            </w:r>
          </w:p>
        </w:tc>
        <w:tc>
          <w:tcPr>
            <w:tcW w:w="933"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18"/>
                <w:szCs w:val="18"/>
              </w:rPr>
            </w:pPr>
            <w:r>
              <w:rPr>
                <w:rFonts w:ascii="Times New Roman" w:hAnsi="Times New Roman" w:eastAsia="宋体" w:cs="Times New Roman"/>
                <w:color w:val="000000"/>
                <w:sz w:val="18"/>
                <w:szCs w:val="18"/>
              </w:rPr>
              <w:t>2023</w:t>
            </w:r>
            <w:r>
              <w:rPr>
                <w:rFonts w:hint="eastAsia" w:ascii="方正仿宋_GB2312" w:hAnsi="方正仿宋_GB2312" w:eastAsia="方正仿宋_GB2312" w:cs="方正仿宋_GB2312"/>
                <w:color w:val="000000"/>
                <w:sz w:val="18"/>
                <w:szCs w:val="18"/>
              </w:rPr>
              <w:t>年度</w:t>
            </w:r>
          </w:p>
        </w:tc>
        <w:tc>
          <w:tcPr>
            <w:tcW w:w="2129" w:type="pct"/>
            <w:gridSpan w:val="5"/>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金额单位：万元</w:t>
            </w:r>
          </w:p>
        </w:tc>
      </w:tr>
      <w:tr>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预算数</w:t>
            </w:r>
          </w:p>
        </w:tc>
        <w:tc>
          <w:tcPr>
            <w:tcW w:w="2493" w:type="pct"/>
            <w:gridSpan w:val="6"/>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决算数</w:t>
            </w:r>
          </w:p>
        </w:tc>
      </w:tr>
      <w:tr>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52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217" w:type="pct"/>
            <w:gridSpan w:val="4"/>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366"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48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126" w:type="pct"/>
            <w:gridSpan w:val="3"/>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r>
      <w:tr>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5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42"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w:t>
            </w:r>
          </w:p>
        </w:tc>
        <w:tc>
          <w:tcPr>
            <w:tcW w:w="5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w:t>
            </w:r>
          </w:p>
        </w:tc>
        <w:tc>
          <w:tcPr>
            <w:tcW w:w="350"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w:t>
            </w:r>
          </w:p>
        </w:tc>
        <w:tc>
          <w:tcPr>
            <w:tcW w:w="45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w:t>
            </w:r>
          </w:p>
        </w:tc>
        <w:tc>
          <w:tcPr>
            <w:tcW w:w="33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c>
          <w:tcPr>
            <w:tcW w:w="3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w:t>
            </w:r>
          </w:p>
        </w:tc>
        <w:tc>
          <w:tcPr>
            <w:tcW w:w="48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w:t>
            </w:r>
          </w:p>
        </w:tc>
        <w:tc>
          <w:tcPr>
            <w:tcW w:w="27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w:t>
            </w:r>
          </w:p>
        </w:tc>
        <w:tc>
          <w:tcPr>
            <w:tcW w:w="44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w:t>
            </w:r>
          </w:p>
        </w:tc>
        <w:tc>
          <w:tcPr>
            <w:tcW w:w="511"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12</w:t>
            </w:r>
          </w:p>
        </w:tc>
      </w:tr>
      <w:tr>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8.00</w:t>
            </w: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8.00</w:t>
            </w:r>
          </w:p>
        </w:tc>
        <w:tc>
          <w:tcPr>
            <w:tcW w:w="407"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5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8.00</w:t>
            </w:r>
          </w:p>
        </w:tc>
        <w:tc>
          <w:tcPr>
            <w:tcW w:w="335"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366"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4.24</w:t>
            </w:r>
          </w:p>
        </w:tc>
        <w:tc>
          <w:tcPr>
            <w:tcW w:w="488"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4.24</w:t>
            </w:r>
          </w:p>
        </w:tc>
        <w:tc>
          <w:tcPr>
            <w:tcW w:w="442"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4.24</w:t>
            </w:r>
          </w:p>
        </w:tc>
        <w:tc>
          <w:tcPr>
            <w:tcW w:w="511"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r>
      <w:tr>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p>
      <w:pPr>
        <w:rPr>
          <w:rFonts w:ascii="仿宋_GB2312" w:hAnsi="宋体" w:eastAsia="仿宋_GB2312"/>
          <w:b/>
          <w:sz w:val="32"/>
          <w:szCs w:val="32"/>
        </w:rPr>
        <w:sectPr>
          <w:pgSz w:w="11906" w:h="16838"/>
          <w:pgMar w:top="1531" w:right="1984" w:bottom="1531" w:left="2098" w:header="851" w:footer="992" w:gutter="0"/>
          <w:cols w:space="720" w:num="1"/>
          <w:docGrid w:type="lines" w:linePitch="312" w:charSpace="0"/>
        </w:sectPr>
      </w:pPr>
    </w:p>
    <w:p>
      <w:pPr>
        <w:pStyle w:val="10"/>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第三部分</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spacing w:val="-20"/>
        </w:rPr>
      </w:pPr>
      <w:r>
        <w:rPr>
          <w:rFonts w:hint="eastAsia" w:ascii="黑体" w:hAnsi="宋体" w:eastAsia="黑体" w:cs="黑体"/>
          <w:color w:val="000000"/>
          <w:spacing w:val="-20"/>
          <w:sz w:val="72"/>
          <w:szCs w:val="72"/>
          <w:shd w:val="clear" w:color="auto" w:fill="FFFFFF"/>
        </w:rPr>
        <w:t>2023年度部门决算情况说明</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pP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br w:type="page"/>
      </w:r>
    </w:p>
    <w:p>
      <w:pPr>
        <w:pStyle w:val="10"/>
        <w:widowControl/>
        <w:spacing w:beforeAutospacing="0" w:afterAutospacing="0"/>
        <w:jc w:val="center"/>
        <w:rPr>
          <w:rFonts w:ascii="Arial" w:hAnsi="Arial" w:eastAsia="Arial" w:cs="Arial"/>
          <w:color w:val="000000"/>
          <w:sz w:val="18"/>
          <w:szCs w:val="18"/>
          <w:shd w:val="clear" w:color="auto" w:fill="FFFFFF"/>
        </w:rPr>
      </w:pP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both"/>
        <w:outlineLvl w:val="1"/>
        <w:rPr>
          <w:rFonts w:ascii="黑体" w:hAnsi="Calibri" w:eastAsia="黑体"/>
          <w:kern w:val="2"/>
          <w:sz w:val="32"/>
          <w:szCs w:val="32"/>
        </w:rPr>
      </w:pPr>
      <w:r>
        <w:rPr>
          <w:rFonts w:hint="eastAsia" w:ascii="黑体" w:hAnsi="Calibri" w:eastAsia="黑体"/>
          <w:kern w:val="2"/>
          <w:sz w:val="32"/>
          <w:szCs w:val="32"/>
        </w:rPr>
        <w:t>一、收入支出决算总体情况说明</w:t>
      </w:r>
    </w:p>
    <w:p>
      <w:pPr>
        <w:autoSpaceDE w:val="0"/>
        <w:autoSpaceDN w:val="0"/>
        <w:adjustRightInd w:val="0"/>
        <w:spacing w:line="580" w:lineRule="exact"/>
        <w:ind w:firstLine="640" w:firstLineChars="200"/>
        <w:jc w:val="left"/>
        <w:rPr>
          <w:rFonts w:ascii="Times New Roman" w:hAnsi="Times New Roman" w:eastAsia="Arial"/>
        </w:rPr>
      </w:pPr>
      <w:r>
        <w:rPr>
          <w:rFonts w:ascii="Times New Roman" w:hAnsi="Times New Roman" w:eastAsia="仿宋_GB2312" w:cs="Times New Roman"/>
          <w:kern w:val="2"/>
          <w:sz w:val="32"/>
          <w:szCs w:val="32"/>
        </w:rPr>
        <w:t>本单位2023年度收、支总计（含结转和结余）</w:t>
      </w:r>
      <w:r>
        <w:rPr>
          <w:rFonts w:ascii="Times New Roman" w:hAnsi="Times New Roman" w:eastAsia="仿宋_GB2312" w:cs="Times New Roman"/>
          <w:kern w:val="2"/>
          <w:sz w:val="32"/>
          <w:szCs w:val="32"/>
          <w:lang w:val="zh-CN"/>
        </w:rPr>
        <w:t>1,064.8</w:t>
      </w:r>
      <w:r>
        <w:rPr>
          <w:rFonts w:ascii="Times New Roman" w:hAnsi="Times New Roman" w:eastAsia="仿宋_GB2312" w:cs="Times New Roman"/>
          <w:kern w:val="2"/>
          <w:sz w:val="32"/>
          <w:szCs w:val="32"/>
        </w:rPr>
        <w:t>万元。与2022年度决算相比，收支各</w:t>
      </w:r>
      <w:r>
        <w:rPr>
          <w:rFonts w:hint="eastAsia" w:ascii="Times New Roman" w:hAnsi="Times New Roman" w:eastAsia="仿宋_GB2312" w:cs="Times New Roman"/>
          <w:kern w:val="2"/>
          <w:sz w:val="32"/>
          <w:szCs w:val="32"/>
          <w:lang w:eastAsia="zh-CN"/>
        </w:rPr>
        <w:t>减少</w:t>
      </w:r>
      <w:r>
        <w:rPr>
          <w:rFonts w:hint="eastAsia" w:ascii="Times New Roman" w:hAnsi="Times New Roman" w:eastAsia="仿宋_GB2312" w:cs="Times New Roman"/>
          <w:kern w:val="2"/>
          <w:sz w:val="32"/>
          <w:szCs w:val="32"/>
          <w:lang w:val="en-US" w:eastAsia="zh-CN"/>
        </w:rPr>
        <w:t>1096.46</w:t>
      </w:r>
      <w:r>
        <w:rPr>
          <w:rFonts w:ascii="Times New Roman" w:hAnsi="Times New Roman" w:eastAsia="仿宋_GB2312" w:cs="Times New Roman"/>
          <w:kern w:val="2"/>
          <w:sz w:val="32"/>
          <w:szCs w:val="32"/>
        </w:rPr>
        <w:t>万元，</w:t>
      </w:r>
      <w:r>
        <w:rPr>
          <w:rFonts w:hint="eastAsia" w:ascii="Times New Roman" w:hAnsi="Times New Roman" w:eastAsia="仿宋_GB2312" w:cs="Times New Roman"/>
          <w:kern w:val="2"/>
          <w:sz w:val="32"/>
          <w:szCs w:val="32"/>
          <w:lang w:eastAsia="zh-CN"/>
        </w:rPr>
        <w:t>下降</w:t>
      </w:r>
      <w:r>
        <w:rPr>
          <w:rFonts w:hint="eastAsia" w:ascii="Times New Roman" w:hAnsi="Times New Roman" w:eastAsia="仿宋_GB2312" w:cs="Times New Roman"/>
          <w:kern w:val="2"/>
          <w:sz w:val="32"/>
          <w:szCs w:val="32"/>
          <w:lang w:val="en-US" w:eastAsia="zh-CN"/>
        </w:rPr>
        <w:t>50.73</w:t>
      </w:r>
      <w:r>
        <w:rPr>
          <w:rFonts w:ascii="Times New Roman" w:hAnsi="Times New Roman" w:eastAsia="仿宋_GB2312" w:cs="Times New Roman"/>
          <w:kern w:val="2"/>
          <w:sz w:val="32"/>
          <w:szCs w:val="32"/>
        </w:rPr>
        <w:t>%，主要原因是</w:t>
      </w:r>
      <w:r>
        <w:rPr>
          <w:rFonts w:hint="eastAsia" w:ascii="仿宋_GB2312" w:hAnsi="Times New Roman" w:eastAsia="仿宋_GB2312" w:cs="Wingdings"/>
          <w:sz w:val="32"/>
          <w:szCs w:val="32"/>
        </w:rPr>
        <w:t>202</w:t>
      </w:r>
      <w:r>
        <w:rPr>
          <w:rFonts w:hint="eastAsia" w:ascii="仿宋_GB2312" w:hAnsi="Times New Roman" w:eastAsia="仿宋_GB2312" w:cs="Wingdings"/>
          <w:sz w:val="32"/>
          <w:szCs w:val="32"/>
          <w:lang w:val="en-US" w:eastAsia="zh-CN"/>
        </w:rPr>
        <w:t>3</w:t>
      </w:r>
      <w:r>
        <w:rPr>
          <w:rFonts w:hint="eastAsia" w:ascii="仿宋_GB2312" w:hAnsi="Times New Roman" w:eastAsia="仿宋_GB2312" w:cs="Wingdings"/>
          <w:sz w:val="32"/>
          <w:szCs w:val="32"/>
        </w:rPr>
        <w:t>年减少了河北省第五届园博会公共安全实训中心项目收入、支出</w:t>
      </w:r>
      <w:r>
        <w:rPr>
          <w:rFonts w:ascii="Times New Roman" w:hAnsi="Times New Roman" w:eastAsia="仿宋_GB2312" w:cs="Times New Roman"/>
          <w:kern w:val="2"/>
          <w:sz w:val="32"/>
          <w:szCs w:val="32"/>
        </w:rPr>
        <w:t>。</w:t>
      </w:r>
      <w:r>
        <w:rPr>
          <w:rFonts w:ascii="Times New Roman" w:hAnsi="Times New Roman" w:eastAsia="Arial"/>
          <w:color w:val="000000"/>
          <w:sz w:val="18"/>
          <w:szCs w:val="18"/>
          <w:shd w:val="clear" w:color="auto" w:fill="FFFFFF"/>
        </w:rPr>
        <w:t> </w:t>
      </w:r>
    </w:p>
    <w:p>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二、收入决算情况说明</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本单位2023年度本年收入合计</w:t>
      </w:r>
      <w:r>
        <w:rPr>
          <w:rFonts w:ascii="Times New Roman" w:hAnsi="Times New Roman" w:eastAsia="仿宋_GB2312" w:cs="Times New Roman"/>
          <w:sz w:val="30"/>
          <w:szCs w:val="30"/>
        </w:rPr>
        <w:t>1,022.92</w:t>
      </w:r>
      <w:r>
        <w:rPr>
          <w:rFonts w:ascii="Times New Roman" w:hAnsi="Times New Roman" w:eastAsia="仿宋_GB2312" w:cs="Times New Roman"/>
          <w:kern w:val="2"/>
          <w:sz w:val="32"/>
          <w:szCs w:val="32"/>
          <w:lang w:val="zh-CN"/>
        </w:rPr>
        <w:t>万元，其中：财政拨款收入1,022.92万元，占100%；上级补助收入0万元，占0%；事业收入0万元，占0%；经营收入0万元，占0%；附属单位上缴收入0万元，占0%；其他收入0万元，占0%</w:t>
      </w:r>
      <w:r>
        <w:rPr>
          <w:rFonts w:hint="eastAsia" w:ascii="Times New Roman" w:hAnsi="Times New Roman" w:eastAsia="仿宋_GB2312" w:cs="Times New Roman"/>
          <w:kern w:val="2"/>
          <w:sz w:val="32"/>
          <w:szCs w:val="32"/>
          <w:lang w:val="zh-CN"/>
        </w:rPr>
        <w:t>。</w:t>
      </w:r>
    </w:p>
    <w:p>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三、支出决算情况说明</w:t>
      </w:r>
    </w:p>
    <w:p>
      <w:pPr>
        <w:autoSpaceDE w:val="0"/>
        <w:autoSpaceDN w:val="0"/>
        <w:adjustRightInd w:val="0"/>
        <w:spacing w:line="580" w:lineRule="exact"/>
        <w:ind w:firstLine="6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本单位2023年度本年支出合计1,022.92万元，其中：基本支出676.68万元，占66.15%；项目支出346.24万元，占33.85%；上缴上级支出0万元，占0%；经营支出0万元，占0%；对附属单位补助支出0万元，占0%</w:t>
      </w:r>
      <w:r>
        <w:rPr>
          <w:rFonts w:hint="eastAsia" w:ascii="Times New Roman" w:hAnsi="Times New Roman" w:eastAsia="仿宋_GB2312" w:cs="Times New Roman"/>
          <w:kern w:val="2"/>
          <w:sz w:val="32"/>
          <w:szCs w:val="32"/>
          <w:lang w:val="zh-CN"/>
        </w:rPr>
        <w:t>。</w:t>
      </w:r>
    </w:p>
    <w:p>
      <w:pPr>
        <w:pStyle w:val="10"/>
        <w:widowControl/>
        <w:spacing w:beforeAutospacing="0" w:afterAutospacing="0"/>
        <w:jc w:val="both"/>
        <w:outlineLvl w:val="1"/>
        <w:rPr>
          <w:rFonts w:ascii="Times New Roman" w:hAnsi="Times New Roman" w:eastAsia="Arial"/>
        </w:rPr>
      </w:pPr>
      <w:r>
        <w:rPr>
          <w:rFonts w:ascii="Times New Roman" w:hAnsi="Times New Roman" w:eastAsia="黑体"/>
          <w:kern w:val="2"/>
          <w:sz w:val="32"/>
          <w:szCs w:val="32"/>
        </w:rPr>
        <w:t>四、财政拨款收入支出决算总体情况说明</w:t>
      </w:r>
    </w:p>
    <w:p>
      <w:pPr>
        <w:pStyle w:val="10"/>
        <w:widowControl/>
        <w:spacing w:beforeAutospacing="0" w:afterAutospacing="0"/>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（一）财政拨款收支与2022年度决算对比情况</w:t>
      </w:r>
    </w:p>
    <w:p>
      <w:pPr>
        <w:pStyle w:val="10"/>
        <w:widowControl/>
        <w:spacing w:beforeAutospacing="0" w:afterAutospacing="0"/>
        <w:ind w:firstLine="640" w:firstLineChars="200"/>
        <w:rPr>
          <w:rFonts w:ascii="Times New Roman" w:hAnsi="Times New Roman" w:eastAsia="仿宋_GB2312"/>
          <w:sz w:val="30"/>
          <w:szCs w:val="30"/>
        </w:rPr>
      </w:pP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年度财政拨款本年收入1,022.92</w:t>
      </w:r>
      <w:r>
        <w:rPr>
          <w:rFonts w:ascii="Times New Roman" w:hAnsi="Times New Roman" w:eastAsia="仿宋_GB2312"/>
          <w:kern w:val="2"/>
          <w:sz w:val="32"/>
          <w:szCs w:val="32"/>
        </w:rPr>
        <w:t>万</w:t>
      </w:r>
      <w:r>
        <w:rPr>
          <w:rFonts w:ascii="Times New Roman" w:hAnsi="Times New Roman" w:eastAsia="仿宋_GB2312"/>
          <w:kern w:val="2"/>
          <w:sz w:val="32"/>
          <w:szCs w:val="32"/>
          <w:lang w:val="zh-CN"/>
        </w:rPr>
        <w:t>元,比上年</w:t>
      </w:r>
      <w:r>
        <w:rPr>
          <w:rFonts w:hint="eastAsia" w:ascii="Times New Roman" w:hAnsi="Times New Roman" w:eastAsia="仿宋_GB2312"/>
          <w:kern w:val="2"/>
          <w:sz w:val="32"/>
          <w:szCs w:val="32"/>
          <w:lang w:val="zh-CN"/>
        </w:rPr>
        <w:t>减少</w:t>
      </w:r>
      <w:r>
        <w:rPr>
          <w:rFonts w:hint="eastAsia" w:ascii="Times New Roman" w:hAnsi="Times New Roman" w:eastAsia="仿宋_GB2312"/>
          <w:kern w:val="2"/>
          <w:sz w:val="32"/>
          <w:szCs w:val="32"/>
          <w:lang w:val="en-US" w:eastAsia="zh-CN"/>
        </w:rPr>
        <w:t>1086.46</w:t>
      </w:r>
      <w:r>
        <w:rPr>
          <w:rFonts w:ascii="Times New Roman" w:hAnsi="Times New Roman" w:eastAsia="仿宋_GB2312"/>
          <w:kern w:val="2"/>
          <w:sz w:val="32"/>
          <w:szCs w:val="32"/>
          <w:lang w:val="zh-CN"/>
        </w:rPr>
        <w:t>万元，</w:t>
      </w:r>
      <w:r>
        <w:rPr>
          <w:rFonts w:hint="eastAsia" w:ascii="Times New Roman" w:hAnsi="Times New Roman" w:eastAsia="仿宋_GB2312"/>
          <w:kern w:val="2"/>
          <w:sz w:val="32"/>
          <w:szCs w:val="32"/>
          <w:lang w:val="zh-CN"/>
        </w:rPr>
        <w:t>降低</w:t>
      </w:r>
      <w:r>
        <w:rPr>
          <w:rFonts w:hint="eastAsia" w:ascii="Times New Roman" w:hAnsi="Times New Roman" w:eastAsia="仿宋_GB2312"/>
          <w:kern w:val="2"/>
          <w:sz w:val="32"/>
          <w:szCs w:val="32"/>
          <w:lang w:val="en-US" w:eastAsia="zh-CN"/>
        </w:rPr>
        <w:t>51.51</w:t>
      </w:r>
      <w:r>
        <w:rPr>
          <w:rFonts w:ascii="Times New Roman" w:hAnsi="Times New Roman" w:eastAsia="仿宋_GB2312"/>
          <w:kern w:val="2"/>
          <w:sz w:val="32"/>
          <w:szCs w:val="32"/>
          <w:lang w:val="zh-CN"/>
        </w:rPr>
        <w:t>%，主要是</w:t>
      </w:r>
      <w:r>
        <w:rPr>
          <w:rFonts w:hint="eastAsia" w:ascii="仿宋_GB2312" w:hAnsi="Times New Roman" w:eastAsia="仿宋_GB2312" w:cs="DengXian-Regular"/>
          <w:sz w:val="32"/>
          <w:szCs w:val="32"/>
        </w:rPr>
        <w:t>主要是</w:t>
      </w:r>
      <w:r>
        <w:rPr>
          <w:rFonts w:hint="eastAsia" w:ascii="仿宋_GB2312" w:hAnsi="Times New Roman" w:eastAsia="仿宋_GB2312" w:cs="Wingdings"/>
          <w:sz w:val="32"/>
          <w:szCs w:val="32"/>
        </w:rPr>
        <w:t>202</w:t>
      </w:r>
      <w:r>
        <w:rPr>
          <w:rFonts w:hint="eastAsia" w:ascii="仿宋_GB2312" w:hAnsi="Times New Roman" w:eastAsia="仿宋_GB2312" w:cs="Wingdings"/>
          <w:sz w:val="32"/>
          <w:szCs w:val="32"/>
          <w:lang w:val="en-US" w:eastAsia="zh-CN"/>
        </w:rPr>
        <w:t>3</w:t>
      </w:r>
      <w:r>
        <w:rPr>
          <w:rFonts w:hint="eastAsia" w:ascii="仿宋_GB2312" w:hAnsi="Times New Roman" w:eastAsia="仿宋_GB2312" w:cs="Wingdings"/>
          <w:sz w:val="32"/>
          <w:szCs w:val="32"/>
        </w:rPr>
        <w:t>年</w:t>
      </w:r>
      <w:r>
        <w:rPr>
          <w:rFonts w:hint="eastAsia" w:ascii="仿宋_GB2312" w:hAnsi="Times New Roman" w:eastAsia="仿宋_GB2312" w:cs="Wingdings"/>
          <w:sz w:val="32"/>
          <w:szCs w:val="32"/>
          <w:lang w:eastAsia="zh-CN"/>
        </w:rPr>
        <w:t>减少</w:t>
      </w:r>
      <w:r>
        <w:rPr>
          <w:rFonts w:hint="eastAsia" w:ascii="仿宋_GB2312" w:hAnsi="Times New Roman" w:eastAsia="仿宋_GB2312" w:cs="Wingdings"/>
          <w:sz w:val="32"/>
          <w:szCs w:val="32"/>
        </w:rPr>
        <w:t>了河北省第五届园博会公共安全实训中心项目收入</w:t>
      </w:r>
      <w:r>
        <w:rPr>
          <w:rFonts w:ascii="Times New Roman" w:hAnsi="Times New Roman" w:eastAsia="仿宋_GB2312"/>
          <w:kern w:val="2"/>
          <w:sz w:val="32"/>
          <w:szCs w:val="32"/>
          <w:lang w:val="zh-CN"/>
        </w:rPr>
        <w:t>；本年支出 1,022.92万元，比上年</w:t>
      </w:r>
      <w:r>
        <w:rPr>
          <w:rFonts w:hint="eastAsia" w:ascii="Times New Roman" w:hAnsi="Times New Roman" w:eastAsia="仿宋_GB2312"/>
          <w:kern w:val="2"/>
          <w:sz w:val="32"/>
          <w:szCs w:val="32"/>
          <w:lang w:val="zh-CN"/>
        </w:rPr>
        <w:t>减少</w:t>
      </w:r>
      <w:r>
        <w:rPr>
          <w:rFonts w:hint="eastAsia" w:ascii="Times New Roman" w:hAnsi="Times New Roman" w:eastAsia="仿宋_GB2312"/>
          <w:kern w:val="2"/>
          <w:sz w:val="32"/>
          <w:szCs w:val="32"/>
          <w:lang w:val="en-US" w:eastAsia="zh-CN"/>
        </w:rPr>
        <w:t>1096.46</w:t>
      </w:r>
      <w:r>
        <w:rPr>
          <w:rFonts w:ascii="Times New Roman" w:hAnsi="Times New Roman" w:eastAsia="仿宋_GB2312"/>
          <w:kern w:val="2"/>
          <w:sz w:val="32"/>
          <w:szCs w:val="32"/>
          <w:lang w:val="zh-CN"/>
        </w:rPr>
        <w:t>万元，</w:t>
      </w:r>
      <w:r>
        <w:rPr>
          <w:rFonts w:hint="eastAsia" w:ascii="Times New Roman" w:hAnsi="Times New Roman" w:eastAsia="仿宋_GB2312"/>
          <w:kern w:val="2"/>
          <w:sz w:val="32"/>
          <w:szCs w:val="32"/>
          <w:lang w:val="zh-CN"/>
        </w:rPr>
        <w:t>降低</w:t>
      </w:r>
      <w:r>
        <w:rPr>
          <w:rFonts w:hint="eastAsia" w:ascii="Times New Roman" w:hAnsi="Times New Roman" w:eastAsia="仿宋_GB2312"/>
          <w:kern w:val="2"/>
          <w:sz w:val="32"/>
          <w:szCs w:val="32"/>
          <w:lang w:val="en-US" w:eastAsia="zh-CN"/>
        </w:rPr>
        <w:t>51.73</w:t>
      </w:r>
      <w:r>
        <w:rPr>
          <w:rFonts w:ascii="Times New Roman" w:hAnsi="Times New Roman" w:eastAsia="仿宋_GB2312"/>
          <w:kern w:val="2"/>
          <w:sz w:val="32"/>
          <w:szCs w:val="32"/>
          <w:lang w:val="zh-CN"/>
        </w:rPr>
        <w:t>%，主要是</w:t>
      </w:r>
      <w:r>
        <w:rPr>
          <w:rFonts w:hint="eastAsia" w:ascii="仿宋_GB2312" w:hAnsi="Times New Roman" w:eastAsia="仿宋_GB2312" w:cs="Wingdings"/>
          <w:sz w:val="32"/>
          <w:szCs w:val="32"/>
        </w:rPr>
        <w:t>减少了河北省第五届园博会公共安全实训中心项目支出</w:t>
      </w:r>
      <w:r>
        <w:rPr>
          <w:rFonts w:ascii="Times New Roman" w:hAnsi="Times New Roman" w:eastAsia="仿宋_GB2312"/>
          <w:kern w:val="2"/>
          <w:sz w:val="32"/>
          <w:szCs w:val="32"/>
          <w:lang w:val="zh-CN"/>
        </w:rPr>
        <w:t>。具体情况如下：</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1. 一般公共预算财政拨款本年收入958.78万元,比上年</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kern w:val="2"/>
          <w:sz w:val="32"/>
          <w:szCs w:val="32"/>
          <w:lang w:val="en-US" w:eastAsia="zh-CN"/>
        </w:rPr>
        <w:t>336.71</w:t>
      </w:r>
      <w:r>
        <w:rPr>
          <w:rFonts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预算项目收入减少</w:t>
      </w:r>
      <w:r>
        <w:rPr>
          <w:rFonts w:ascii="Times New Roman" w:hAnsi="Times New Roman" w:eastAsia="仿宋_GB2312" w:cs="Times New Roman"/>
          <w:kern w:val="2"/>
          <w:sz w:val="32"/>
          <w:szCs w:val="32"/>
          <w:lang w:val="zh-CN"/>
        </w:rPr>
        <w:t>；本年支出 958.78</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kern w:val="2"/>
          <w:sz w:val="32"/>
          <w:szCs w:val="32"/>
          <w:lang w:val="en-US" w:eastAsia="zh-CN"/>
        </w:rPr>
        <w:t>346.72</w:t>
      </w:r>
      <w:r>
        <w:rPr>
          <w:rFonts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降低</w:t>
      </w:r>
      <w:r>
        <w:rPr>
          <w:rFonts w:hint="eastAsia" w:ascii="Times New Roman" w:hAnsi="Times New Roman" w:eastAsia="仿宋_GB2312" w:cs="Times New Roman"/>
          <w:kern w:val="2"/>
          <w:sz w:val="32"/>
          <w:szCs w:val="32"/>
          <w:lang w:val="en-US" w:eastAsia="zh-CN"/>
        </w:rPr>
        <w:t>26.56</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预算项目支出减少</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kern w:val="2"/>
          <w:sz w:val="32"/>
          <w:szCs w:val="32"/>
          <w:lang w:val="zh-CN"/>
        </w:rPr>
        <w:t>2. 政府性基金预算财政拨款本年收入64.13</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kern w:val="2"/>
          <w:sz w:val="32"/>
          <w:szCs w:val="32"/>
          <w:lang w:val="en-US" w:eastAsia="zh-CN"/>
        </w:rPr>
        <w:t>749.75</w:t>
      </w:r>
      <w:r>
        <w:rPr>
          <w:rFonts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降低</w:t>
      </w:r>
      <w:r>
        <w:rPr>
          <w:rFonts w:hint="eastAsia" w:ascii="Times New Roman" w:hAnsi="Times New Roman" w:eastAsia="仿宋_GB2312" w:cs="Times New Roman"/>
          <w:kern w:val="2"/>
          <w:sz w:val="32"/>
          <w:szCs w:val="32"/>
          <w:lang w:val="en-US" w:eastAsia="zh-CN"/>
        </w:rPr>
        <w:t>92.12</w:t>
      </w:r>
      <w:r>
        <w:rPr>
          <w:rFonts w:ascii="Times New Roman" w:hAnsi="Times New Roman" w:eastAsia="仿宋_GB2312" w:cs="Times New Roman"/>
          <w:kern w:val="2"/>
          <w:sz w:val="32"/>
          <w:szCs w:val="32"/>
          <w:lang w:val="zh-CN"/>
        </w:rPr>
        <w:t>%，主要是</w:t>
      </w:r>
      <w:r>
        <w:rPr>
          <w:rFonts w:hint="eastAsia" w:ascii="仿宋_GB2312" w:hAnsi="Times New Roman" w:eastAsia="仿宋_GB2312" w:cs="Wingdings"/>
          <w:sz w:val="32"/>
          <w:szCs w:val="32"/>
        </w:rPr>
        <w:t>202</w:t>
      </w:r>
      <w:r>
        <w:rPr>
          <w:rFonts w:hint="eastAsia" w:ascii="仿宋_GB2312" w:hAnsi="Times New Roman" w:eastAsia="仿宋_GB2312" w:cs="Wingdings"/>
          <w:sz w:val="32"/>
          <w:szCs w:val="32"/>
          <w:lang w:val="en-US" w:eastAsia="zh-CN"/>
        </w:rPr>
        <w:t>3</w:t>
      </w:r>
      <w:r>
        <w:rPr>
          <w:rFonts w:hint="eastAsia" w:ascii="仿宋_GB2312" w:hAnsi="Times New Roman" w:eastAsia="仿宋_GB2312" w:cs="Wingdings"/>
          <w:sz w:val="32"/>
          <w:szCs w:val="32"/>
        </w:rPr>
        <w:t>年</w:t>
      </w:r>
      <w:r>
        <w:rPr>
          <w:rFonts w:hint="eastAsia" w:ascii="仿宋_GB2312" w:hAnsi="Times New Roman" w:eastAsia="仿宋_GB2312" w:cs="Wingdings"/>
          <w:sz w:val="32"/>
          <w:szCs w:val="32"/>
          <w:lang w:eastAsia="zh-CN"/>
        </w:rPr>
        <w:t>减少</w:t>
      </w:r>
      <w:r>
        <w:rPr>
          <w:rFonts w:hint="eastAsia" w:ascii="仿宋_GB2312" w:hAnsi="Times New Roman" w:eastAsia="仿宋_GB2312" w:cs="Wingdings"/>
          <w:sz w:val="32"/>
          <w:szCs w:val="32"/>
        </w:rPr>
        <w:t>了河北省第五届园博会公共安全实训中心项目收入</w:t>
      </w:r>
      <w:r>
        <w:rPr>
          <w:rFonts w:ascii="Times New Roman" w:hAnsi="Times New Roman" w:eastAsia="仿宋_GB2312" w:cs="Times New Roman"/>
          <w:kern w:val="2"/>
          <w:sz w:val="32"/>
          <w:szCs w:val="32"/>
          <w:lang w:val="zh-CN"/>
        </w:rPr>
        <w:t>；本年支出 64.13</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kern w:val="2"/>
          <w:sz w:val="32"/>
          <w:szCs w:val="32"/>
          <w:lang w:val="en-US" w:eastAsia="zh-CN"/>
        </w:rPr>
        <w:t>749.75</w:t>
      </w:r>
      <w:r>
        <w:rPr>
          <w:rFonts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降低</w:t>
      </w:r>
      <w:r>
        <w:rPr>
          <w:rFonts w:hint="eastAsia" w:ascii="Times New Roman" w:hAnsi="Times New Roman" w:eastAsia="仿宋_GB2312" w:cs="Times New Roman"/>
          <w:kern w:val="2"/>
          <w:sz w:val="32"/>
          <w:szCs w:val="32"/>
          <w:lang w:val="en-US" w:eastAsia="zh-CN"/>
        </w:rPr>
        <w:t>92.12</w:t>
      </w:r>
      <w:r>
        <w:rPr>
          <w:rFonts w:ascii="Times New Roman" w:hAnsi="Times New Roman" w:eastAsia="仿宋_GB2312" w:cs="Times New Roman"/>
          <w:kern w:val="2"/>
          <w:sz w:val="32"/>
          <w:szCs w:val="32"/>
          <w:lang w:val="zh-CN"/>
        </w:rPr>
        <w:t>%，主要是</w:t>
      </w:r>
      <w:r>
        <w:rPr>
          <w:rFonts w:hint="eastAsia" w:ascii="仿宋_GB2312" w:hAnsi="Times New Roman" w:eastAsia="仿宋_GB2312" w:cs="Wingdings"/>
          <w:sz w:val="32"/>
          <w:szCs w:val="32"/>
        </w:rPr>
        <w:t>202</w:t>
      </w:r>
      <w:r>
        <w:rPr>
          <w:rFonts w:hint="eastAsia" w:ascii="仿宋_GB2312" w:hAnsi="Times New Roman" w:eastAsia="仿宋_GB2312" w:cs="Wingdings"/>
          <w:sz w:val="32"/>
          <w:szCs w:val="32"/>
          <w:lang w:val="en-US" w:eastAsia="zh-CN"/>
        </w:rPr>
        <w:t>3</w:t>
      </w:r>
      <w:r>
        <w:rPr>
          <w:rFonts w:hint="eastAsia" w:ascii="仿宋_GB2312" w:hAnsi="Times New Roman" w:eastAsia="仿宋_GB2312" w:cs="Wingdings"/>
          <w:sz w:val="32"/>
          <w:szCs w:val="32"/>
        </w:rPr>
        <w:t>年</w:t>
      </w:r>
      <w:r>
        <w:rPr>
          <w:rFonts w:hint="eastAsia" w:ascii="仿宋_GB2312" w:hAnsi="Times New Roman" w:eastAsia="仿宋_GB2312" w:cs="Wingdings"/>
          <w:sz w:val="32"/>
          <w:szCs w:val="32"/>
          <w:lang w:eastAsia="zh-CN"/>
        </w:rPr>
        <w:t>减少</w:t>
      </w:r>
      <w:r>
        <w:rPr>
          <w:rFonts w:hint="eastAsia" w:ascii="仿宋_GB2312" w:hAnsi="Times New Roman" w:eastAsia="仿宋_GB2312" w:cs="Wingdings"/>
          <w:sz w:val="32"/>
          <w:szCs w:val="32"/>
        </w:rPr>
        <w:t>了河北省第五届园博会公共安全实训中心项目收入</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3. 国有资本经营预算财政拨款本年收入0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%；本年支出0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w:t>
      </w:r>
    </w:p>
    <w:p>
      <w:pPr>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w:t>
      </w:r>
      <w:r>
        <w:rPr>
          <w:rFonts w:hint="eastAsia" w:ascii="Times New Roman" w:hAnsi="Times New Roman" w:eastAsia="仿宋_GB2312" w:cs="Times New Roman"/>
          <w:kern w:val="2"/>
          <w:sz w:val="32"/>
          <w:szCs w:val="32"/>
          <w:lang w:val="zh-CN"/>
        </w:rPr>
        <w:t>单位</w:t>
      </w:r>
      <w:r>
        <w:rPr>
          <w:rFonts w:ascii="Times New Roman" w:hAnsi="Times New Roman" w:eastAsia="仿宋_GB2312" w:cs="Times New Roman"/>
          <w:kern w:val="2"/>
          <w:sz w:val="32"/>
          <w:szCs w:val="32"/>
          <w:lang w:val="zh-CN"/>
        </w:rPr>
        <w:t>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年度财政拨款本年收入1,022.92万元，完成年初预算的</w:t>
      </w:r>
      <w:r>
        <w:rPr>
          <w:rFonts w:hint="eastAsia" w:ascii="Times New Roman" w:hAnsi="Times New Roman" w:eastAsia="仿宋_GB2312" w:cs="Times New Roman"/>
          <w:kern w:val="2"/>
          <w:sz w:val="32"/>
          <w:szCs w:val="32"/>
          <w:lang w:val="en-US" w:eastAsia="zh-CN"/>
        </w:rPr>
        <w:t>62.55</w:t>
      </w:r>
      <w:r>
        <w:rPr>
          <w:rFonts w:ascii="Times New Roman" w:hAnsi="Times New Roman" w:eastAsia="仿宋_GB2312" w:cs="Times New Roman"/>
          <w:kern w:val="2"/>
          <w:sz w:val="32"/>
          <w:szCs w:val="32"/>
          <w:lang w:val="zh-CN"/>
        </w:rPr>
        <w:t>%，比年初预算</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kern w:val="2"/>
          <w:sz w:val="32"/>
          <w:szCs w:val="32"/>
          <w:lang w:val="en-US" w:eastAsia="zh-CN"/>
        </w:rPr>
        <w:t>612.43</w:t>
      </w:r>
      <w:r>
        <w:rPr>
          <w:rFonts w:ascii="Times New Roman" w:hAnsi="Times New Roman" w:eastAsia="仿宋_GB2312" w:cs="Times New Roman"/>
          <w:kern w:val="2"/>
          <w:sz w:val="32"/>
          <w:szCs w:val="32"/>
          <w:lang w:val="zh-CN"/>
        </w:rPr>
        <w:t>万元，决算数小于预算数主要原因是</w:t>
      </w:r>
      <w:r>
        <w:rPr>
          <w:rFonts w:hint="eastAsia" w:ascii="Times New Roman" w:hAnsi="Times New Roman" w:eastAsia="仿宋_GB2312" w:cs="Times New Roman"/>
          <w:kern w:val="2"/>
          <w:sz w:val="32"/>
          <w:szCs w:val="32"/>
          <w:lang w:val="zh-CN"/>
        </w:rPr>
        <w:t>部分项目年底未结束</w:t>
      </w:r>
      <w:r>
        <w:rPr>
          <w:rFonts w:ascii="Times New Roman" w:hAnsi="Times New Roman" w:eastAsia="仿宋_GB2312" w:cs="Times New Roman"/>
          <w:kern w:val="2"/>
          <w:sz w:val="32"/>
          <w:szCs w:val="32"/>
          <w:lang w:val="zh-CN"/>
        </w:rPr>
        <w:t>；本年支出1,022.92万元，完成年初预算的</w:t>
      </w:r>
      <w:r>
        <w:rPr>
          <w:rFonts w:hint="eastAsia" w:ascii="Times New Roman" w:hAnsi="Times New Roman" w:eastAsia="仿宋_GB2312" w:cs="Times New Roman"/>
          <w:kern w:val="2"/>
          <w:sz w:val="32"/>
          <w:szCs w:val="32"/>
          <w:lang w:val="en-US" w:eastAsia="zh-CN"/>
        </w:rPr>
        <w:t>62.55</w:t>
      </w:r>
      <w:r>
        <w:rPr>
          <w:rFonts w:ascii="Times New Roman" w:hAnsi="Times New Roman" w:eastAsia="仿宋_GB2312" w:cs="Times New Roman"/>
          <w:kern w:val="2"/>
          <w:sz w:val="32"/>
          <w:szCs w:val="32"/>
          <w:lang w:val="zh-CN"/>
        </w:rPr>
        <w:t>%，比年初预算</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kern w:val="2"/>
          <w:sz w:val="32"/>
          <w:szCs w:val="32"/>
          <w:lang w:val="en-US" w:eastAsia="zh-CN"/>
        </w:rPr>
        <w:t>612.43</w:t>
      </w:r>
      <w:r>
        <w:rPr>
          <w:rFonts w:ascii="Times New Roman" w:hAnsi="Times New Roman" w:eastAsia="仿宋_GB2312" w:cs="Times New Roman"/>
          <w:kern w:val="2"/>
          <w:sz w:val="32"/>
          <w:szCs w:val="32"/>
          <w:lang w:val="zh-CN"/>
        </w:rPr>
        <w:t>万元，决算数小于预算数主要原因是</w:t>
      </w:r>
      <w:r>
        <w:rPr>
          <w:rFonts w:hint="eastAsia" w:ascii="Times New Roman" w:hAnsi="Times New Roman" w:eastAsia="仿宋_GB2312" w:cs="Times New Roman"/>
          <w:kern w:val="2"/>
          <w:sz w:val="32"/>
          <w:szCs w:val="32"/>
          <w:lang w:val="zh-CN"/>
        </w:rPr>
        <w:t>部分项目年底未结束</w:t>
      </w:r>
      <w:r>
        <w:rPr>
          <w:rFonts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rPr>
        <w:t>1.</w:t>
      </w:r>
      <w:r>
        <w:rPr>
          <w:rFonts w:ascii="Times New Roman" w:hAnsi="Times New Roman" w:eastAsia="仿宋_GB2312" w:cs="Times New Roman"/>
          <w:kern w:val="2"/>
          <w:sz w:val="32"/>
          <w:szCs w:val="32"/>
          <w:lang w:val="zh-CN"/>
        </w:rPr>
        <w:t>一般公共预算财政拨款</w:t>
      </w:r>
      <w:r>
        <w:rPr>
          <w:rFonts w:ascii="Times New Roman" w:hAnsi="Times New Roman" w:eastAsia="仿宋_GB2312" w:cs="Times New Roman"/>
          <w:kern w:val="2"/>
          <w:sz w:val="32"/>
          <w:szCs w:val="32"/>
        </w:rPr>
        <w:t>本年</w:t>
      </w:r>
      <w:r>
        <w:rPr>
          <w:rFonts w:ascii="Times New Roman" w:hAnsi="Times New Roman" w:eastAsia="仿宋_GB2312" w:cs="Times New Roman"/>
          <w:kern w:val="2"/>
          <w:sz w:val="32"/>
          <w:szCs w:val="32"/>
          <w:lang w:val="zh-CN"/>
        </w:rPr>
        <w:t>收入958.78万元，完成年初预算的 67.71%，比年初预算</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kern w:val="2"/>
          <w:sz w:val="32"/>
          <w:szCs w:val="32"/>
          <w:lang w:val="en-US" w:eastAsia="zh-CN"/>
        </w:rPr>
        <w:t>457.21</w:t>
      </w:r>
      <w:r>
        <w:rPr>
          <w:rFonts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部分项目年底未结束</w:t>
      </w:r>
      <w:r>
        <w:rPr>
          <w:rFonts w:ascii="Times New Roman" w:hAnsi="Times New Roman" w:eastAsia="仿宋_GB2312" w:cs="Times New Roman"/>
          <w:kern w:val="2"/>
          <w:sz w:val="32"/>
          <w:szCs w:val="32"/>
          <w:lang w:val="zh-CN"/>
        </w:rPr>
        <w:t>；本年支出958.78万元，完成年初预算的67.71%，比年初预算</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kern w:val="2"/>
          <w:sz w:val="32"/>
          <w:szCs w:val="32"/>
          <w:lang w:val="en-US" w:eastAsia="zh-CN"/>
        </w:rPr>
        <w:t>457.21</w:t>
      </w:r>
      <w:r>
        <w:rPr>
          <w:rFonts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部分项目年底未结束</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2. 政府性基金预算财政拨款本年收入64.13万元，完成年初预算的29.24%，比年初预算</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kern w:val="2"/>
          <w:sz w:val="32"/>
          <w:szCs w:val="32"/>
          <w:lang w:val="en-US" w:eastAsia="zh-CN"/>
        </w:rPr>
        <w:t>155.23</w:t>
      </w:r>
      <w:r>
        <w:rPr>
          <w:rFonts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部分项目年底未结束</w:t>
      </w:r>
      <w:r>
        <w:rPr>
          <w:rFonts w:ascii="Times New Roman" w:hAnsi="Times New Roman" w:eastAsia="仿宋_GB2312" w:cs="Times New Roman"/>
          <w:kern w:val="2"/>
          <w:sz w:val="32"/>
          <w:szCs w:val="32"/>
          <w:lang w:val="zh-CN"/>
        </w:rPr>
        <w:t>；本年支出64.13万元，完成年初预算的29.24%，比年初预算</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kern w:val="2"/>
          <w:sz w:val="32"/>
          <w:szCs w:val="32"/>
          <w:lang w:val="en-US" w:eastAsia="zh-CN"/>
        </w:rPr>
        <w:t>155.23</w:t>
      </w:r>
      <w:r>
        <w:rPr>
          <w:rFonts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部分项目年底未结束</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sz w:val="32"/>
          <w:szCs w:val="32"/>
          <w:highlight w:val="yellow"/>
        </w:rPr>
      </w:pPr>
      <w:r>
        <w:rPr>
          <w:rFonts w:ascii="Times New Roman" w:hAnsi="Times New Roman" w:eastAsia="仿宋_GB2312" w:cs="Times New Roman"/>
          <w:kern w:val="2"/>
          <w:sz w:val="32"/>
          <w:szCs w:val="32"/>
          <w:lang w:val="zh-CN"/>
        </w:rPr>
        <w:t>3. 国有资本经营预算财政拨款本年收入0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%；本年支出0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w:t>
      </w:r>
    </w:p>
    <w:p>
      <w:pPr>
        <w:pStyle w:val="10"/>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（三）财政拨款支出决算结构情况</w:t>
      </w:r>
    </w:p>
    <w:p>
      <w:pPr>
        <w:adjustRightInd w:val="0"/>
        <w:snapToGrid w:val="0"/>
        <w:spacing w:line="580" w:lineRule="exact"/>
        <w:ind w:firstLine="660" w:firstLineChars="200"/>
        <w:jc w:val="left"/>
        <w:rPr>
          <w:rFonts w:ascii="Times New Roman" w:hAnsi="Times New Roman" w:eastAsia="仿宋_GB2312" w:cs="Times New Roman"/>
          <w:sz w:val="32"/>
          <w:szCs w:val="32"/>
          <w:highlight w:val="yellow"/>
        </w:rPr>
      </w:pPr>
      <w:r>
        <w:rPr>
          <w:rFonts w:ascii="Times New Roman" w:hAnsi="Times New Roman" w:eastAsia="仿宋_GB2312" w:cs="Times New Roman"/>
          <w:color w:val="000000"/>
          <w:sz w:val="33"/>
          <w:szCs w:val="33"/>
          <w:shd w:val="clear" w:color="auto" w:fill="FFFFFF"/>
        </w:rPr>
        <w:t> </w:t>
      </w:r>
      <w:r>
        <w:rPr>
          <w:rFonts w:ascii="Times New Roman" w:hAnsi="Times New Roman" w:eastAsia="仿宋_GB2312" w:cs="Times New Roman"/>
          <w:kern w:val="2"/>
          <w:sz w:val="32"/>
          <w:szCs w:val="32"/>
          <w:lang w:val="zh-CN"/>
        </w:rPr>
        <w:t> 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年度财政拨款支出1,022.92万元，主要用于以下方面：</w:t>
      </w:r>
    </w:p>
    <w:p>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一般公共服务（类）支出0万元，占0%；</w:t>
      </w:r>
      <w:r>
        <w:rPr>
          <w:rFonts w:ascii="Times New Roman" w:hAnsi="Times New Roman" w:eastAsia="仿宋_GB2312"/>
          <w:kern w:val="2"/>
          <w:sz w:val="32"/>
          <w:szCs w:val="32"/>
        </w:rPr>
        <w:t>外交</w:t>
      </w:r>
      <w:r>
        <w:rPr>
          <w:rFonts w:ascii="Times New Roman" w:hAnsi="Times New Roman" w:eastAsia="仿宋_GB2312"/>
          <w:kern w:val="2"/>
          <w:sz w:val="32"/>
          <w:szCs w:val="32"/>
          <w:lang w:val="zh-CN"/>
        </w:rPr>
        <w:t>（类）支出0万元，占0%；国防（类）支出0万元，占0%；公共安全类（类）支出0万元，占0%；教育（类）支出0万元，占0%；科学技术（类）支出0万元，占0%；文化旅游体育与传媒（类）支出0万元，占0%；社会保障和就业 （类）支出38.18万元，占3.73%；卫生健康（类）支出64.03万元，占6.26%；节能环保（类）支出0万元，占0%；城乡社区（类）支出64.13万元，占6.27%；农林水（类）支出0万元，占0%；交通运输（类）支出0万元，占0%；资源勘探信息等（类）支出0万元，占0%；商业服务业等（类）支出0万元，占0%；金融（类）支出0万元，占0%；援助其他地区（类）支出0万元，占0%；自然资源海洋气象等（类）支出0万元，占0%；住房保障（类）支出37.62万元，占3.68%；粮油物资储备（类）支出0万元，占0%；国有资本经营预算支出0万元，占0%；</w:t>
      </w:r>
      <w:r>
        <w:rPr>
          <w:rFonts w:hint="eastAsia" w:ascii="Times New Roman" w:hAnsi="Times New Roman" w:eastAsia="仿宋_GB2312"/>
          <w:kern w:val="2"/>
          <w:sz w:val="32"/>
          <w:szCs w:val="32"/>
          <w:lang w:val="zh-CN"/>
        </w:rPr>
        <w:t>灾</w:t>
      </w:r>
      <w:r>
        <w:rPr>
          <w:rFonts w:ascii="Times New Roman" w:hAnsi="Times New Roman" w:eastAsia="仿宋_GB2312"/>
          <w:kern w:val="2"/>
          <w:sz w:val="32"/>
          <w:szCs w:val="32"/>
          <w:lang w:val="zh-CN"/>
        </w:rPr>
        <w:t>害防治及应急管理（类）支出818.95万元，占80.06%；其他（类）支出0万元，占0%；债务</w:t>
      </w:r>
      <w:r>
        <w:rPr>
          <w:rFonts w:ascii="Times New Roman" w:hAnsi="Times New Roman" w:eastAsia="仿宋_GB2312"/>
          <w:kern w:val="2"/>
          <w:sz w:val="32"/>
          <w:szCs w:val="32"/>
        </w:rPr>
        <w:t>还本</w:t>
      </w:r>
      <w:r>
        <w:rPr>
          <w:rFonts w:ascii="Times New Roman" w:hAnsi="Times New Roman" w:eastAsia="仿宋_GB2312"/>
          <w:kern w:val="2"/>
          <w:sz w:val="32"/>
          <w:szCs w:val="32"/>
          <w:lang w:val="zh-CN"/>
        </w:rPr>
        <w:t>（类）支出0万元，占0%；债务付息（类）支出0万元，占0%；抗疫特别国债安排的支出0万 元，占0%。</w:t>
      </w:r>
    </w:p>
    <w:p>
      <w:pPr>
        <w:pStyle w:val="10"/>
        <w:widowControl/>
        <w:numPr>
          <w:ilvl w:val="0"/>
          <w:numId w:val="2"/>
        </w:numPr>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一般公共预算基本支出决算情况说明</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年度财政拨款基本支出676.68万元，其中：</w:t>
      </w:r>
    </w:p>
    <w:p>
      <w:pPr>
        <w:pStyle w:val="10"/>
        <w:widowControl/>
        <w:spacing w:beforeAutospacing="0" w:afterAutospacing="0"/>
        <w:ind w:firstLine="640" w:firstLineChars="200"/>
        <w:rPr>
          <w:rFonts w:ascii="Times New Roman" w:hAnsi="Times New Roman" w:eastAsia="仿宋_GB2312"/>
          <w:sz w:val="32"/>
          <w:szCs w:val="32"/>
        </w:rPr>
      </w:pPr>
      <w:r>
        <w:rPr>
          <w:rFonts w:ascii="Times New Roman" w:hAnsi="Times New Roman" w:eastAsia="仿宋_GB2312"/>
          <w:kern w:val="2"/>
          <w:sz w:val="32"/>
          <w:szCs w:val="32"/>
          <w:lang w:val="zh-CN"/>
        </w:rPr>
        <w:t>人员经费641.2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pPr>
        <w:pStyle w:val="10"/>
        <w:widowControl/>
        <w:spacing w:beforeAutospacing="0" w:afterAutospacing="0"/>
        <w:ind w:firstLine="660" w:firstLineChars="200"/>
        <w:rPr>
          <w:rFonts w:ascii="Times New Roman" w:hAnsi="Times New Roman" w:eastAsia="仿宋_GB2312"/>
          <w:sz w:val="32"/>
          <w:szCs w:val="32"/>
          <w:highlight w:val="yellow"/>
        </w:rPr>
      </w:pP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公用经费35.48万元，主要包括办公费、印刷费、咨询费、手续费、水费、电费、邮电费、取暖费、物业管理费、差旅费、维修（护）费、租赁费、会议费、培训费、劳务费、工会经费、福利费、公务用车运行维护费、其他交通费用、税金及附加费用、其他商品和服务支出、办公设备购置、专用设备购置、信息网络及软件购置更新、公务用车购置、其他资本性支出。</w:t>
      </w:r>
    </w:p>
    <w:p>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五、财政拨款“三公” 经费支出决算情况说明</w:t>
      </w:r>
    </w:p>
    <w:p>
      <w:pPr>
        <w:pStyle w:val="10"/>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（一）“三公”经费财政拨款支出决算总体情况说明</w:t>
      </w:r>
    </w:p>
    <w:p>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年度“三公”经费财政拨款支出预算为8万元，支出决算为 4.24万元，完成预算的 52.99%，较预算</w:t>
      </w:r>
      <w:r>
        <w:rPr>
          <w:rFonts w:hint="eastAsia" w:ascii="Times New Roman" w:hAnsi="Times New Roman" w:eastAsia="仿宋_GB2312"/>
          <w:kern w:val="2"/>
          <w:sz w:val="32"/>
          <w:szCs w:val="32"/>
          <w:lang w:val="zh-CN"/>
        </w:rPr>
        <w:t>减少</w:t>
      </w:r>
      <w:r>
        <w:rPr>
          <w:rFonts w:hint="eastAsia" w:ascii="Times New Roman" w:hAnsi="Times New Roman" w:eastAsia="仿宋_GB2312"/>
          <w:kern w:val="2"/>
          <w:sz w:val="32"/>
          <w:szCs w:val="32"/>
          <w:lang w:val="en-US" w:eastAsia="zh-CN"/>
        </w:rPr>
        <w:t>3.76</w:t>
      </w:r>
      <w:r>
        <w:rPr>
          <w:rFonts w:ascii="Times New Roman" w:hAnsi="Times New Roman" w:eastAsia="仿宋_GB2312"/>
          <w:kern w:val="2"/>
          <w:sz w:val="32"/>
          <w:szCs w:val="32"/>
          <w:lang w:val="zh-CN"/>
        </w:rPr>
        <w:t>万元，</w:t>
      </w:r>
      <w:r>
        <w:rPr>
          <w:rFonts w:hint="eastAsia" w:ascii="Times New Roman" w:hAnsi="Times New Roman" w:eastAsia="仿宋_GB2312"/>
          <w:kern w:val="2"/>
          <w:sz w:val="32"/>
          <w:szCs w:val="32"/>
          <w:lang w:val="zh-CN"/>
        </w:rPr>
        <w:t>减少</w:t>
      </w:r>
      <w:r>
        <w:rPr>
          <w:rFonts w:hint="eastAsia" w:ascii="Times New Roman" w:hAnsi="Times New Roman" w:eastAsia="仿宋_GB2312"/>
          <w:kern w:val="2"/>
          <w:sz w:val="32"/>
          <w:szCs w:val="32"/>
          <w:lang w:val="en-US" w:eastAsia="zh-CN"/>
        </w:rPr>
        <w:t>47</w:t>
      </w:r>
      <w:r>
        <w:rPr>
          <w:rFonts w:ascii="Times New Roman" w:hAnsi="Times New Roman" w:eastAsia="仿宋_GB2312"/>
          <w:kern w:val="2"/>
          <w:sz w:val="32"/>
          <w:szCs w:val="32"/>
          <w:lang w:val="zh-CN"/>
        </w:rPr>
        <w:t>%；较2022年度决算增加</w:t>
      </w:r>
      <w:r>
        <w:rPr>
          <w:rFonts w:hint="eastAsia" w:ascii="Times New Roman" w:hAnsi="Times New Roman" w:eastAsia="仿宋_GB2312"/>
          <w:kern w:val="2"/>
          <w:sz w:val="32"/>
          <w:szCs w:val="32"/>
          <w:lang w:val="en-US" w:eastAsia="zh-CN"/>
        </w:rPr>
        <w:t>2.37</w:t>
      </w:r>
      <w:r>
        <w:rPr>
          <w:rFonts w:ascii="Times New Roman" w:hAnsi="Times New Roman" w:eastAsia="仿宋_GB2312"/>
          <w:kern w:val="2"/>
          <w:sz w:val="32"/>
          <w:szCs w:val="32"/>
          <w:lang w:val="zh-CN"/>
        </w:rPr>
        <w:t>万元，增长</w:t>
      </w:r>
      <w:r>
        <w:rPr>
          <w:rFonts w:hint="eastAsia" w:ascii="Times New Roman" w:hAnsi="Times New Roman" w:eastAsia="仿宋_GB2312"/>
          <w:kern w:val="2"/>
          <w:sz w:val="32"/>
          <w:szCs w:val="32"/>
          <w:lang w:val="en-US" w:eastAsia="zh-CN"/>
        </w:rPr>
        <w:t>126.74</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zh-CN"/>
        </w:rPr>
        <w:t>公车运行维护费</w:t>
      </w:r>
      <w:r>
        <w:rPr>
          <w:rFonts w:ascii="Times New Roman" w:hAnsi="Times New Roman" w:eastAsia="仿宋_GB2312"/>
          <w:kern w:val="2"/>
          <w:sz w:val="32"/>
          <w:szCs w:val="32"/>
          <w:lang w:val="zh-CN"/>
        </w:rPr>
        <w:t>。</w:t>
      </w:r>
    </w:p>
    <w:p>
      <w:pPr>
        <w:adjustRightInd w:val="0"/>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（二）“三公”经费财政拨款支出决算具体情况说明</w:t>
      </w:r>
    </w:p>
    <w:p>
      <w:pPr>
        <w:pStyle w:val="10"/>
        <w:widowControl/>
        <w:spacing w:beforeAutospacing="0" w:afterAutospacing="0"/>
        <w:ind w:firstLine="643" w:firstLineChars="200"/>
        <w:rPr>
          <w:rFonts w:ascii="Times New Roman" w:hAnsi="Times New Roman" w:eastAsia="仿宋_GB2312"/>
          <w:kern w:val="2"/>
          <w:sz w:val="32"/>
          <w:szCs w:val="32"/>
        </w:rPr>
      </w:pPr>
      <w:r>
        <w:rPr>
          <w:rFonts w:ascii="Times New Roman" w:hAnsi="Times New Roman" w:eastAsia="楷体_GB2312"/>
          <w:b/>
          <w:bCs/>
          <w:kern w:val="2"/>
          <w:sz w:val="32"/>
          <w:szCs w:val="32"/>
        </w:rPr>
        <w:t>1.因公出国（境）费支出情况。</w:t>
      </w:r>
      <w:r>
        <w:rPr>
          <w:rFonts w:ascii="Times New Roman" w:hAnsi="Times New Roman" w:eastAsia="仿宋_GB2312"/>
          <w:kern w:val="2"/>
          <w:sz w:val="32"/>
          <w:szCs w:val="32"/>
          <w:lang w:val="zh-CN"/>
        </w:rPr>
        <w:t>本单位</w:t>
      </w:r>
      <w:r>
        <w:rPr>
          <w:rFonts w:ascii="Times New Roman" w:hAnsi="Times New Roman" w:eastAsia="仿宋_GB2312"/>
          <w:kern w:val="2"/>
          <w:sz w:val="32"/>
          <w:szCs w:val="32"/>
        </w:rPr>
        <w:t>2023年度因公出国（境）费支出预算为0万元,支出决算0万元。完成预算的00。因公出国（境）费支出较预算增加</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rPr>
        <w:t>万元，</w:t>
      </w:r>
      <w:bookmarkStart w:id="0" w:name="_GoBack"/>
      <w:r>
        <w:rPr>
          <w:rFonts w:ascii="Times New Roman" w:hAnsi="Times New Roman" w:eastAsia="仿宋_GB2312"/>
          <w:kern w:val="2"/>
          <w:sz w:val="32"/>
          <w:szCs w:val="32"/>
        </w:rPr>
        <w:t>增长</w:t>
      </w:r>
      <w:bookmarkEnd w:id="0"/>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rPr>
        <w:t>%；较上年增加</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rPr>
        <w:t>万元，增长</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rPr>
        <w:t>%。因公出国（境）团组0个、共</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rPr>
        <w:t>人、无本部门组织的出国（境）团组。</w:t>
      </w:r>
    </w:p>
    <w:p>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2.</w:t>
      </w:r>
      <w:r>
        <w:rPr>
          <w:rFonts w:ascii="Times New Roman" w:hAnsi="Times New Roman" w:eastAsia="楷体_GB2312" w:cs="Times New Roman"/>
          <w:b/>
          <w:bCs/>
          <w:sz w:val="32"/>
          <w:szCs w:val="32"/>
        </w:rPr>
        <w:t>公务用车购置及运行维护费支出情况。</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年度公务用车购置及运行维护费预算为8万元，支出决算 4.24万元，完成预算的52.99%,较预算</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kern w:val="2"/>
          <w:sz w:val="32"/>
          <w:szCs w:val="32"/>
          <w:lang w:val="en-US" w:eastAsia="zh-CN"/>
        </w:rPr>
        <w:t>3.76</w:t>
      </w:r>
      <w:r>
        <w:rPr>
          <w:rFonts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降低</w:t>
      </w:r>
      <w:r>
        <w:rPr>
          <w:rFonts w:hint="eastAsia" w:ascii="Times New Roman" w:hAnsi="Times New Roman" w:eastAsia="仿宋_GB2312" w:cs="Times New Roman"/>
          <w:kern w:val="2"/>
          <w:sz w:val="32"/>
          <w:szCs w:val="32"/>
          <w:lang w:val="en-US" w:eastAsia="zh-CN"/>
        </w:rPr>
        <w:t>47</w:t>
      </w:r>
      <w:r>
        <w:rPr>
          <w:rFonts w:ascii="Times New Roman" w:hAnsi="Times New Roman" w:eastAsia="仿宋_GB2312" w:cs="Times New Roman"/>
          <w:kern w:val="2"/>
          <w:sz w:val="32"/>
          <w:szCs w:val="32"/>
          <w:lang w:val="zh-CN"/>
        </w:rPr>
        <w:t>%；较上年增加</w:t>
      </w:r>
      <w:r>
        <w:rPr>
          <w:rFonts w:hint="eastAsia" w:ascii="Times New Roman" w:hAnsi="Times New Roman" w:eastAsia="仿宋_GB2312" w:cs="Times New Roman"/>
          <w:kern w:val="2"/>
          <w:sz w:val="32"/>
          <w:szCs w:val="32"/>
          <w:lang w:val="en-US" w:eastAsia="zh-CN"/>
        </w:rPr>
        <w:t>2.37</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126.74</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公车运行维护费</w:t>
      </w:r>
      <w:r>
        <w:rPr>
          <w:rFonts w:ascii="Times New Roman" w:hAnsi="Times New Roman" w:eastAsia="仿宋_GB2312" w:cs="Times New Roman"/>
          <w:kern w:val="2"/>
          <w:sz w:val="32"/>
          <w:szCs w:val="32"/>
          <w:lang w:val="zh-CN"/>
        </w:rPr>
        <w:t>。其中：</w:t>
      </w:r>
    </w:p>
    <w:p>
      <w:pPr>
        <w:pStyle w:val="10"/>
        <w:widowControl/>
        <w:spacing w:beforeAutospacing="0" w:afterAutospacing="0"/>
        <w:rPr>
          <w:rFonts w:ascii="Times New Roman" w:hAnsi="Times New Roman" w:eastAsia="Arial"/>
        </w:rPr>
      </w:pPr>
    </w:p>
    <w:p>
      <w:pPr>
        <w:adjustRightInd w:val="0"/>
        <w:snapToGrid w:val="0"/>
        <w:spacing w:line="580" w:lineRule="exact"/>
        <w:ind w:firstLine="643" w:firstLineChars="200"/>
        <w:rPr>
          <w:rFonts w:hint="default" w:ascii="Times New Roman" w:hAnsi="Times New Roman" w:eastAsia="仿宋_GB2312" w:cs="Times New Roman"/>
          <w:kern w:val="2"/>
          <w:sz w:val="32"/>
          <w:szCs w:val="32"/>
          <w:lang w:val="en-US" w:eastAsia="zh-CN"/>
        </w:rPr>
      </w:pPr>
      <w:r>
        <w:rPr>
          <w:rFonts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年度公务用车购置量0辆，</w:t>
      </w:r>
      <w:r>
        <w:rPr>
          <w:rFonts w:hint="eastAsia" w:ascii="Times New Roman" w:hAnsi="Times New Roman" w:eastAsia="仿宋_GB2312" w:cs="Times New Roman"/>
          <w:kern w:val="2"/>
          <w:sz w:val="32"/>
          <w:szCs w:val="32"/>
          <w:lang w:val="zh-CN"/>
        </w:rPr>
        <w:t>未</w:t>
      </w:r>
      <w:r>
        <w:rPr>
          <w:rFonts w:ascii="Times New Roman" w:hAnsi="Times New Roman" w:eastAsia="仿宋_GB2312" w:cs="Times New Roman"/>
          <w:kern w:val="2"/>
          <w:sz w:val="32"/>
          <w:szCs w:val="32"/>
          <w:lang w:val="zh-CN"/>
        </w:rPr>
        <w:t>发生“公务用车购置”经费支出。公务用车购置费支出</w:t>
      </w:r>
      <w:r>
        <w:rPr>
          <w:rFonts w:hint="eastAsia" w:ascii="Times New Roman" w:hAnsi="Times New Roman" w:eastAsia="仿宋_GB2312" w:cs="Times New Roman"/>
          <w:kern w:val="2"/>
          <w:sz w:val="32"/>
          <w:szCs w:val="32"/>
          <w:lang w:val="zh-CN"/>
        </w:rPr>
        <w:t>与预算持平</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与</w:t>
      </w:r>
      <w:r>
        <w:rPr>
          <w:rFonts w:hint="eastAsia" w:ascii="Times New Roman" w:hAnsi="Times New Roman" w:eastAsia="仿宋_GB2312" w:cs="Times New Roman"/>
          <w:kern w:val="2"/>
          <w:sz w:val="32"/>
          <w:szCs w:val="32"/>
          <w:lang w:val="en-US" w:eastAsia="zh-CN"/>
        </w:rPr>
        <w:t>2022年度决算支出持平。</w:t>
      </w:r>
    </w:p>
    <w:p>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4.24</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年度单位公务用车保有量4辆，发生运行维护费支出4.24万元。公车运行维护费支出较预算</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kern w:val="2"/>
          <w:sz w:val="32"/>
          <w:szCs w:val="32"/>
          <w:lang w:val="en-US" w:eastAsia="zh-CN"/>
        </w:rPr>
        <w:t>3.76</w:t>
      </w:r>
      <w:r>
        <w:rPr>
          <w:rFonts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降低</w:t>
      </w:r>
      <w:r>
        <w:rPr>
          <w:rFonts w:hint="eastAsia" w:ascii="Times New Roman" w:hAnsi="Times New Roman" w:eastAsia="仿宋_GB2312" w:cs="Times New Roman"/>
          <w:kern w:val="2"/>
          <w:sz w:val="32"/>
          <w:szCs w:val="32"/>
          <w:lang w:val="en-US" w:eastAsia="zh-CN"/>
        </w:rPr>
        <w:t>47</w:t>
      </w:r>
      <w:r>
        <w:rPr>
          <w:rFonts w:ascii="Times New Roman" w:hAnsi="Times New Roman" w:eastAsia="仿宋_GB2312" w:cs="Times New Roman"/>
          <w:kern w:val="2"/>
          <w:sz w:val="32"/>
          <w:szCs w:val="32"/>
          <w:lang w:val="zh-CN"/>
        </w:rPr>
        <w:t>%；较上年增加</w:t>
      </w:r>
      <w:r>
        <w:rPr>
          <w:rFonts w:hint="eastAsia" w:ascii="Times New Roman" w:hAnsi="Times New Roman" w:eastAsia="仿宋_GB2312" w:cs="Times New Roman"/>
          <w:kern w:val="2"/>
          <w:sz w:val="32"/>
          <w:szCs w:val="32"/>
          <w:lang w:val="en-US" w:eastAsia="zh-CN"/>
        </w:rPr>
        <w:t>2.37</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126.74</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公车运行维护费</w:t>
      </w:r>
      <w:r>
        <w:rPr>
          <w:rFonts w:ascii="Times New Roman" w:hAnsi="Times New Roman" w:eastAsia="仿宋_GB2312" w:cs="Times New Roman"/>
          <w:kern w:val="2"/>
          <w:sz w:val="32"/>
          <w:szCs w:val="32"/>
          <w:lang w:val="zh-CN"/>
        </w:rPr>
        <w:t>。</w:t>
      </w:r>
    </w:p>
    <w:p>
      <w:pPr>
        <w:adjustRightInd w:val="0"/>
        <w:snapToGrid w:val="0"/>
        <w:spacing w:line="580" w:lineRule="exact"/>
        <w:ind w:firstLine="643" w:firstLineChars="200"/>
        <w:rPr>
          <w:rFonts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3.公务接待费。</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年度公务接待费支出预算为0万元，</w:t>
      </w:r>
      <w:r>
        <w:rPr>
          <w:rFonts w:hint="eastAsia" w:ascii="Times New Roman" w:hAnsi="Times New Roman" w:eastAsia="仿宋_GB2312" w:cs="Times New Roman"/>
          <w:kern w:val="2"/>
          <w:sz w:val="32"/>
          <w:szCs w:val="32"/>
          <w:lang w:val="zh-CN"/>
        </w:rPr>
        <w:t>未</w:t>
      </w:r>
      <w:r>
        <w:rPr>
          <w:rFonts w:ascii="Times New Roman" w:hAnsi="Times New Roman" w:eastAsia="仿宋_GB2312" w:cs="Times New Roman"/>
          <w:kern w:val="2"/>
          <w:sz w:val="32"/>
          <w:szCs w:val="32"/>
          <w:lang w:val="zh-CN"/>
        </w:rPr>
        <w:t>发生“公务用车购置”经费支出。公务用车购置费支出</w:t>
      </w:r>
      <w:r>
        <w:rPr>
          <w:rFonts w:hint="eastAsia" w:ascii="Times New Roman" w:hAnsi="Times New Roman" w:eastAsia="仿宋_GB2312" w:cs="Times New Roman"/>
          <w:kern w:val="2"/>
          <w:sz w:val="32"/>
          <w:szCs w:val="32"/>
          <w:lang w:val="zh-CN"/>
        </w:rPr>
        <w:t>与预算持平</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与</w:t>
      </w:r>
      <w:r>
        <w:rPr>
          <w:rFonts w:hint="eastAsia" w:ascii="Times New Roman" w:hAnsi="Times New Roman" w:eastAsia="仿宋_GB2312" w:cs="Times New Roman"/>
          <w:kern w:val="2"/>
          <w:sz w:val="32"/>
          <w:szCs w:val="32"/>
          <w:lang w:val="en-US" w:eastAsia="zh-CN"/>
        </w:rPr>
        <w:t>2022年度决算支出持平。</w:t>
      </w:r>
    </w:p>
    <w:p>
      <w:pPr>
        <w:pStyle w:val="10"/>
        <w:widowControl/>
        <w:spacing w:beforeAutospacing="0" w:afterAutospacing="0"/>
        <w:jc w:val="both"/>
        <w:outlineLvl w:val="1"/>
        <w:rPr>
          <w:rFonts w:ascii="Times New Roman" w:hAnsi="Times New Roman" w:eastAsia="仿宋_GB2312"/>
          <w:sz w:val="32"/>
          <w:szCs w:val="32"/>
          <w:highlight w:val="yellow"/>
        </w:rPr>
      </w:pPr>
      <w:r>
        <w:rPr>
          <w:rFonts w:ascii="Times New Roman" w:hAnsi="Times New Roman" w:eastAsia="黑体"/>
          <w:color w:val="333333"/>
          <w:sz w:val="33"/>
          <w:szCs w:val="33"/>
          <w:shd w:val="clear" w:color="auto" w:fill="FFFFFF"/>
        </w:rPr>
        <w:t>六、</w:t>
      </w:r>
      <w:r>
        <w:rPr>
          <w:rFonts w:ascii="Times New Roman" w:hAnsi="Times New Roman" w:eastAsia="黑体"/>
          <w:sz w:val="32"/>
          <w:szCs w:val="32"/>
        </w:rPr>
        <w:t>机关运行经费支出说明</w:t>
      </w:r>
    </w:p>
    <w:p>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年度机关运行经费支出35.48万元，较2022年度</w:t>
      </w:r>
      <w:r>
        <w:rPr>
          <w:rFonts w:hint="eastAsia" w:ascii="Times New Roman" w:hAnsi="Times New Roman" w:eastAsia="仿宋_GB2312"/>
          <w:kern w:val="2"/>
          <w:sz w:val="32"/>
          <w:szCs w:val="32"/>
          <w:lang w:val="zh-CN"/>
        </w:rPr>
        <w:t>减少</w:t>
      </w:r>
      <w:r>
        <w:rPr>
          <w:rFonts w:hint="eastAsia" w:ascii="Times New Roman" w:hAnsi="Times New Roman" w:eastAsia="仿宋_GB2312"/>
          <w:kern w:val="2"/>
          <w:sz w:val="32"/>
          <w:szCs w:val="32"/>
          <w:lang w:val="en-US" w:eastAsia="zh-CN"/>
        </w:rPr>
        <w:t>2083.9</w:t>
      </w:r>
      <w:r>
        <w:rPr>
          <w:rFonts w:ascii="Times New Roman" w:hAnsi="Times New Roman" w:eastAsia="仿宋_GB2312"/>
          <w:kern w:val="2"/>
          <w:sz w:val="32"/>
          <w:szCs w:val="32"/>
          <w:lang w:val="zh-CN"/>
        </w:rPr>
        <w:t>万元，</w:t>
      </w:r>
      <w:r>
        <w:rPr>
          <w:rFonts w:hint="eastAsia" w:ascii="Times New Roman" w:hAnsi="Times New Roman" w:eastAsia="仿宋_GB2312"/>
          <w:kern w:val="2"/>
          <w:sz w:val="32"/>
          <w:szCs w:val="32"/>
          <w:lang w:val="zh-CN"/>
        </w:rPr>
        <w:t>减少</w:t>
      </w:r>
      <w:r>
        <w:rPr>
          <w:rFonts w:hint="eastAsia" w:ascii="Times New Roman" w:hAnsi="Times New Roman" w:eastAsia="仿宋_GB2312"/>
          <w:kern w:val="2"/>
          <w:sz w:val="32"/>
          <w:szCs w:val="32"/>
          <w:lang w:val="en-US" w:eastAsia="zh-CN"/>
        </w:rPr>
        <w:t>98.33</w:t>
      </w:r>
      <w:r>
        <w:rPr>
          <w:rFonts w:ascii="Times New Roman" w:hAnsi="Times New Roman" w:eastAsia="仿宋_GB2312"/>
          <w:kern w:val="2"/>
          <w:sz w:val="32"/>
          <w:szCs w:val="32"/>
          <w:lang w:val="zh-CN"/>
        </w:rPr>
        <w:t>%。主要原因是</w:t>
      </w:r>
      <w:r>
        <w:rPr>
          <w:rFonts w:hint="eastAsia" w:ascii="仿宋_GB2312" w:hAnsi="Times New Roman" w:eastAsia="仿宋_GB2312" w:cs="Wingdings"/>
          <w:sz w:val="32"/>
          <w:szCs w:val="32"/>
        </w:rPr>
        <w:t>202</w:t>
      </w:r>
      <w:r>
        <w:rPr>
          <w:rFonts w:hint="eastAsia" w:ascii="仿宋_GB2312" w:hAnsi="Times New Roman" w:eastAsia="仿宋_GB2312" w:cs="Wingdings"/>
          <w:sz w:val="32"/>
          <w:szCs w:val="32"/>
          <w:lang w:val="en-US" w:eastAsia="zh-CN"/>
        </w:rPr>
        <w:t>3</w:t>
      </w:r>
      <w:r>
        <w:rPr>
          <w:rFonts w:hint="eastAsia" w:ascii="仿宋_GB2312" w:hAnsi="Times New Roman" w:eastAsia="仿宋_GB2312" w:cs="Wingdings"/>
          <w:sz w:val="32"/>
          <w:szCs w:val="32"/>
        </w:rPr>
        <w:t>年减少了河北省第五届园博会公共安全实训中心项目支出</w:t>
      </w:r>
      <w:r>
        <w:rPr>
          <w:rFonts w:ascii="Times New Roman" w:hAnsi="Times New Roman" w:eastAsia="仿宋_GB2312"/>
          <w:kern w:val="2"/>
          <w:sz w:val="32"/>
          <w:szCs w:val="32"/>
          <w:lang w:val="zh-CN"/>
        </w:rPr>
        <w:t>。</w:t>
      </w:r>
    </w:p>
    <w:p>
      <w:pPr>
        <w:adjustRightInd w:val="0"/>
        <w:snapToGrid w:val="0"/>
        <w:spacing w:line="580" w:lineRule="exact"/>
        <w:ind w:firstLine="660" w:firstLineChars="200"/>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七、</w:t>
      </w:r>
      <w:r>
        <w:rPr>
          <w:rFonts w:ascii="Times New Roman" w:hAnsi="Times New Roman" w:eastAsia="黑体" w:cs="Times New Roman"/>
          <w:sz w:val="32"/>
          <w:szCs w:val="32"/>
        </w:rPr>
        <w:t>政府采购支出说明</w:t>
      </w:r>
    </w:p>
    <w:p>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年度政府采购支出总额155.72万元，从采购类型来看，政府采购货物支出0万元、政府采购工程支出0万元、政府采购服务支出155.72万元。授予中小企业</w:t>
      </w:r>
      <w:r>
        <w:rPr>
          <w:rFonts w:ascii="Times New Roman" w:hAnsi="Times New Roman" w:eastAsia="仿宋_GB2312"/>
          <w:kern w:val="2"/>
          <w:sz w:val="32"/>
          <w:szCs w:val="32"/>
        </w:rPr>
        <w:t>合同金额</w:t>
      </w:r>
      <w:r>
        <w:rPr>
          <w:rFonts w:ascii="Times New Roman" w:hAnsi="Times New Roman" w:eastAsia="仿宋_GB2312"/>
          <w:kern w:val="2"/>
          <w:sz w:val="32"/>
          <w:szCs w:val="32"/>
          <w:lang w:val="zh-CN"/>
        </w:rPr>
        <w:t>155.72万元，占政府采购支出总额的100%，其中授予小微企业合同金额155.72万元，占政府采购支出总额的100%。</w:t>
      </w:r>
    </w:p>
    <w:p>
      <w:pPr>
        <w:snapToGrid w:val="0"/>
        <w:spacing w:line="580" w:lineRule="exact"/>
        <w:ind w:firstLine="660" w:firstLineChars="200"/>
        <w:jc w:val="left"/>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八、</w:t>
      </w:r>
      <w:r>
        <w:rPr>
          <w:rFonts w:ascii="Times New Roman" w:hAnsi="Times New Roman" w:eastAsia="黑体" w:cs="Times New Roman"/>
          <w:sz w:val="32"/>
          <w:szCs w:val="32"/>
        </w:rPr>
        <w:t>国有资产占用情况说明</w:t>
      </w:r>
    </w:p>
    <w:p>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截至202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年12月31日，</w:t>
      </w: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eastAsia="zh-CN"/>
        </w:rPr>
        <w:t>单位</w:t>
      </w:r>
      <w:r>
        <w:rPr>
          <w:rFonts w:hint="eastAsia" w:ascii="仿宋_GB2312" w:hAnsi="Times New Roman" w:eastAsia="仿宋_GB2312" w:cs="DengXian-Regular"/>
          <w:sz w:val="32"/>
          <w:szCs w:val="32"/>
        </w:rPr>
        <w:t>共有车辆</w:t>
      </w:r>
      <w:r>
        <w:rPr>
          <w:rFonts w:hint="eastAsia" w:ascii="仿宋_GB2312" w:hAnsi="Times New Roman" w:eastAsia="仿宋_GB2312" w:cs="DengXian-Regular"/>
          <w:sz w:val="32"/>
          <w:szCs w:val="32"/>
          <w:lang w:val="en-US" w:eastAsia="zh-CN"/>
        </w:rPr>
        <w:t>4</w:t>
      </w:r>
      <w:r>
        <w:rPr>
          <w:rFonts w:hint="eastAsia" w:ascii="仿宋_GB2312" w:hAnsi="Times New Roman" w:eastAsia="仿宋_GB2312" w:cs="DengXian-Regular"/>
          <w:sz w:val="32"/>
          <w:szCs w:val="32"/>
        </w:rPr>
        <w:t>辆</w:t>
      </w:r>
      <w:r>
        <w:rPr>
          <w:rFonts w:ascii="Times New Roman" w:hAnsi="Times New Roman" w:eastAsia="仿宋_GB2312"/>
          <w:kern w:val="2"/>
          <w:sz w:val="32"/>
          <w:szCs w:val="32"/>
          <w:lang w:val="zh-CN"/>
        </w:rPr>
        <w:t>，比上年增加</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辆，主要是</w:t>
      </w:r>
      <w:r>
        <w:rPr>
          <w:rFonts w:hint="eastAsia" w:ascii="仿宋_GB2312" w:hAnsi="Times New Roman" w:eastAsia="仿宋_GB2312" w:cs="DengXian-Regular"/>
          <w:sz w:val="32"/>
          <w:szCs w:val="32"/>
          <w:lang w:val="en-US" w:eastAsia="zh-CN"/>
        </w:rPr>
        <w:t>2023年我单位无车辆增减变化</w:t>
      </w:r>
      <w:r>
        <w:rPr>
          <w:rFonts w:ascii="Times New Roman" w:hAnsi="Times New Roman" w:eastAsia="仿宋_GB2312"/>
          <w:kern w:val="2"/>
          <w:sz w:val="32"/>
          <w:szCs w:val="32"/>
          <w:lang w:val="zh-CN"/>
        </w:rPr>
        <w:t>。其中，副部（省）级及以上领导用车本单位共有车辆</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辆，主要</w:t>
      </w:r>
      <w:r>
        <w:rPr>
          <w:rFonts w:ascii="Times New Roman" w:hAnsi="Times New Roman" w:eastAsia="仿宋_GB2312"/>
          <w:kern w:val="2"/>
          <w:sz w:val="32"/>
          <w:szCs w:val="32"/>
        </w:rPr>
        <w:t>负责人</w:t>
      </w:r>
      <w:r>
        <w:rPr>
          <w:rFonts w:ascii="Times New Roman" w:hAnsi="Times New Roman" w:eastAsia="仿宋_GB2312"/>
          <w:kern w:val="2"/>
          <w:sz w:val="32"/>
          <w:szCs w:val="32"/>
          <w:lang w:val="zh-CN"/>
        </w:rPr>
        <w:t>用车0辆，机要通信用车1辆，应急保障用车0辆，执法执勤用车2辆，特种专业技术用车0辆，离退休干部用车0辆，其他用车1辆，其他用车主要是</w:t>
      </w:r>
      <w:r>
        <w:rPr>
          <w:rFonts w:hint="eastAsia" w:ascii="Times New Roman" w:hAnsi="Times New Roman" w:eastAsia="仿宋_GB2312"/>
          <w:kern w:val="2"/>
          <w:sz w:val="32"/>
          <w:szCs w:val="32"/>
          <w:lang w:val="zh-CN"/>
        </w:rPr>
        <w:t>执法车</w:t>
      </w:r>
      <w:r>
        <w:rPr>
          <w:rFonts w:ascii="Times New Roman" w:hAnsi="Times New Roman" w:eastAsia="仿宋_GB2312"/>
          <w:kern w:val="2"/>
          <w:sz w:val="32"/>
          <w:szCs w:val="32"/>
          <w:lang w:val="zh-CN"/>
        </w:rPr>
        <w:t>。单位价值100万元（含）以上设备（不含车辆）0台（套）。</w:t>
      </w:r>
    </w:p>
    <w:p>
      <w:pPr>
        <w:pStyle w:val="10"/>
        <w:widowControl/>
        <w:spacing w:beforeAutospacing="0" w:afterAutospacing="0"/>
        <w:ind w:firstLine="640" w:firstLineChars="200"/>
        <w:jc w:val="both"/>
        <w:outlineLvl w:val="1"/>
        <w:rPr>
          <w:rFonts w:ascii="Times New Roman" w:hAnsi="Times New Roman" w:eastAsia="黑体"/>
          <w:kern w:val="2"/>
          <w:sz w:val="32"/>
          <w:szCs w:val="40"/>
        </w:rPr>
      </w:pPr>
      <w:r>
        <w:rPr>
          <w:rFonts w:ascii="Times New Roman" w:hAnsi="Times New Roman" w:eastAsia="黑体"/>
          <w:kern w:val="2"/>
          <w:sz w:val="32"/>
          <w:szCs w:val="40"/>
        </w:rPr>
        <w:t>九、预算绩效情况说明</w:t>
      </w:r>
    </w:p>
    <w:p>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（一）预算绩效管理工作开展情况</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根据预算绩效管理要求，本</w:t>
      </w:r>
      <w:r>
        <w:rPr>
          <w:rFonts w:hint="eastAsia" w:ascii="Times New Roman" w:hAnsi="Times New Roman" w:eastAsia="仿宋_GB2312"/>
          <w:kern w:val="2"/>
          <w:sz w:val="32"/>
          <w:szCs w:val="32"/>
          <w:lang w:val="zh-CN"/>
        </w:rPr>
        <w:t>单位</w:t>
      </w:r>
      <w:r>
        <w:rPr>
          <w:rFonts w:ascii="Times New Roman" w:hAnsi="Times New Roman" w:eastAsia="仿宋_GB2312"/>
          <w:kern w:val="2"/>
          <w:sz w:val="32"/>
          <w:szCs w:val="32"/>
          <w:lang w:val="zh-CN"/>
        </w:rPr>
        <w:t>组织对2023年度一般公共预算项目支出全面开展绩效自评，其中，一级项目</w:t>
      </w:r>
      <w:r>
        <w:rPr>
          <w:rFonts w:hint="eastAsia" w:ascii="Times New Roman" w:hAnsi="Times New Roman" w:eastAsia="仿宋_GB2312"/>
          <w:kern w:val="2"/>
          <w:sz w:val="32"/>
          <w:szCs w:val="32"/>
          <w:lang w:val="en-US" w:eastAsia="zh-CN"/>
        </w:rPr>
        <w:t>4</w:t>
      </w:r>
      <w:r>
        <w:rPr>
          <w:rFonts w:ascii="Times New Roman" w:hAnsi="Times New Roman" w:eastAsia="仿宋_GB2312"/>
          <w:kern w:val="2"/>
          <w:sz w:val="32"/>
          <w:szCs w:val="32"/>
          <w:lang w:val="zh-CN"/>
        </w:rPr>
        <w:t>个，二级项目</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个，共涉及资金</w:t>
      </w:r>
      <w:r>
        <w:rPr>
          <w:rFonts w:hint="eastAsia" w:ascii="Times New Roman" w:hAnsi="Times New Roman" w:eastAsia="仿宋_GB2312"/>
          <w:kern w:val="2"/>
          <w:sz w:val="32"/>
          <w:szCs w:val="32"/>
          <w:lang w:val="en-US" w:eastAsia="zh-CN"/>
        </w:rPr>
        <w:t>657.25</w:t>
      </w:r>
      <w:r>
        <w:rPr>
          <w:rFonts w:ascii="Times New Roman" w:hAnsi="Times New Roman" w:eastAsia="仿宋_GB2312"/>
          <w:kern w:val="2"/>
          <w:sz w:val="32"/>
          <w:szCs w:val="32"/>
          <w:lang w:val="zh-CN"/>
        </w:rPr>
        <w:t>万元，占一般公共预算项目支出总额的</w:t>
      </w:r>
      <w:r>
        <w:rPr>
          <w:rFonts w:hint="eastAsia" w:ascii="Times New Roman" w:hAnsi="Times New Roman" w:eastAsia="仿宋_GB2312"/>
          <w:kern w:val="2"/>
          <w:sz w:val="32"/>
          <w:szCs w:val="32"/>
          <w:lang w:val="en-US" w:eastAsia="zh-CN"/>
        </w:rPr>
        <w:t>68.55</w:t>
      </w:r>
      <w:r>
        <w:rPr>
          <w:rFonts w:ascii="Times New Roman" w:hAnsi="Times New Roman" w:eastAsia="仿宋_GB2312"/>
          <w:kern w:val="2"/>
          <w:sz w:val="32"/>
          <w:szCs w:val="32"/>
          <w:lang w:val="zh-CN"/>
        </w:rPr>
        <w:t>%。组织对2023年度</w:t>
      </w:r>
      <w:r>
        <w:rPr>
          <w:rFonts w:hint="eastAsia" w:ascii="Times New Roman" w:hAnsi="Times New Roman" w:eastAsia="仿宋_GB2312"/>
          <w:kern w:val="2"/>
          <w:sz w:val="32"/>
          <w:szCs w:val="32"/>
          <w:lang w:val="zh-CN"/>
        </w:rPr>
        <w:t>本级道口办经费</w:t>
      </w:r>
      <w:r>
        <w:rPr>
          <w:rFonts w:ascii="Times New Roman" w:hAnsi="Times New Roman" w:eastAsia="仿宋_GB2312"/>
          <w:kern w:val="2"/>
          <w:sz w:val="32"/>
          <w:szCs w:val="32"/>
          <w:lang w:val="zh-CN"/>
        </w:rPr>
        <w:t>、</w:t>
      </w:r>
      <w:r>
        <w:rPr>
          <w:rFonts w:hint="eastAsia" w:ascii="Times New Roman" w:hAnsi="Times New Roman" w:eastAsia="仿宋_GB2312"/>
          <w:kern w:val="2"/>
          <w:sz w:val="32"/>
          <w:szCs w:val="32"/>
          <w:lang w:val="zh-CN"/>
        </w:rPr>
        <w:t>本级自然灾害风险普查经费</w:t>
      </w:r>
      <w:r>
        <w:rPr>
          <w:rFonts w:ascii="Times New Roman" w:hAnsi="Times New Roman" w:eastAsia="仿宋_GB2312"/>
          <w:kern w:val="2"/>
          <w:sz w:val="32"/>
          <w:szCs w:val="32"/>
          <w:lang w:val="zh-CN"/>
        </w:rPr>
        <w:t>等</w:t>
      </w:r>
      <w:r>
        <w:rPr>
          <w:rFonts w:hint="eastAsia" w:ascii="Times New Roman" w:hAnsi="Times New Roman" w:eastAsia="仿宋_GB2312"/>
          <w:kern w:val="2"/>
          <w:sz w:val="32"/>
          <w:szCs w:val="32"/>
          <w:lang w:val="en-US" w:eastAsia="zh-CN"/>
        </w:rPr>
        <w:t>3</w:t>
      </w:r>
      <w:r>
        <w:rPr>
          <w:rFonts w:ascii="Times New Roman" w:hAnsi="Times New Roman" w:eastAsia="仿宋_GB2312"/>
          <w:kern w:val="2"/>
          <w:sz w:val="32"/>
          <w:szCs w:val="32"/>
          <w:lang w:val="zh-CN"/>
        </w:rPr>
        <w:t>个政府性基金预算项目支出开展绩效自评，共涉及资金</w:t>
      </w:r>
      <w:r>
        <w:rPr>
          <w:rFonts w:hint="eastAsia" w:ascii="Times New Roman" w:hAnsi="Times New Roman" w:eastAsia="仿宋_GB2312"/>
          <w:kern w:val="2"/>
          <w:sz w:val="32"/>
          <w:szCs w:val="32"/>
          <w:lang w:val="en-US" w:eastAsia="zh-CN"/>
        </w:rPr>
        <w:t>219.36</w:t>
      </w:r>
      <w:r>
        <w:rPr>
          <w:rFonts w:ascii="Times New Roman" w:hAnsi="Times New Roman" w:eastAsia="仿宋_GB2312"/>
          <w:kern w:val="2"/>
          <w:sz w:val="32"/>
          <w:szCs w:val="32"/>
          <w:lang w:val="zh-CN"/>
        </w:rPr>
        <w:t>万元，占政府性基金预算项目支出总额的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%。组织对2023年度</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个国有资本经营预算项目支出开展绩效自评，共涉及资金</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万元，占国有资本经营预算项目支出总额的</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w:t>
      </w:r>
    </w:p>
    <w:p>
      <w:pPr>
        <w:pStyle w:val="10"/>
        <w:widowControl/>
        <w:spacing w:beforeAutospacing="0" w:afterAutospacing="0"/>
        <w:ind w:firstLine="640" w:firstLineChars="200"/>
        <w:rPr>
          <w:rFonts w:ascii="Times New Roman" w:hAnsi="Times New Roman" w:eastAsia="仿宋_GB2312"/>
          <w:sz w:val="32"/>
          <w:szCs w:val="32"/>
          <w:highlight w:val="yellow"/>
        </w:rPr>
      </w:pPr>
      <w:r>
        <w:rPr>
          <w:rFonts w:ascii="Times New Roman" w:hAnsi="Times New Roman" w:eastAsia="仿宋_GB2312"/>
          <w:kern w:val="2"/>
          <w:sz w:val="32"/>
          <w:szCs w:val="32"/>
          <w:lang w:val="zh-CN"/>
        </w:rPr>
        <w:t>组织对</w:t>
      </w:r>
      <w:r>
        <w:rPr>
          <w:rFonts w:hint="eastAsia" w:ascii="仿宋_GB2312" w:hAnsi="仿宋_GB2312" w:eastAsia="仿宋_GB2312" w:cs="仿宋_GB2312"/>
          <w:sz w:val="32"/>
          <w:szCs w:val="32"/>
        </w:rPr>
        <w:t>道口办经费区级项目及关闭煤矿人员工资、医疗保险、非统筹等区级项目</w:t>
      </w:r>
      <w:r>
        <w:rPr>
          <w:rFonts w:ascii="Times New Roman" w:hAnsi="Times New Roman" w:eastAsia="仿宋_GB2312"/>
          <w:kern w:val="2"/>
          <w:sz w:val="32"/>
          <w:szCs w:val="32"/>
          <w:lang w:val="zh-CN"/>
        </w:rPr>
        <w:t>等</w:t>
      </w:r>
      <w:r>
        <w:rPr>
          <w:rFonts w:hint="eastAsia" w:ascii="Times New Roman" w:hAnsi="Times New Roman" w:eastAsia="仿宋_GB2312"/>
          <w:kern w:val="2"/>
          <w:sz w:val="32"/>
          <w:szCs w:val="32"/>
          <w:lang w:val="en-US" w:eastAsia="zh-CN"/>
        </w:rPr>
        <w:t>7</w:t>
      </w:r>
      <w:r>
        <w:rPr>
          <w:rFonts w:ascii="Times New Roman" w:hAnsi="Times New Roman" w:eastAsia="仿宋_GB2312"/>
          <w:kern w:val="2"/>
          <w:sz w:val="32"/>
          <w:szCs w:val="32"/>
          <w:lang w:val="zh-CN"/>
        </w:rPr>
        <w:t>个项目开展了部门评价，涉及一般公共预算支出</w:t>
      </w:r>
      <w:r>
        <w:rPr>
          <w:rFonts w:hint="eastAsia" w:ascii="Times New Roman" w:hAnsi="Times New Roman" w:eastAsia="仿宋_GB2312"/>
          <w:kern w:val="2"/>
          <w:sz w:val="32"/>
          <w:szCs w:val="32"/>
          <w:lang w:val="en-US" w:eastAsia="zh-CN"/>
        </w:rPr>
        <w:t>657.25</w:t>
      </w:r>
      <w:r>
        <w:rPr>
          <w:rFonts w:ascii="Times New Roman" w:hAnsi="Times New Roman" w:eastAsia="仿宋_GB2312"/>
          <w:kern w:val="2"/>
          <w:sz w:val="32"/>
          <w:szCs w:val="32"/>
          <w:lang w:val="zh-CN"/>
        </w:rPr>
        <w:t>万元，政府性基金预算支出</w:t>
      </w:r>
      <w:r>
        <w:rPr>
          <w:rFonts w:hint="eastAsia" w:ascii="Times New Roman" w:hAnsi="Times New Roman" w:eastAsia="仿宋_GB2312"/>
          <w:kern w:val="2"/>
          <w:sz w:val="32"/>
          <w:szCs w:val="32"/>
          <w:lang w:val="en-US" w:eastAsia="zh-CN"/>
        </w:rPr>
        <w:t>219.36</w:t>
      </w:r>
      <w:r>
        <w:rPr>
          <w:rFonts w:ascii="Times New Roman" w:hAnsi="Times New Roman" w:eastAsia="仿宋_GB2312"/>
          <w:kern w:val="2"/>
          <w:sz w:val="32"/>
          <w:szCs w:val="32"/>
          <w:lang w:val="zh-CN"/>
        </w:rPr>
        <w:t>万元，国有资本经营预算支出</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万元。从评价情况来看，</w:t>
      </w:r>
      <w:r>
        <w:rPr>
          <w:rFonts w:hint="eastAsia" w:ascii="Times New Roman" w:hAnsi="Times New Roman" w:eastAsia="仿宋_GB2312"/>
          <w:kern w:val="2"/>
          <w:sz w:val="32"/>
          <w:szCs w:val="32"/>
          <w:lang w:val="zh-CN"/>
        </w:rPr>
        <w:t>年初预算绩效目标基本完成。</w:t>
      </w:r>
    </w:p>
    <w:p>
      <w:pPr>
        <w:pStyle w:val="10"/>
        <w:widowControl/>
        <w:spacing w:beforeAutospacing="0" w:afterAutospacing="0"/>
        <w:rPr>
          <w:rFonts w:ascii="Times New Roman" w:hAnsi="Times New Roman" w:eastAsia="Arial"/>
        </w:rPr>
      </w:pPr>
    </w:p>
    <w:p>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（二）部门决算中项目绩效自评结果（如有）</w:t>
      </w:r>
    </w:p>
    <w:p>
      <w:pPr>
        <w:pStyle w:val="10"/>
        <w:widowControl/>
        <w:spacing w:beforeAutospacing="0" w:afterAutospacing="0"/>
        <w:ind w:firstLine="660" w:firstLineChars="20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本</w:t>
      </w:r>
      <w:r>
        <w:rPr>
          <w:rFonts w:hint="eastAsia" w:ascii="Times New Roman" w:hAnsi="Times New Roman" w:eastAsia="仿宋_GB2312"/>
          <w:kern w:val="2"/>
          <w:sz w:val="32"/>
          <w:szCs w:val="32"/>
          <w:lang w:val="zh-CN"/>
        </w:rPr>
        <w:t>单位</w:t>
      </w:r>
      <w:r>
        <w:rPr>
          <w:rFonts w:ascii="Times New Roman" w:hAnsi="Times New Roman" w:eastAsia="仿宋_GB2312"/>
          <w:kern w:val="2"/>
          <w:sz w:val="32"/>
          <w:szCs w:val="32"/>
          <w:lang w:val="zh-CN"/>
        </w:rPr>
        <w:t>在今年部门决算公开中反映</w:t>
      </w:r>
      <w:r>
        <w:rPr>
          <w:rFonts w:hint="eastAsia" w:ascii="仿宋_GB2312" w:hAnsi="仿宋_GB2312" w:eastAsia="仿宋_GB2312" w:cs="仿宋_GB2312"/>
          <w:sz w:val="32"/>
          <w:szCs w:val="32"/>
        </w:rPr>
        <w:t>道口办经费区级项目及关闭煤矿人员工资、医疗保险、非统筹等区级项目</w:t>
      </w:r>
      <w:r>
        <w:rPr>
          <w:rFonts w:ascii="Times New Roman" w:hAnsi="Times New Roman" w:eastAsia="仿宋_GB2312"/>
          <w:kern w:val="2"/>
          <w:sz w:val="32"/>
          <w:szCs w:val="32"/>
          <w:lang w:val="zh-CN"/>
        </w:rPr>
        <w:t>等</w:t>
      </w:r>
      <w:r>
        <w:rPr>
          <w:rFonts w:hint="eastAsia" w:ascii="Times New Roman" w:hAnsi="Times New Roman" w:eastAsia="仿宋_GB2312"/>
          <w:kern w:val="2"/>
          <w:sz w:val="32"/>
          <w:szCs w:val="32"/>
          <w:lang w:val="en-US" w:eastAsia="zh-CN"/>
        </w:rPr>
        <w:t>2</w:t>
      </w:r>
      <w:r>
        <w:rPr>
          <w:rFonts w:ascii="Times New Roman" w:hAnsi="Times New Roman" w:eastAsia="仿宋_GB2312"/>
          <w:kern w:val="2"/>
          <w:sz w:val="32"/>
          <w:szCs w:val="32"/>
          <w:lang w:val="zh-CN"/>
        </w:rPr>
        <w:t>个项目绩效自评结果。</w:t>
      </w:r>
    </w:p>
    <w:p>
      <w:pPr>
        <w:adjustRightInd w:val="0"/>
        <w:snapToGrid w:val="0"/>
        <w:spacing w:line="580" w:lineRule="exact"/>
        <w:ind w:left="480" w:leftChars="200" w:firstLine="320" w:firstLineChars="1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（1）道口办经费区级项目自评综述：根据年初设定的绩效目标，道口办经费区级项目绩效自评得分为100分（绩效自评表附后）。全年预算数为</w:t>
      </w:r>
      <w:r>
        <w:rPr>
          <w:rFonts w:hint="eastAsia" w:ascii="Times New Roman" w:hAnsi="Times New Roman" w:eastAsia="仿宋_GB2312"/>
          <w:kern w:val="2"/>
          <w:sz w:val="32"/>
          <w:szCs w:val="32"/>
          <w:lang w:val="en-US" w:eastAsia="zh-CN"/>
        </w:rPr>
        <w:t>79.36</w:t>
      </w:r>
      <w:r>
        <w:rPr>
          <w:rFonts w:hint="eastAsia" w:ascii="Times New Roman" w:hAnsi="Times New Roman" w:eastAsia="仿宋_GB2312"/>
          <w:kern w:val="2"/>
          <w:sz w:val="32"/>
          <w:szCs w:val="32"/>
          <w:lang w:val="zh-CN"/>
        </w:rPr>
        <w:t>万元，执行数为77.24万元，完成预算的99.95%。项目绩效目标完成情况：项目绩效目标完成情况：道口办经费资金的主要支出方向是用于发放无人看守铁路道口监护人员的监护费、劳动保护用品、道口设备维护维修等方面的资金使用，本单位按时发放无人看守铁路道口监护人员的监护费、劳动保护用品等费用，及时进行道口设备维护维修，道口办经费资金项目完成较好,确保无人看守铁路道口安全生产无事故。</w:t>
      </w:r>
    </w:p>
    <w:p>
      <w:pPr>
        <w:adjustRightInd w:val="0"/>
        <w:snapToGrid w:val="0"/>
        <w:spacing w:line="580" w:lineRule="exact"/>
        <w:ind w:left="480" w:leftChars="200" w:firstLine="320" w:firstLineChars="100"/>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（2）关闭煤矿人员工资、医疗保险、非统筹等区级项目绩效自评综述：根据年初设定的绩效目标，关闭煤矿人员工资、医疗保险、非统筹等区级项目绩效自评得分为95分。全年预算数为233.39万元，执行数为</w:t>
      </w:r>
      <w:r>
        <w:rPr>
          <w:rFonts w:hint="eastAsia" w:ascii="Times New Roman" w:hAnsi="Times New Roman" w:eastAsia="仿宋_GB2312"/>
          <w:kern w:val="2"/>
          <w:sz w:val="32"/>
          <w:szCs w:val="32"/>
          <w:lang w:val="en-US" w:eastAsia="zh-CN"/>
        </w:rPr>
        <w:t>44.54</w:t>
      </w:r>
      <w:r>
        <w:rPr>
          <w:rFonts w:hint="eastAsia"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15.39</w:t>
      </w:r>
      <w:r>
        <w:rPr>
          <w:rFonts w:hint="eastAsia" w:ascii="Times New Roman" w:hAnsi="Times New Roman" w:eastAsia="仿宋_GB2312"/>
          <w:kern w:val="2"/>
          <w:sz w:val="32"/>
          <w:szCs w:val="32"/>
          <w:lang w:val="zh-CN"/>
        </w:rPr>
        <w:t>%。项目绩效目标完成情况：项目资金的支出方向是用于支付关闭煤矿非统筹、抚恤金、医疗保险费、关闭煤矿遗留问题留守人员工资，其中关闭煤矿非统筹、医疗保险费、关闭煤矿遗留问题留守人员工资支出达到99.5%，因部分关闭煤矿死亡职工遗属无联系方式，致使关闭煤矿死亡职工遗属抚恤金发放不全面。针对这个问题我单位将与原煤矿管理人员协商，积极寻找当事人，确保关闭煤矿死亡职工遗属抚恤金发放到位。</w:t>
      </w:r>
    </w:p>
    <w:p>
      <w:pPr>
        <w:rPr>
          <w:rFonts w:ascii="Times New Roman" w:hAnsi="Times New Roman" w:eastAsia="仿宋_GB2312" w:cs="Times New Roman"/>
          <w:sz w:val="32"/>
          <w:szCs w:val="32"/>
          <w:highlight w:val="yellow"/>
        </w:rPr>
      </w:pPr>
    </w:p>
    <w:p>
      <w:pPr>
        <w:numPr>
          <w:ilvl w:val="0"/>
          <w:numId w:val="3"/>
        </w:numPr>
        <w:adjustRightInd w:val="0"/>
        <w:snapToGrid w:val="0"/>
        <w:spacing w:line="580" w:lineRule="exact"/>
        <w:ind w:left="480" w:leftChars="200" w:firstLine="321" w:firstLineChars="1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部门评价项目绩效评价结果</w:t>
      </w:r>
    </w:p>
    <w:tbl>
      <w:tblPr>
        <w:tblStyle w:val="11"/>
        <w:tblpPr w:leftFromText="180" w:rightFromText="180" w:vertAnchor="text" w:horzAnchor="page" w:tblpX="1499" w:tblpY="671"/>
        <w:tblOverlap w:val="never"/>
        <w:tblW w:w="9862" w:type="dxa"/>
        <w:tblInd w:w="0" w:type="dxa"/>
        <w:shd w:val="clear" w:color="auto" w:fill="auto"/>
        <w:tblLayout w:type="fixed"/>
        <w:tblCellMar>
          <w:top w:w="0" w:type="dxa"/>
          <w:left w:w="0" w:type="dxa"/>
          <w:bottom w:w="0" w:type="dxa"/>
          <w:right w:w="0" w:type="dxa"/>
        </w:tblCellMar>
      </w:tblPr>
      <w:tblGrid>
        <w:gridCol w:w="1080"/>
        <w:gridCol w:w="1080"/>
        <w:gridCol w:w="1080"/>
        <w:gridCol w:w="1080"/>
        <w:gridCol w:w="1080"/>
        <w:gridCol w:w="1080"/>
        <w:gridCol w:w="1080"/>
        <w:gridCol w:w="1080"/>
        <w:gridCol w:w="1222"/>
      </w:tblGrid>
      <w:tr>
        <w:tblPrEx>
          <w:shd w:val="clear" w:color="auto" w:fill="auto"/>
          <w:tblCellMar>
            <w:top w:w="0" w:type="dxa"/>
            <w:left w:w="0" w:type="dxa"/>
            <w:bottom w:w="0" w:type="dxa"/>
            <w:right w:w="0" w:type="dxa"/>
          </w:tblCellMar>
        </w:tblPrEx>
        <w:trPr>
          <w:trHeight w:val="375" w:hRule="atLeast"/>
        </w:trPr>
        <w:tc>
          <w:tcPr>
            <w:tcW w:w="9862" w:type="dxa"/>
            <w:gridSpan w:val="9"/>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28"/>
                <w:szCs w:val="28"/>
                <w:u w:val="none"/>
              </w:rPr>
            </w:pPr>
            <w:r>
              <w:rPr>
                <w:rFonts w:hint="default" w:ascii="方正小标宋_GBK" w:hAnsi="方正小标宋_GBK" w:eastAsia="方正小标宋_GBK" w:cs="方正小标宋_GBK"/>
                <w:i w:val="0"/>
                <w:color w:val="000000"/>
                <w:kern w:val="0"/>
                <w:sz w:val="28"/>
                <w:szCs w:val="28"/>
                <w:u w:val="none"/>
                <w:lang w:val="en-US" w:eastAsia="zh-CN" w:bidi="ar"/>
              </w:rPr>
              <w:t>项目支出绩效自评表</w:t>
            </w:r>
          </w:p>
        </w:tc>
      </w:tr>
      <w:tr>
        <w:tblPrEx>
          <w:shd w:val="clear" w:color="auto" w:fill="auto"/>
          <w:tblCellMar>
            <w:top w:w="0" w:type="dxa"/>
            <w:left w:w="0" w:type="dxa"/>
            <w:bottom w:w="0" w:type="dxa"/>
            <w:right w:w="0" w:type="dxa"/>
          </w:tblCellMar>
        </w:tblPrEx>
        <w:trPr>
          <w:trHeight w:val="270" w:hRule="atLeast"/>
        </w:trPr>
        <w:tc>
          <w:tcPr>
            <w:tcW w:w="9862" w:type="dxa"/>
            <w:gridSpan w:val="9"/>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2023  年度）</w:t>
            </w:r>
          </w:p>
        </w:tc>
      </w:tr>
      <w:tr>
        <w:tblPrEx>
          <w:shd w:val="clear" w:color="auto" w:fill="auto"/>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8782"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道口办经费区级</w:t>
            </w:r>
          </w:p>
        </w:tc>
      </w:tr>
      <w:tr>
        <w:tblPrEx>
          <w:shd w:val="clear" w:color="auto" w:fill="auto"/>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主管部门</w:t>
            </w:r>
          </w:p>
        </w:tc>
        <w:tc>
          <w:tcPr>
            <w:tcW w:w="43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财政局经建科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实施单位</w:t>
            </w:r>
          </w:p>
        </w:tc>
        <w:tc>
          <w:tcPr>
            <w:tcW w:w="338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唐山市开平区应急管理局</w:t>
            </w:r>
          </w:p>
        </w:tc>
      </w:tr>
      <w:tr>
        <w:tblPrEx>
          <w:shd w:val="clear" w:color="auto" w:fill="auto"/>
          <w:tblCellMar>
            <w:top w:w="0" w:type="dxa"/>
            <w:left w:w="0" w:type="dxa"/>
            <w:bottom w:w="0" w:type="dxa"/>
            <w:right w:w="0"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项目资金  （万元）</w:t>
            </w:r>
          </w:p>
        </w:tc>
        <w:tc>
          <w:tcPr>
            <w:tcW w:w="216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年初预算数</w:t>
            </w:r>
          </w:p>
        </w:tc>
        <w:tc>
          <w:tcPr>
            <w:tcW w:w="108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全年预算数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全年执行数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分值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执行率</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得分</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年度资金总额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79.36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64.13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64.13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99.995%</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10</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其中：当年财政拨款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79.36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64.13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64.13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99.995%</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上年结转资金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228600" cy="0"/>
                  <wp:effectExtent l="0" t="0" r="0" b="0"/>
                  <wp:wrapNone/>
                  <wp:docPr id="1" name="直接连接符_1"/>
                  <wp:cNvGraphicFramePr/>
                  <a:graphic xmlns:a="http://schemas.openxmlformats.org/drawingml/2006/main">
                    <a:graphicData uri="http://schemas.openxmlformats.org/drawingml/2006/picture">
                      <pic:pic xmlns:pic="http://schemas.openxmlformats.org/drawingml/2006/picture">
                        <pic:nvPicPr>
                          <pic:cNvPr id="1" name="直接连接符_1"/>
                          <pic:cNvPicPr/>
                        </pic:nvPicPr>
                        <pic:blipFill>
                          <a:blip r:embed="rId15"/>
                          <a:stretch>
                            <a:fillRect/>
                          </a:stretch>
                        </pic:blipFill>
                        <pic:spPr>
                          <a:xfrm>
                            <a:off x="0" y="0"/>
                            <a:ext cx="228600"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r>
      <w:tr>
        <w:tblPrEx>
          <w:shd w:val="clear" w:color="auto" w:fill="auto"/>
          <w:tblCellMar>
            <w:top w:w="0" w:type="dxa"/>
            <w:left w:w="0" w:type="dxa"/>
            <w:bottom w:w="0" w:type="dxa"/>
            <w:right w:w="0"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年度总体目标</w:t>
            </w:r>
          </w:p>
        </w:tc>
        <w:tc>
          <w:tcPr>
            <w:tcW w:w="43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446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具体完成情况</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4320"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按时发放铁路道口监护员的工资及劳动保护用品,铁路道口设施正常运转,铁路道口安全管理</w:t>
            </w:r>
          </w:p>
        </w:tc>
        <w:tc>
          <w:tcPr>
            <w:tcW w:w="4462"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已经完成</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432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4462"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CellMar>
            <w:top w:w="0" w:type="dxa"/>
            <w:left w:w="0" w:type="dxa"/>
            <w:bottom w:w="0" w:type="dxa"/>
            <w:right w:w="0" w:type="dxa"/>
          </w:tblCellMar>
        </w:tblPrEx>
        <w:trPr>
          <w:trHeight w:val="42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绩效指标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分值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得分</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偏差原因分析及改进措施</w:t>
            </w:r>
          </w:p>
        </w:tc>
      </w:tr>
      <w:tr>
        <w:tblPrEx>
          <w:shd w:val="clear" w:color="auto" w:fill="auto"/>
          <w:tblCellMar>
            <w:top w:w="0" w:type="dxa"/>
            <w:left w:w="0" w:type="dxa"/>
            <w:bottom w:w="0" w:type="dxa"/>
            <w:right w:w="0" w:type="dxa"/>
          </w:tblCellMar>
        </w:tblPrEx>
        <w:trPr>
          <w:trHeight w:val="84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铁路道口监护员的工资及劳动保护用品发放率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Style w:val="25"/>
                <w:lang w:val="en-US" w:eastAsia="zh-CN" w:bidi="ar"/>
              </w:rPr>
              <w:t>指标</w:t>
            </w:r>
            <w:r>
              <w:rPr>
                <w:rStyle w:val="26"/>
                <w:rFonts w:eastAsia="宋体"/>
                <w:lang w:val="en-US" w:eastAsia="zh-CN" w:bidi="ar"/>
              </w:rPr>
              <w:t xml:space="preserve"> </w:t>
            </w:r>
            <w:r>
              <w:rPr>
                <w:rStyle w:val="27"/>
                <w:rFonts w:ascii="宋体" w:hAnsi="宋体" w:eastAsia="宋体" w:cs="宋体"/>
                <w:sz w:val="24"/>
                <w:szCs w:val="24"/>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4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铁路道口设施是否正常运转</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Style w:val="25"/>
                <w:lang w:val="en-US" w:eastAsia="zh-CN" w:bidi="ar"/>
              </w:rPr>
              <w:t>指标</w:t>
            </w:r>
            <w:r>
              <w:rPr>
                <w:rStyle w:val="26"/>
                <w:rFonts w:eastAsia="宋体"/>
                <w:lang w:val="en-US" w:eastAsia="zh-CN" w:bidi="ar"/>
              </w:rPr>
              <w:t xml:space="preserve"> </w:t>
            </w:r>
            <w:r>
              <w:rPr>
                <w:rStyle w:val="27"/>
                <w:rFonts w:ascii="宋体" w:hAnsi="宋体" w:eastAsia="宋体" w:cs="宋体"/>
                <w:sz w:val="24"/>
                <w:szCs w:val="24"/>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时效指标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6"/>
                <w:rFonts w:eastAsia="宋体"/>
                <w:lang w:val="en-US" w:eastAsia="zh-CN" w:bidi="ar"/>
              </w:rPr>
              <w:t xml:space="preserve"> </w:t>
            </w:r>
            <w:r>
              <w:rPr>
                <w:rStyle w:val="27"/>
                <w:rFonts w:ascii="宋体" w:hAnsi="宋体" w:eastAsia="宋体" w:cs="宋体"/>
                <w:sz w:val="24"/>
                <w:szCs w:val="24"/>
                <w:lang w:val="en-US" w:eastAsia="zh-CN" w:bidi="ar"/>
              </w:rPr>
              <w:t>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6"/>
                <w:rFonts w:eastAsia="宋体"/>
                <w:lang w:val="en-US" w:eastAsia="zh-CN" w:bidi="ar"/>
              </w:rPr>
              <w:t xml:space="preserve"> </w:t>
            </w:r>
            <w:r>
              <w:rPr>
                <w:rStyle w:val="27"/>
                <w:rFonts w:ascii="宋体" w:hAnsi="宋体" w:eastAsia="宋体" w:cs="宋体"/>
                <w:sz w:val="24"/>
                <w:szCs w:val="24"/>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4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铁路道口设施是否完善</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6"/>
                <w:rFonts w:eastAsia="宋体"/>
                <w:lang w:val="en-US" w:eastAsia="zh-CN" w:bidi="ar"/>
              </w:rPr>
              <w:t xml:space="preserve"> </w:t>
            </w:r>
            <w:r>
              <w:rPr>
                <w:rStyle w:val="27"/>
                <w:rFonts w:ascii="宋体" w:hAnsi="宋体" w:eastAsia="宋体" w:cs="宋体"/>
                <w:sz w:val="24"/>
                <w:szCs w:val="24"/>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经济效益指标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6"/>
                <w:rFonts w:eastAsia="宋体"/>
                <w:lang w:val="en-US" w:eastAsia="zh-CN" w:bidi="ar"/>
              </w:rPr>
              <w:t xml:space="preserve"> </w:t>
            </w:r>
            <w:r>
              <w:rPr>
                <w:rStyle w:val="27"/>
                <w:rFonts w:ascii="宋体" w:hAnsi="宋体" w:eastAsia="宋体" w:cs="宋体"/>
                <w:sz w:val="24"/>
                <w:szCs w:val="24"/>
                <w:lang w:val="en-US" w:eastAsia="zh-CN" w:bidi="ar"/>
              </w:rPr>
              <w:t>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6"/>
                <w:rFonts w:eastAsia="宋体"/>
                <w:lang w:val="en-US" w:eastAsia="zh-CN" w:bidi="ar"/>
              </w:rPr>
              <w:t xml:space="preserve"> </w:t>
            </w:r>
            <w:r>
              <w:rPr>
                <w:rStyle w:val="27"/>
                <w:rFonts w:ascii="宋体" w:hAnsi="宋体" w:eastAsia="宋体" w:cs="宋体"/>
                <w:sz w:val="24"/>
                <w:szCs w:val="24"/>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4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铁路道口设施正常运转率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6"/>
                <w:rFonts w:eastAsia="宋体"/>
                <w:lang w:val="en-US" w:eastAsia="zh-CN" w:bidi="ar"/>
              </w:rPr>
              <w:t xml:space="preserve"> </w:t>
            </w:r>
            <w:r>
              <w:rPr>
                <w:rStyle w:val="27"/>
                <w:rFonts w:ascii="宋体" w:hAnsi="宋体" w:eastAsia="宋体" w:cs="宋体"/>
                <w:sz w:val="24"/>
                <w:szCs w:val="24"/>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生态效益指标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6"/>
                <w:rFonts w:eastAsia="宋体"/>
                <w:lang w:val="en-US" w:eastAsia="zh-CN" w:bidi="ar"/>
              </w:rPr>
              <w:t xml:space="preserve"> </w:t>
            </w:r>
            <w:r>
              <w:rPr>
                <w:rStyle w:val="27"/>
                <w:rFonts w:ascii="宋体" w:hAnsi="宋体" w:eastAsia="宋体" w:cs="宋体"/>
                <w:sz w:val="24"/>
                <w:szCs w:val="24"/>
                <w:lang w:val="en-US" w:eastAsia="zh-CN" w:bidi="ar"/>
              </w:rPr>
              <w:t>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6"/>
                <w:rFonts w:eastAsia="宋体"/>
                <w:lang w:val="en-US" w:eastAsia="zh-CN" w:bidi="ar"/>
              </w:rPr>
              <w:t xml:space="preserve"> </w:t>
            </w:r>
            <w:r>
              <w:rPr>
                <w:rStyle w:val="27"/>
                <w:rFonts w:ascii="宋体" w:hAnsi="宋体" w:eastAsia="宋体" w:cs="宋体"/>
                <w:sz w:val="24"/>
                <w:szCs w:val="24"/>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4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可持续影响指标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铁路道口安全管理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&gt;=1</w:t>
            </w:r>
            <w:r>
              <w:rPr>
                <w:rFonts w:hint="eastAsia" w:ascii="宋体" w:hAnsi="宋体" w:eastAsia="宋体" w:cs="宋体"/>
                <w:i w:val="0"/>
                <w:color w:val="000000"/>
                <w:kern w:val="0"/>
                <w:sz w:val="21"/>
                <w:szCs w:val="21"/>
                <w:u w:val="none"/>
                <w:lang w:val="en-US" w:eastAsia="zh-CN" w:bidi="ar"/>
              </w:rPr>
              <w:t>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6"/>
                <w:rFonts w:eastAsia="宋体"/>
                <w:lang w:val="en-US" w:eastAsia="zh-CN" w:bidi="ar"/>
              </w:rPr>
              <w:t xml:space="preserve"> </w:t>
            </w:r>
            <w:r>
              <w:rPr>
                <w:rStyle w:val="27"/>
                <w:rFonts w:ascii="宋体" w:hAnsi="宋体" w:eastAsia="宋体" w:cs="宋体"/>
                <w:sz w:val="24"/>
                <w:szCs w:val="24"/>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4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服务对象满意度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6"/>
                <w:rFonts w:eastAsia="宋体"/>
                <w:lang w:val="en-US" w:eastAsia="zh-CN" w:bidi="ar"/>
              </w:rPr>
              <w:t xml:space="preserve"> </w:t>
            </w:r>
            <w:r>
              <w:rPr>
                <w:rStyle w:val="27"/>
                <w:rFonts w:ascii="宋体" w:hAnsi="宋体" w:eastAsia="宋体" w:cs="宋体"/>
                <w:sz w:val="24"/>
                <w:szCs w:val="24"/>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756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总分</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r>
      <w:tr>
        <w:tblPrEx>
          <w:shd w:val="clear" w:color="auto" w:fill="auto"/>
          <w:tblCellMar>
            <w:top w:w="0" w:type="dxa"/>
            <w:left w:w="0" w:type="dxa"/>
            <w:bottom w:w="0" w:type="dxa"/>
            <w:right w:w="0" w:type="dxa"/>
          </w:tblCellMar>
        </w:tblPrEx>
        <w:trPr>
          <w:trHeight w:val="375" w:hRule="atLeast"/>
        </w:trPr>
        <w:tc>
          <w:tcPr>
            <w:tcW w:w="9862" w:type="dxa"/>
            <w:gridSpan w:val="9"/>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28"/>
                <w:szCs w:val="28"/>
                <w:u w:val="none"/>
              </w:rPr>
            </w:pPr>
            <w:r>
              <w:rPr>
                <w:rFonts w:hint="default" w:ascii="方正小标宋_GBK" w:hAnsi="方正小标宋_GBK" w:eastAsia="方正小标宋_GBK" w:cs="方正小标宋_GBK"/>
                <w:i w:val="0"/>
                <w:color w:val="000000"/>
                <w:kern w:val="0"/>
                <w:sz w:val="28"/>
                <w:szCs w:val="28"/>
                <w:u w:val="none"/>
                <w:lang w:val="en-US" w:eastAsia="zh-CN" w:bidi="ar"/>
              </w:rPr>
              <w:t>项目支出绩效自评表</w:t>
            </w:r>
          </w:p>
        </w:tc>
      </w:tr>
      <w:tr>
        <w:tblPrEx>
          <w:shd w:val="clear" w:color="auto" w:fill="auto"/>
          <w:tblCellMar>
            <w:top w:w="0" w:type="dxa"/>
            <w:left w:w="0" w:type="dxa"/>
            <w:bottom w:w="0" w:type="dxa"/>
            <w:right w:w="0" w:type="dxa"/>
          </w:tblCellMar>
        </w:tblPrEx>
        <w:trPr>
          <w:trHeight w:val="270" w:hRule="atLeast"/>
        </w:trPr>
        <w:tc>
          <w:tcPr>
            <w:tcW w:w="9862" w:type="dxa"/>
            <w:gridSpan w:val="9"/>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2023  年度）</w:t>
            </w:r>
          </w:p>
        </w:tc>
      </w:tr>
      <w:tr>
        <w:tblPrEx>
          <w:shd w:val="clear" w:color="auto" w:fill="auto"/>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8782"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关闭煤矿人员工资、医疗保险、非统筹等区级</w:t>
            </w:r>
          </w:p>
        </w:tc>
      </w:tr>
      <w:tr>
        <w:tblPrEx>
          <w:shd w:val="clear" w:color="auto" w:fill="auto"/>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主管部门</w:t>
            </w:r>
          </w:p>
        </w:tc>
        <w:tc>
          <w:tcPr>
            <w:tcW w:w="43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财政局经建科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实施单位</w:t>
            </w:r>
          </w:p>
        </w:tc>
        <w:tc>
          <w:tcPr>
            <w:tcW w:w="338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唐山市开平区应急管理局</w:t>
            </w:r>
          </w:p>
        </w:tc>
      </w:tr>
      <w:tr>
        <w:tblPrEx>
          <w:shd w:val="clear" w:color="auto" w:fill="auto"/>
          <w:tblCellMar>
            <w:top w:w="0" w:type="dxa"/>
            <w:left w:w="0" w:type="dxa"/>
            <w:bottom w:w="0" w:type="dxa"/>
            <w:right w:w="0"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项目资金  （万元）</w:t>
            </w:r>
          </w:p>
        </w:tc>
        <w:tc>
          <w:tcPr>
            <w:tcW w:w="216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年初预算数</w:t>
            </w:r>
          </w:p>
        </w:tc>
        <w:tc>
          <w:tcPr>
            <w:tcW w:w="108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全年预算数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全年执行数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分值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执行率</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得分</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年度资金总额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302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44.54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44.54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99%</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其中：当年财政拨款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302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44.54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44.54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99%</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上年结转资金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228600" cy="0"/>
                  <wp:effectExtent l="0" t="0" r="0" b="0"/>
                  <wp:wrapNone/>
                  <wp:docPr id="2" name="直接连接符_1"/>
                  <wp:cNvGraphicFramePr/>
                  <a:graphic xmlns:a="http://schemas.openxmlformats.org/drawingml/2006/main">
                    <a:graphicData uri="http://schemas.openxmlformats.org/drawingml/2006/picture">
                      <pic:pic xmlns:pic="http://schemas.openxmlformats.org/drawingml/2006/picture">
                        <pic:nvPicPr>
                          <pic:cNvPr id="2" name="直接连接符_1"/>
                          <pic:cNvPicPr/>
                        </pic:nvPicPr>
                        <pic:blipFill>
                          <a:blip r:embed="rId15"/>
                          <a:stretch>
                            <a:fillRect/>
                          </a:stretch>
                        </pic:blipFill>
                        <pic:spPr>
                          <a:xfrm>
                            <a:off x="0" y="0"/>
                            <a:ext cx="228600"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r>
      <w:tr>
        <w:tblPrEx>
          <w:shd w:val="clear" w:color="auto" w:fill="auto"/>
          <w:tblCellMar>
            <w:top w:w="0" w:type="dxa"/>
            <w:left w:w="0" w:type="dxa"/>
            <w:bottom w:w="0" w:type="dxa"/>
            <w:right w:w="0"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年度总体目标</w:t>
            </w:r>
          </w:p>
        </w:tc>
        <w:tc>
          <w:tcPr>
            <w:tcW w:w="43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446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具体完成情况</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4320"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按月交纳关闭煤矿医疗保险费及军转干部医疗费、按时发放非统筹、抚恤金、工资.基本保障下岗职工的基本生活需要，保障社会稳定。</w:t>
            </w:r>
          </w:p>
        </w:tc>
        <w:tc>
          <w:tcPr>
            <w:tcW w:w="4462"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已经完成</w:t>
            </w:r>
          </w:p>
        </w:tc>
      </w:tr>
      <w:tr>
        <w:tblPrEx>
          <w:shd w:val="clear" w:color="auto" w:fill="auto"/>
          <w:tblCellMar>
            <w:top w:w="0" w:type="dxa"/>
            <w:left w:w="0" w:type="dxa"/>
            <w:bottom w:w="0" w:type="dxa"/>
            <w:right w:w="0"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432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4462"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CellMar>
            <w:top w:w="0" w:type="dxa"/>
            <w:left w:w="0" w:type="dxa"/>
            <w:bottom w:w="0" w:type="dxa"/>
            <w:right w:w="0" w:type="dxa"/>
          </w:tblCellMar>
        </w:tblPrEx>
        <w:trPr>
          <w:trHeight w:val="42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绩效指标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分值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得分</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偏差原因分析及改进措施</w:t>
            </w:r>
          </w:p>
        </w:tc>
      </w:tr>
      <w:tr>
        <w:tblPrEx>
          <w:shd w:val="clear" w:color="auto" w:fill="auto"/>
          <w:tblCellMar>
            <w:top w:w="0" w:type="dxa"/>
            <w:left w:w="0" w:type="dxa"/>
            <w:bottom w:w="0" w:type="dxa"/>
            <w:right w:w="0" w:type="dxa"/>
          </w:tblCellMar>
        </w:tblPrEx>
        <w:trPr>
          <w:trHeight w:val="4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关闭地方国有煤矿数量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 xml:space="preserve">4 </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4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8"/>
                <w:rFonts w:eastAsia="宋体"/>
                <w:lang w:val="en-US" w:eastAsia="zh-CN" w:bidi="ar"/>
              </w:rPr>
              <w:t xml:space="preserve"> </w:t>
            </w:r>
            <w:r>
              <w:rPr>
                <w:rStyle w:val="29"/>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4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资金支出占资金比重</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&gt;=100%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15</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关闭煤</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矿死亡职工家属抚恤金发放不到位，煤矿关闭后部分死亡职工家属无联系方式，我单位将积极与关闭煤矿原管理人员联系，多方查找死亡职工家属，确保非统筹、抚恤金发放到位。</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8"/>
                <w:rFonts w:eastAsia="宋体"/>
                <w:lang w:val="en-US" w:eastAsia="zh-CN" w:bidi="ar"/>
              </w:rPr>
              <w:t xml:space="preserve"> </w:t>
            </w:r>
            <w:r>
              <w:rPr>
                <w:rStyle w:val="29"/>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时效指标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8"/>
                <w:rFonts w:eastAsia="宋体"/>
                <w:lang w:val="en-US" w:eastAsia="zh-CN" w:bidi="ar"/>
              </w:rPr>
              <w:t xml:space="preserve"> </w:t>
            </w:r>
            <w:r>
              <w:rPr>
                <w:rStyle w:val="29"/>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缴纳医疗保险</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8"/>
                <w:rFonts w:eastAsia="宋体"/>
                <w:lang w:val="en-US" w:eastAsia="zh-CN" w:bidi="ar"/>
              </w:rPr>
              <w:t xml:space="preserve"> </w:t>
            </w:r>
            <w:r>
              <w:rPr>
                <w:rStyle w:val="29"/>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1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经济效益指标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8"/>
                <w:rFonts w:eastAsia="宋体"/>
                <w:lang w:val="en-US" w:eastAsia="zh-CN" w:bidi="ar"/>
              </w:rPr>
              <w:t xml:space="preserve"> </w:t>
            </w:r>
            <w:r>
              <w:rPr>
                <w:rStyle w:val="29"/>
                <w:lang w:val="en-US" w:eastAsia="zh-CN" w:bidi="ar"/>
              </w:rPr>
              <w:t>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8"/>
                <w:rFonts w:eastAsia="宋体"/>
                <w:lang w:val="en-US" w:eastAsia="zh-CN" w:bidi="ar"/>
              </w:rPr>
              <w:t xml:space="preserve"> </w:t>
            </w:r>
            <w:r>
              <w:rPr>
                <w:rStyle w:val="29"/>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1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社会稳定水平</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8"/>
                <w:rFonts w:eastAsia="宋体"/>
                <w:lang w:val="en-US" w:eastAsia="zh-CN" w:bidi="ar"/>
              </w:rPr>
              <w:t xml:space="preserve"> </w:t>
            </w:r>
            <w:r>
              <w:rPr>
                <w:rStyle w:val="29"/>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1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生态效益指标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8"/>
                <w:rFonts w:eastAsia="宋体"/>
                <w:lang w:val="en-US" w:eastAsia="zh-CN" w:bidi="ar"/>
              </w:rPr>
              <w:t xml:space="preserve"> </w:t>
            </w:r>
            <w:r>
              <w:rPr>
                <w:rStyle w:val="29"/>
                <w:lang w:val="en-US" w:eastAsia="zh-CN" w:bidi="ar"/>
              </w:rPr>
              <w:t>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8"/>
                <w:rFonts w:eastAsia="宋体"/>
                <w:lang w:val="en-US" w:eastAsia="zh-CN" w:bidi="ar"/>
              </w:rPr>
              <w:t xml:space="preserve"> </w:t>
            </w:r>
            <w:r>
              <w:rPr>
                <w:rStyle w:val="29"/>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1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可持续影响指标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长期性</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8"/>
                <w:rFonts w:eastAsia="宋体"/>
                <w:lang w:val="en-US" w:eastAsia="zh-CN" w:bidi="ar"/>
              </w:rPr>
              <w:t xml:space="preserve"> </w:t>
            </w:r>
            <w:r>
              <w:rPr>
                <w:rStyle w:val="29"/>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1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4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下岗职工满意度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8"/>
                <w:rFonts w:eastAsia="宋体"/>
                <w:lang w:val="en-US" w:eastAsia="zh-CN" w:bidi="ar"/>
              </w:rPr>
              <w:t xml:space="preserve"> </w:t>
            </w:r>
            <w:r>
              <w:rPr>
                <w:rStyle w:val="29"/>
                <w:lang w:val="en-US" w:eastAsia="zh-CN" w:bidi="ar"/>
              </w:rPr>
              <w:t>２</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1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756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总分</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95</w:t>
            </w:r>
          </w:p>
        </w:tc>
      </w:tr>
    </w:tbl>
    <w:p>
      <w:pPr>
        <w:numPr>
          <w:ilvl w:val="0"/>
          <w:numId w:val="0"/>
        </w:numPr>
        <w:adjustRightInd w:val="0"/>
        <w:snapToGrid w:val="0"/>
        <w:spacing w:line="580" w:lineRule="exact"/>
        <w:ind w:leftChars="300"/>
        <w:rPr>
          <w:rFonts w:ascii="Times New Roman" w:hAnsi="Times New Roman" w:eastAsia="仿宋_GB2312" w:cs="Times New Roman"/>
          <w:b/>
          <w:bCs/>
          <w:sz w:val="32"/>
          <w:szCs w:val="32"/>
        </w:rPr>
      </w:pPr>
    </w:p>
    <w:p>
      <w:pPr>
        <w:adjustRightInd w:val="0"/>
        <w:snapToGrid w:val="0"/>
        <w:spacing w:line="580" w:lineRule="exact"/>
        <w:ind w:firstLine="640" w:firstLineChars="200"/>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 本</w:t>
      </w:r>
      <w:r>
        <w:rPr>
          <w:rFonts w:hint="eastAsia" w:ascii="Times New Roman" w:hAnsi="Times New Roman" w:eastAsia="仿宋_GB2312" w:cs="Times New Roman"/>
          <w:sz w:val="32"/>
          <w:szCs w:val="32"/>
          <w:lang w:eastAsia="zh-CN"/>
        </w:rPr>
        <w:t>单位</w:t>
      </w:r>
      <w:r>
        <w:rPr>
          <w:rFonts w:ascii="Times New Roman" w:hAnsi="Times New Roman" w:eastAsia="仿宋_GB2312" w:cs="Times New Roman"/>
          <w:sz w:val="32"/>
          <w:szCs w:val="32"/>
        </w:rPr>
        <w:t>2023年度</w:t>
      </w:r>
      <w:r>
        <w:rPr>
          <w:rFonts w:ascii="Times New Roman" w:hAnsi="Times New Roman" w:eastAsia="仿宋_GB2312" w:cs="Times New Roman"/>
          <w:kern w:val="2"/>
          <w:sz w:val="32"/>
          <w:szCs w:val="32"/>
          <w:lang w:val="zh-CN"/>
        </w:rPr>
        <w:t>国有资本经营预算财政拨款</w:t>
      </w:r>
      <w:r>
        <w:rPr>
          <w:rFonts w:ascii="Times New Roman" w:hAnsi="Times New Roman" w:eastAsia="仿宋_GB2312" w:cs="Times New Roman"/>
          <w:sz w:val="32"/>
          <w:szCs w:val="32"/>
        </w:rPr>
        <w:t>无收支及结转结余情况，故</w:t>
      </w:r>
      <w:r>
        <w:rPr>
          <w:rFonts w:hint="eastAsia" w:ascii="Times New Roman" w:hAnsi="Times New Roman" w:eastAsia="仿宋_GB2312" w:cs="Times New Roman"/>
          <w:kern w:val="2"/>
          <w:sz w:val="32"/>
          <w:szCs w:val="32"/>
          <w:lang w:val="zh-CN"/>
        </w:rPr>
        <w:t>公开</w:t>
      </w:r>
      <w:r>
        <w:rPr>
          <w:rFonts w:hint="eastAsia" w:ascii="Times New Roman" w:hAnsi="Times New Roman" w:eastAsia="仿宋_GB2312" w:cs="Times New Roman"/>
          <w:kern w:val="2"/>
          <w:sz w:val="32"/>
          <w:szCs w:val="32"/>
          <w:lang w:val="en-US" w:eastAsia="zh-CN"/>
        </w:rPr>
        <w:t>08</w:t>
      </w:r>
      <w:r>
        <w:rPr>
          <w:rFonts w:ascii="Times New Roman" w:hAnsi="Times New Roman" w:eastAsia="仿宋_GB2312" w:cs="Times New Roman"/>
          <w:sz w:val="32"/>
          <w:szCs w:val="32"/>
        </w:rPr>
        <w:t>表以空表列示。</w:t>
      </w:r>
    </w:p>
    <w:p>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adjustRightInd w:val="0"/>
        <w:snapToGrid w:val="0"/>
        <w:spacing w:line="580" w:lineRule="exact"/>
        <w:ind w:firstLine="640" w:firstLineChars="200"/>
        <w:rPr>
          <w:rFonts w:ascii="Times New Roman" w:hAnsi="Times New Roman" w:eastAsia="仿宋_GB2312" w:cs="Times New Roman"/>
          <w:sz w:val="32"/>
          <w:szCs w:val="32"/>
        </w:rPr>
      </w:pPr>
    </w:p>
    <w:p>
      <w:pPr>
        <w:widowControl/>
        <w:spacing w:line="580" w:lineRule="exact"/>
        <w:ind w:firstLine="883" w:firstLineChars="200"/>
        <w:jc w:val="left"/>
        <w:rPr>
          <w:rFonts w:ascii="Times New Roman" w:hAnsi="Times New Roman" w:eastAsia="宋体" w:cs="Times New Roman"/>
          <w:b/>
          <w:bCs/>
          <w:sz w:val="44"/>
          <w:szCs w:val="44"/>
        </w:rPr>
      </w:pPr>
    </w:p>
    <w:p>
      <w:pPr>
        <w:rPr>
          <w:rFonts w:ascii="Times New Roman" w:hAnsi="Times New Roman" w:eastAsia="仿宋_GB2312" w:cs="Times New Roman"/>
          <w:sz w:val="32"/>
          <w:szCs w:val="32"/>
        </w:rPr>
      </w:pPr>
    </w:p>
    <w:p>
      <w:pPr>
        <w:widowControl/>
        <w:jc w:val="center"/>
        <w:rPr>
          <w:rFonts w:ascii="Times New Roman" w:hAnsi="Times New Roman" w:eastAsia="黑体" w:cs="Times New Roman"/>
          <w:color w:val="000000" w:themeColor="text1"/>
          <w:sz w:val="44"/>
          <w:szCs w:val="44"/>
        </w:rPr>
      </w:pPr>
    </w:p>
    <w:p>
      <w:pPr>
        <w:widowControl/>
        <w:jc w:val="center"/>
        <w:rPr>
          <w:rFonts w:ascii="Times New Roman" w:hAnsi="Times New Roman" w:eastAsia="黑体" w:cs="Times New Roman"/>
          <w:color w:val="000000" w:themeColor="text1"/>
          <w:sz w:val="44"/>
          <w:szCs w:val="44"/>
        </w:rPr>
      </w:pPr>
      <w:r>
        <w:rPr>
          <w:rFonts w:ascii="Times New Roman" w:hAnsi="Times New Roman" w:eastAsia="黑体" w:cs="Times New Roman"/>
          <w:color w:val="000000" w:themeColor="text1"/>
          <w:sz w:val="44"/>
          <w:szCs w:val="44"/>
        </w:rPr>
        <w:t>第四部分 相关名词解释</w:t>
      </w:r>
    </w:p>
    <w:p>
      <w:pPr>
        <w:rPr>
          <w:rFonts w:ascii="Times New Roman" w:hAnsi="Times New Roman" w:eastAsia="仿宋_GB2312" w:cs="Times New Roman"/>
          <w:bCs/>
          <w:sz w:val="32"/>
          <w:szCs w:val="32"/>
          <w:highlight w:val="yellow"/>
        </w:rPr>
      </w:pPr>
      <w:r>
        <w:rPr>
          <w:rFonts w:ascii="Times New Roman" w:hAnsi="Times New Roman" w:eastAsia="黑体" w:cs="Times New Roman"/>
          <w:color w:val="000000" w:themeColor="text1"/>
          <w:sz w:val="44"/>
          <w:szCs w:val="44"/>
        </w:rPr>
        <w:br w:type="page"/>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一、</w:t>
      </w:r>
      <w:r>
        <w:rPr>
          <w:rFonts w:ascii="Times New Roman" w:hAnsi="Times New Roman" w:eastAsia="仿宋_GB2312" w:cs="Times New Roman"/>
          <w:b/>
          <w:bCs/>
          <w:color w:val="000000"/>
          <w:sz w:val="32"/>
          <w:szCs w:val="32"/>
        </w:rPr>
        <w:t>财政拨款收入：</w:t>
      </w:r>
      <w:r>
        <w:rPr>
          <w:rFonts w:ascii="Times New Roman" w:hAnsi="Times New Roman" w:eastAsia="仿宋_GB2312" w:cs="Times New Roman"/>
          <w:bCs/>
          <w:color w:val="000000"/>
          <w:sz w:val="32"/>
          <w:szCs w:val="32"/>
        </w:rPr>
        <w:t>指单位从同级财政部门取得的财政预算资金。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二、</w:t>
      </w:r>
      <w:r>
        <w:rPr>
          <w:rFonts w:ascii="Times New Roman" w:hAnsi="Times New Roman" w:eastAsia="仿宋_GB2312" w:cs="Times New Roman"/>
          <w:b/>
          <w:bCs/>
          <w:color w:val="000000"/>
          <w:sz w:val="32"/>
          <w:szCs w:val="32"/>
        </w:rPr>
        <w:t>事业收入：</w:t>
      </w:r>
      <w:r>
        <w:rPr>
          <w:rFonts w:ascii="Times New Roman" w:hAnsi="Times New Roman" w:eastAsia="仿宋_GB2312" w:cs="Times New Roman"/>
          <w:bCs/>
          <w:color w:val="000000"/>
          <w:sz w:val="32"/>
          <w:szCs w:val="32"/>
        </w:rPr>
        <w:t>指事业单位开展专业业务活动及辅助活动取得的收入。</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三、</w:t>
      </w:r>
      <w:r>
        <w:rPr>
          <w:rFonts w:ascii="Times New Roman" w:hAnsi="Times New Roman" w:eastAsia="仿宋_GB2312" w:cs="Times New Roman"/>
          <w:b/>
          <w:bCs/>
          <w:color w:val="000000"/>
          <w:sz w:val="32"/>
          <w:szCs w:val="32"/>
        </w:rPr>
        <w:t>经营收入：</w:t>
      </w:r>
      <w:r>
        <w:rPr>
          <w:rFonts w:ascii="Times New Roman" w:hAnsi="Times New Roman" w:eastAsia="仿宋_GB2312" w:cs="Times New Roman"/>
          <w:bCs/>
          <w:color w:val="000000"/>
          <w:sz w:val="32"/>
          <w:szCs w:val="32"/>
        </w:rPr>
        <w:t>指事业单位在专业业务活动及其辅助活动之外开展非独立核算经营活动取得的收入。</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四、</w:t>
      </w:r>
      <w:r>
        <w:rPr>
          <w:rFonts w:ascii="Times New Roman" w:hAnsi="Times New Roman" w:eastAsia="仿宋_GB2312" w:cs="Times New Roman"/>
          <w:b/>
          <w:bCs/>
          <w:color w:val="000000"/>
          <w:sz w:val="32"/>
          <w:szCs w:val="32"/>
        </w:rPr>
        <w:t>其他收入：</w:t>
      </w:r>
      <w:r>
        <w:rPr>
          <w:rFonts w:ascii="Times New Roman" w:hAnsi="Times New Roman" w:eastAsia="仿宋_GB2312" w:cs="Times New Roman"/>
          <w:bCs/>
          <w:color w:val="000000"/>
          <w:sz w:val="32"/>
          <w:szCs w:val="32"/>
        </w:rPr>
        <w:t>指单位取得的除上述收入以外的各项收</w:t>
      </w:r>
    </w:p>
    <w:p>
      <w:pPr>
        <w:spacing w:line="580" w:lineRule="exact"/>
        <w:rPr>
          <w:rFonts w:ascii="Times New Roman" w:hAnsi="Times New Roman" w:eastAsia="仿宋_GB2312" w:cs="Times New Roman"/>
          <w:b/>
          <w:bCs/>
          <w:color w:val="000000"/>
          <w:sz w:val="32"/>
          <w:szCs w:val="32"/>
        </w:rPr>
      </w:pPr>
      <w:r>
        <w:rPr>
          <w:rFonts w:ascii="Times New Roman" w:hAnsi="Times New Roman" w:eastAsia="仿宋_GB2312" w:cs="Times New Roman"/>
          <w:bCs/>
          <w:color w:val="000000"/>
          <w:sz w:val="32"/>
          <w:szCs w:val="32"/>
        </w:rPr>
        <w:t>入。主要是事业单位固定资产出租收入、存款利息收入等。</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五、</w:t>
      </w:r>
      <w:r>
        <w:rPr>
          <w:rFonts w:ascii="Times New Roman" w:hAnsi="Times New Roman" w:eastAsia="仿宋_GB2312" w:cs="Times New Roman"/>
          <w:b/>
          <w:bCs/>
          <w:color w:val="000000"/>
          <w:sz w:val="32"/>
          <w:szCs w:val="32"/>
        </w:rPr>
        <w:t>使用非财政拨款结余（含专用结余）：</w:t>
      </w:r>
      <w:r>
        <w:rPr>
          <w:rFonts w:ascii="Times New Roman" w:hAnsi="Times New Roman" w:eastAsia="仿宋_GB2312" w:cs="Times New Roman"/>
          <w:bCs/>
          <w:color w:val="000000"/>
          <w:sz w:val="32"/>
          <w:szCs w:val="32"/>
        </w:rPr>
        <w:t>指事业单位按照预算管理要求使用非财政拨款结余弥补收支差额的金额，以及使用专用结余安排支出的金额。</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六、</w:t>
      </w:r>
      <w:r>
        <w:rPr>
          <w:rFonts w:ascii="Times New Roman" w:hAnsi="Times New Roman" w:eastAsia="仿宋_GB2312" w:cs="Times New Roman"/>
          <w:b/>
          <w:bCs/>
          <w:color w:val="000000"/>
          <w:sz w:val="32"/>
          <w:szCs w:val="32"/>
        </w:rPr>
        <w:t>年初结转和结余：</w:t>
      </w:r>
      <w:r>
        <w:rPr>
          <w:rFonts w:ascii="Times New Roman" w:hAnsi="Times New Roman" w:eastAsia="仿宋_GB2312" w:cs="Times New Roman"/>
          <w:bCs/>
          <w:color w:val="000000"/>
          <w:sz w:val="32"/>
          <w:szCs w:val="32"/>
        </w:rPr>
        <w:t>指单位以前年度尚未完成、结转到本年仍按原规定用途继续使用的资金，或项目已完成等产生的结余资金。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七、</w:t>
      </w:r>
      <w:r>
        <w:rPr>
          <w:rFonts w:ascii="Times New Roman" w:hAnsi="Times New Roman" w:eastAsia="仿宋_GB2312" w:cs="Times New Roman"/>
          <w:b/>
          <w:bCs/>
          <w:color w:val="000000"/>
          <w:sz w:val="32"/>
          <w:szCs w:val="32"/>
        </w:rPr>
        <w:t>结余分配：</w:t>
      </w:r>
      <w:r>
        <w:rPr>
          <w:rFonts w:ascii="Times New Roman" w:hAnsi="Times New Roman" w:eastAsia="仿宋_GB2312" w:cs="Times New Roman"/>
          <w:bCs/>
          <w:color w:val="000000"/>
          <w:sz w:val="32"/>
          <w:szCs w:val="32"/>
        </w:rPr>
        <w:t>指事业单位按照会计制度规定缴纳的所得税、提取的专用结余以及转入非财政拨款结余的金额等。</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八、</w:t>
      </w:r>
      <w:r>
        <w:rPr>
          <w:rFonts w:ascii="Times New Roman" w:hAnsi="Times New Roman" w:eastAsia="仿宋_GB2312" w:cs="Times New Roman"/>
          <w:b/>
          <w:bCs/>
          <w:color w:val="000000"/>
          <w:sz w:val="32"/>
          <w:szCs w:val="32"/>
        </w:rPr>
        <w:t>年末结转和结余：</w:t>
      </w:r>
      <w:r>
        <w:rPr>
          <w:rFonts w:ascii="Times New Roman" w:hAnsi="Times New Roman" w:eastAsia="仿宋_GB2312" w:cs="Times New Roman"/>
          <w:bCs/>
          <w:color w:val="000000"/>
          <w:sz w:val="32"/>
          <w:szCs w:val="32"/>
        </w:rPr>
        <w:t>指单位按有关规定结转到下年或以后年度继续使用的资金，或项目已完成等产生的结余资金。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九、</w:t>
      </w:r>
      <w:r>
        <w:rPr>
          <w:rFonts w:ascii="Times New Roman" w:hAnsi="Times New Roman" w:eastAsia="仿宋_GB2312" w:cs="Times New Roman"/>
          <w:b/>
          <w:bCs/>
          <w:color w:val="000000"/>
          <w:sz w:val="32"/>
          <w:szCs w:val="32"/>
        </w:rPr>
        <w:t>基本支出：</w:t>
      </w:r>
      <w:r>
        <w:rPr>
          <w:rFonts w:ascii="Times New Roman" w:hAnsi="Times New Roman" w:eastAsia="仿宋_GB2312" w:cs="Times New Roman"/>
          <w:bCs/>
          <w:color w:val="000000"/>
          <w:sz w:val="32"/>
          <w:szCs w:val="32"/>
        </w:rPr>
        <w:t>指为保障机构正常运转、完成日常工作任务而发生的人员支出和公用支出。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w:t>
      </w:r>
      <w:r>
        <w:rPr>
          <w:rFonts w:ascii="Times New Roman" w:hAnsi="Times New Roman" w:eastAsia="仿宋_GB2312" w:cs="Times New Roman"/>
          <w:b/>
          <w:bCs/>
          <w:color w:val="000000"/>
          <w:sz w:val="32"/>
          <w:szCs w:val="32"/>
        </w:rPr>
        <w:t>项目支出：</w:t>
      </w:r>
      <w:r>
        <w:rPr>
          <w:rFonts w:ascii="Times New Roman" w:hAnsi="Times New Roman" w:eastAsia="仿宋_GB2312" w:cs="Times New Roman"/>
          <w:color w:val="000000"/>
          <w:sz w:val="32"/>
          <w:szCs w:val="32"/>
        </w:rPr>
        <w:t>指在基本支出之外为完成特定行政任务和事业发展目标所发生的支出。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十一、</w:t>
      </w:r>
      <w:r>
        <w:rPr>
          <w:rFonts w:ascii="Times New Roman" w:hAnsi="Times New Roman" w:eastAsia="仿宋_GB2312" w:cs="Times New Roman"/>
          <w:b/>
          <w:bCs/>
          <w:color w:val="000000"/>
          <w:sz w:val="32"/>
          <w:szCs w:val="32"/>
        </w:rPr>
        <w:t>经营支出 ：</w:t>
      </w:r>
      <w:r>
        <w:rPr>
          <w:rFonts w:ascii="Times New Roman" w:hAnsi="Times New Roman" w:eastAsia="仿宋_GB2312" w:cs="Times New Roman"/>
          <w:color w:val="000000"/>
          <w:sz w:val="32"/>
          <w:szCs w:val="32"/>
        </w:rPr>
        <w:t>指事业单位在专业业务活动及其辅助活动之外开展非独立核算经营活动发生的支出。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十二、</w:t>
      </w:r>
      <w:r>
        <w:rPr>
          <w:rFonts w:ascii="Times New Roman" w:hAnsi="Times New Roman" w:eastAsia="仿宋_GB2312" w:cs="Times New Roman"/>
          <w:b/>
          <w:bCs/>
          <w:color w:val="000000"/>
          <w:sz w:val="32"/>
          <w:szCs w:val="32"/>
        </w:rPr>
        <w:t>基本建设支出：</w:t>
      </w:r>
      <w:r>
        <w:rPr>
          <w:rFonts w:ascii="Times New Roman" w:hAnsi="Times New Roman" w:eastAsia="仿宋_GB2312"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Times New Roman" w:hAnsi="Times New Roman" w:eastAsia="仿宋_GB2312" w:cs="Times New Roman"/>
          <w:b/>
          <w:bCs/>
          <w:color w:val="000000"/>
          <w:sz w:val="32"/>
          <w:szCs w:val="32"/>
        </w:rPr>
      </w:pPr>
      <w:r>
        <w:rPr>
          <w:rFonts w:hint="eastAsia" w:ascii="Times New Roman" w:hAnsi="Times New Roman" w:eastAsia="仿宋_GB2312" w:cs="Times New Roman"/>
          <w:b/>
          <w:bCs/>
          <w:color w:val="000000"/>
          <w:sz w:val="32"/>
          <w:szCs w:val="32"/>
        </w:rPr>
        <w:t>十三、</w:t>
      </w:r>
      <w:r>
        <w:rPr>
          <w:rFonts w:ascii="Times New Roman" w:hAnsi="Times New Roman" w:eastAsia="仿宋_GB2312" w:cs="Times New Roman"/>
          <w:b/>
          <w:bCs/>
          <w:color w:val="000000"/>
          <w:sz w:val="32"/>
          <w:szCs w:val="32"/>
        </w:rPr>
        <w:t>其他资本性支出：</w:t>
      </w:r>
      <w:r>
        <w:rPr>
          <w:rFonts w:ascii="Times New Roman" w:hAnsi="Times New Roman" w:eastAsia="仿宋_GB2312"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十四、</w:t>
      </w:r>
      <w:r>
        <w:rPr>
          <w:rFonts w:ascii="Times New Roman" w:hAnsi="Times New Roman" w:eastAsia="仿宋_GB2312" w:cs="Times New Roman"/>
          <w:b/>
          <w:bCs/>
          <w:color w:val="000000"/>
          <w:sz w:val="32"/>
          <w:szCs w:val="32"/>
        </w:rPr>
        <w:t>“三公”经费：</w:t>
      </w:r>
      <w:r>
        <w:rPr>
          <w:rFonts w:ascii="Times New Roman" w:hAnsi="Times New Roman" w:eastAsia="仿宋_GB2312"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十五、</w:t>
      </w:r>
      <w:r>
        <w:rPr>
          <w:rFonts w:ascii="Times New Roman" w:hAnsi="Times New Roman" w:eastAsia="仿宋_GB2312" w:cs="Times New Roman"/>
          <w:b/>
          <w:bCs/>
          <w:color w:val="000000"/>
          <w:sz w:val="32"/>
          <w:szCs w:val="32"/>
        </w:rPr>
        <w:t>其他交通费用：</w:t>
      </w:r>
      <w:r>
        <w:rPr>
          <w:rFonts w:ascii="Times New Roman" w:hAnsi="Times New Roman" w:eastAsia="仿宋_GB2312" w:cs="Times New Roman"/>
          <w:color w:val="00000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十六、</w:t>
      </w:r>
      <w:r>
        <w:rPr>
          <w:rFonts w:ascii="Times New Roman" w:hAnsi="Times New Roman" w:eastAsia="仿宋_GB2312" w:cs="Times New Roman"/>
          <w:b/>
          <w:bCs/>
          <w:color w:val="000000"/>
          <w:sz w:val="32"/>
          <w:szCs w:val="32"/>
        </w:rPr>
        <w:t>公务用车购置：</w:t>
      </w:r>
      <w:r>
        <w:rPr>
          <w:rFonts w:ascii="Times New Roman" w:hAnsi="Times New Roman" w:eastAsia="仿宋_GB2312" w:cs="Times New Roman"/>
          <w:color w:val="000000"/>
          <w:sz w:val="32"/>
          <w:szCs w:val="32"/>
        </w:rPr>
        <w:t>填列单位公务用车车辆购置支出（含车辆购置税、牌照费）。</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十七、</w:t>
      </w:r>
      <w:r>
        <w:rPr>
          <w:rFonts w:ascii="Times New Roman" w:hAnsi="Times New Roman" w:eastAsia="仿宋_GB2312" w:cs="Times New Roman"/>
          <w:b/>
          <w:bCs/>
          <w:color w:val="000000"/>
          <w:sz w:val="32"/>
          <w:szCs w:val="32"/>
        </w:rPr>
        <w:t>其他交通工具购置：</w:t>
      </w:r>
      <w:r>
        <w:rPr>
          <w:rFonts w:ascii="Times New Roman" w:hAnsi="Times New Roman" w:eastAsia="仿宋_GB2312" w:cs="Times New Roman"/>
          <w:color w:val="000000"/>
          <w:sz w:val="32"/>
          <w:szCs w:val="32"/>
        </w:rPr>
        <w:t>填列单位除公务用车外的其他各类交通工具（如船舶、飞机等）购置支出（含车辆购置税、牌照费）。</w:t>
      </w:r>
    </w:p>
    <w:p>
      <w:pPr>
        <w:widowControl/>
        <w:spacing w:line="56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十八、机关运行经费：</w:t>
      </w:r>
      <w:r>
        <w:rPr>
          <w:rFonts w:ascii="Times New Roman" w:hAnsi="Times New Roman" w:eastAsia="仿宋_GB2312"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sz w:val="32"/>
          <w:szCs w:val="32"/>
        </w:rPr>
        <w:t>十九、经费形式:</w:t>
      </w:r>
      <w:r>
        <w:rPr>
          <w:rFonts w:ascii="Times New Roman" w:hAnsi="Times New Roman" w:eastAsia="仿宋_GB2312" w:cs="Times New Roman"/>
          <w:color w:val="000000"/>
          <w:sz w:val="32"/>
          <w:szCs w:val="32"/>
        </w:rPr>
        <w:t>按照经费来源，</w:t>
      </w:r>
      <w:r>
        <w:rPr>
          <w:rFonts w:ascii="Times New Roman" w:hAnsi="Times New Roman" w:eastAsia="仿宋_GB2312" w:cs="Times New Roman"/>
          <w:sz w:val="32"/>
          <w:szCs w:val="32"/>
        </w:rPr>
        <w:t>可分为财政拨款、财政性资金基本保证、财政性资金定额或定项补助、财政性资金零补助四类</w:t>
      </w:r>
      <w:r>
        <w:rPr>
          <w:rFonts w:hint="eastAsia" w:ascii="Times New Roman" w:hAnsi="Times New Roman" w:eastAsia="仿宋_GB2312" w:cs="Times New Roman"/>
          <w:sz w:val="32"/>
          <w:szCs w:val="32"/>
        </w:rPr>
        <w:t>。</w:t>
      </w:r>
    </w:p>
    <w:p>
      <w:pPr>
        <w:rPr>
          <w:rFonts w:ascii="Times New Roman" w:hAnsi="Times New Roman" w:cs="Times New Roman"/>
        </w:rPr>
      </w:pPr>
    </w:p>
    <w:p>
      <w:pPr>
        <w:pStyle w:val="10"/>
        <w:widowControl/>
        <w:spacing w:beforeAutospacing="0" w:afterAutospacing="0"/>
        <w:rPr>
          <w:rFonts w:ascii="Times New Roman" w:hAnsi="Times New Roman" w:eastAsia="仿宋_GB2312"/>
          <w:color w:val="333333"/>
          <w:sz w:val="33"/>
          <w:szCs w:val="33"/>
          <w:shd w:val="clear" w:color="auto" w:fill="FFFFFF"/>
        </w:rPr>
      </w:pPr>
    </w:p>
    <w:p>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embedRegular r:id="rId1" w:fontKey="{D104CE29-70B4-4E61-90DE-35A89D3FB7FA}"/>
  </w:font>
  <w:font w:name="Arial">
    <w:panose1 w:val="020B0604020202020204"/>
    <w:charset w:val="01"/>
    <w:family w:val="swiss"/>
    <w:pitch w:val="default"/>
    <w:sig w:usb0="00007A87" w:usb1="80000000" w:usb2="00000008" w:usb3="00000000" w:csb0="400001FF" w:csb1="FFFF0000"/>
    <w:embedRegular r:id="rId2" w:fontKey="{877FAC57-A04E-4448-B40F-C0E73D2D97DC}"/>
  </w:font>
  <w:font w:name="黑体">
    <w:panose1 w:val="02010600030101010101"/>
    <w:charset w:val="86"/>
    <w:family w:val="auto"/>
    <w:pitch w:val="default"/>
    <w:sig w:usb0="00000001" w:usb1="080E0000" w:usb2="00000000" w:usb3="00000000" w:csb0="00040000" w:csb1="00000000"/>
    <w:embedRegular r:id="rId3" w:fontKey="{E0E070C2-B572-48F2-8DB7-83F90CFB5BCF}"/>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4" w:fontKey="{100CEA97-BFE5-4282-B691-C3365E2AE961}"/>
  </w:font>
  <w:font w:name="仿宋">
    <w:altName w:val="微软雅黑"/>
    <w:panose1 w:val="02010609060101010101"/>
    <w:charset w:val="86"/>
    <w:family w:val="modern"/>
    <w:pitch w:val="default"/>
    <w:sig w:usb0="00000000" w:usb1="00000000" w:usb2="00000016" w:usb3="00000000" w:csb0="00040001" w:csb1="00000000"/>
    <w:embedRegular r:id="rId5" w:fontKey="{EF4E6E1D-50B4-438A-BFEC-02E452DC4A59}"/>
  </w:font>
  <w:font w:name="微软雅黑">
    <w:panose1 w:val="020B0503020204020204"/>
    <w:charset w:val="86"/>
    <w:family w:val="auto"/>
    <w:pitch w:val="default"/>
    <w:sig w:usb0="80000287" w:usb1="1A0F3C52" w:usb2="00000010" w:usb3="00000000" w:csb0="0004001F" w:csb1="00000000"/>
  </w:font>
  <w:font w:name="Calibri Light">
    <w:altName w:val="Calibri"/>
    <w:panose1 w:val="020F0302020204030204"/>
    <w:charset w:val="00"/>
    <w:family w:val="swiss"/>
    <w:pitch w:val="default"/>
    <w:sig w:usb0="00000000" w:usb1="00000000" w:usb2="00000000" w:usb3="00000000" w:csb0="0000019F" w:csb1="00000000"/>
  </w:font>
  <w:font w:name="华文中宋">
    <w:panose1 w:val="02010600040101010101"/>
    <w:charset w:val="86"/>
    <w:family w:val="auto"/>
    <w:pitch w:val="default"/>
    <w:sig w:usb0="00000287" w:usb1="080F0000" w:usb2="00000000" w:usb3="00000000" w:csb0="0004009F" w:csb1="DFD70000"/>
  </w:font>
  <w:font w:name="Arial Unicode MS">
    <w:altName w:val="Arial"/>
    <w:panose1 w:val="00000000000000000000"/>
    <w:charset w:val="00"/>
    <w:family w:val="auto"/>
    <w:pitch w:val="default"/>
    <w:sig w:usb0="00000000" w:usb1="00000000" w:usb2="00000000" w:usb3="00000000" w:csb0="00000000" w:csb1="00000000"/>
    <w:embedRegular r:id="rId6" w:fontKey="{4F0787C8-8B2F-4895-9597-AD9FCFF49558}"/>
  </w:font>
  <w:font w:name="方正魏碑简体">
    <w:altName w:val="微软雅黑"/>
    <w:panose1 w:val="00000000000000000000"/>
    <w:charset w:val="86"/>
    <w:family w:val="auto"/>
    <w:pitch w:val="default"/>
    <w:sig w:usb0="00000000" w:usb1="00000000" w:usb2="00000010" w:usb3="00000000" w:csb0="00040000" w:csb1="00000000"/>
    <w:embedRegular r:id="rId7" w:fontKey="{DA436FC8-8404-46D4-A059-F93F7BAFFE80}"/>
  </w:font>
  <w:font w:name="思源黑体 CN Heavy">
    <w:altName w:val="黑体"/>
    <w:panose1 w:val="00000000000000000000"/>
    <w:charset w:val="86"/>
    <w:family w:val="swiss"/>
    <w:pitch w:val="default"/>
    <w:sig w:usb0="00000000" w:usb1="00000000" w:usb2="00000016" w:usb3="00000000" w:csb0="00060107" w:csb1="00000000"/>
    <w:embedRegular r:id="rId8" w:fontKey="{B886EA66-3EAC-4D0A-95B1-5DA697DFD068}"/>
  </w:font>
  <w:font w:name="楷体_GB2312">
    <w:panose1 w:val="02010609030101010101"/>
    <w:charset w:val="86"/>
    <w:family w:val="auto"/>
    <w:pitch w:val="default"/>
    <w:sig w:usb0="00000001" w:usb1="080E0000" w:usb2="00000000" w:usb3="00000000" w:csb0="00040000" w:csb1="00000000"/>
    <w:embedRegular r:id="rId9" w:fontKey="{F1AB0685-580D-4A00-A115-9D91EC5A524F}"/>
  </w:font>
  <w:font w:name="仿宋_GB2312">
    <w:panose1 w:val="02010609030101010101"/>
    <w:charset w:val="86"/>
    <w:family w:val="auto"/>
    <w:pitch w:val="default"/>
    <w:sig w:usb0="00000001" w:usb1="080E0000" w:usb2="00000000" w:usb3="00000000" w:csb0="00040000" w:csb1="00000000"/>
    <w:embedRegular r:id="rId10" w:fontKey="{DB3CE818-FA88-4ABF-9492-8FF99DDD70AD}"/>
  </w:font>
  <w:font w:name="ArialUnicodeMS">
    <w:altName w:val="Dotum"/>
    <w:panose1 w:val="00000000000000000000"/>
    <w:charset w:val="81"/>
    <w:family w:val="auto"/>
    <w:pitch w:val="default"/>
    <w:sig w:usb0="00000000" w:usb1="00000000" w:usb2="00000010" w:usb3="00000000" w:csb0="00080001" w:csb1="00000000"/>
    <w:embedRegular r:id="rId11" w:fontKey="{8424BDFE-52AD-4B02-88D1-5C478A785C7E}"/>
  </w:font>
  <w:font w:name="Dotum">
    <w:panose1 w:val="020B0600000101010101"/>
    <w:charset w:val="81"/>
    <w:family w:val="auto"/>
    <w:pitch w:val="default"/>
    <w:sig w:usb0="B00002AF" w:usb1="69D77CFB" w:usb2="00000030" w:usb3="00000000" w:csb0="4008009F" w:csb1="DFD70000"/>
  </w:font>
  <w:font w:name="方正仿宋_GB2312">
    <w:altName w:val="仿宋_GB2312"/>
    <w:panose1 w:val="00000000000000000000"/>
    <w:charset w:val="86"/>
    <w:family w:val="auto"/>
    <w:pitch w:val="default"/>
    <w:sig w:usb0="00000000" w:usb1="00000000" w:usb2="00000012" w:usb3="00000000" w:csb0="00040001" w:csb1="00000000"/>
    <w:embedRegular r:id="rId12" w:fontKey="{52C0FDE6-4B44-44B1-A517-E97A8D30F2A6}"/>
  </w:font>
  <w:font w:name="DengXian-Regular">
    <w:altName w:val="宋体"/>
    <w:panose1 w:val="00000000000000000000"/>
    <w:charset w:val="86"/>
    <w:family w:val="auto"/>
    <w:pitch w:val="default"/>
    <w:sig w:usb0="00000000" w:usb1="00000000" w:usb2="00000010" w:usb3="00000000" w:csb0="00040001" w:csb1="00000000"/>
    <w:embedRegular r:id="rId13" w:fontKey="{23023B15-AA90-4B23-BA55-6D12B62035EE}"/>
  </w:font>
  <w:font w:name="方正小标宋_GBK">
    <w:altName w:val="微软雅黑"/>
    <w:panose1 w:val="03000509000000000000"/>
    <w:charset w:val="00"/>
    <w:family w:val="auto"/>
    <w:pitch w:val="default"/>
    <w:sig w:usb0="00000000" w:usb1="00000000" w:usb2="00000000" w:usb3="00000000" w:csb0="00000000" w:csb1="00000000"/>
    <w:embedRegular r:id="rId14" w:fontKey="{F992775B-5398-4512-9DE5-9C41EF8AF3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16B346C4"/>
    <w:multiLevelType w:val="singleLevel"/>
    <w:tmpl w:val="16B346C4"/>
    <w:lvl w:ilvl="0" w:tentative="0">
      <w:start w:val="3"/>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jb3VudCI6NjksImhkaWQiOiJiMzk2N2EzZjUyYWViODRjZjJhMDZjM2YyYjk4MTExMiIsInVzZXJDb3VudCI6MX0="/>
  </w:docVars>
  <w:rsids>
    <w:rsidRoot w:val="00C47CA4"/>
    <w:rsid w:val="00086151"/>
    <w:rsid w:val="00236F8C"/>
    <w:rsid w:val="004855CC"/>
    <w:rsid w:val="00822154"/>
    <w:rsid w:val="00C47CA4"/>
    <w:rsid w:val="00C65689"/>
    <w:rsid w:val="00CC2C8E"/>
    <w:rsid w:val="00FB1F3F"/>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07653"/>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C7F0A"/>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3CAE"/>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572F06"/>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11A04"/>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CEF340B"/>
    <w:rsid w:val="3D446B0E"/>
    <w:rsid w:val="3D953A6B"/>
    <w:rsid w:val="3DBB5979"/>
    <w:rsid w:val="3DD56F21"/>
    <w:rsid w:val="3E1057AF"/>
    <w:rsid w:val="3E503D6A"/>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6A0F7C"/>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5FE940E9"/>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7A7685"/>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BC63D10"/>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AE152A"/>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Lines="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71"/>
    <w:basedOn w:val="13"/>
    <w:qFormat/>
    <w:uiPriority w:val="0"/>
    <w:rPr>
      <w:rFonts w:hint="eastAsia" w:ascii="宋体" w:hAnsi="宋体" w:eastAsia="宋体" w:cs="宋体"/>
      <w:color w:val="000000"/>
      <w:sz w:val="16"/>
      <w:szCs w:val="16"/>
      <w:u w:val="none"/>
    </w:rPr>
  </w:style>
  <w:style w:type="character" w:customStyle="1" w:styleId="26">
    <w:name w:val="font141"/>
    <w:basedOn w:val="13"/>
    <w:qFormat/>
    <w:uiPriority w:val="0"/>
    <w:rPr>
      <w:rFonts w:hint="default" w:ascii="Calibri" w:hAnsi="Calibri" w:cs="Calibri"/>
      <w:color w:val="000000"/>
      <w:sz w:val="16"/>
      <w:szCs w:val="16"/>
      <w:u w:val="none"/>
    </w:rPr>
  </w:style>
  <w:style w:type="character" w:customStyle="1" w:styleId="27">
    <w:name w:val="font112"/>
    <w:basedOn w:val="13"/>
    <w:qFormat/>
    <w:uiPriority w:val="0"/>
    <w:rPr>
      <w:rFonts w:ascii="Arial Unicode MS" w:hAnsi="Arial Unicode MS" w:eastAsia="Arial Unicode MS" w:cs="Arial Unicode MS"/>
      <w:color w:val="000000"/>
      <w:sz w:val="16"/>
      <w:szCs w:val="16"/>
      <w:u w:val="none"/>
    </w:rPr>
  </w:style>
  <w:style w:type="character" w:customStyle="1" w:styleId="28">
    <w:name w:val="font131"/>
    <w:basedOn w:val="13"/>
    <w:qFormat/>
    <w:uiPriority w:val="0"/>
    <w:rPr>
      <w:rFonts w:hint="default" w:ascii="Calibri" w:hAnsi="Calibri" w:cs="Calibri"/>
      <w:color w:val="000000"/>
      <w:sz w:val="16"/>
      <w:szCs w:val="16"/>
      <w:u w:val="none"/>
    </w:rPr>
  </w:style>
  <w:style w:type="character" w:customStyle="1" w:styleId="29">
    <w:name w:val="font101"/>
    <w:basedOn w:val="13"/>
    <w:qFormat/>
    <w:uiPriority w:val="0"/>
    <w:rPr>
      <w:rFonts w:ascii="Arial Unicode MS" w:hAnsi="Arial Unicode MS" w:eastAsia="Arial Unicode MS" w:cs="Arial Unicode MS"/>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1.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38</Pages>
  <Words>10320</Words>
  <Characters>4499</Characters>
  <Lines>37</Lines>
  <Paragraphs>29</Paragraphs>
  <TotalTime>4</TotalTime>
  <ScaleCrop>false</ScaleCrop>
  <LinksUpToDate>false</LinksUpToDate>
  <CharactersWithSpaces>14790</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2024-10-09T08:42:00Z</dcterms:created>
  <dc:creator>王明新TIAD</dc:creator>
  <cp:lastModifiedBy>Administrator</cp:lastModifiedBy>
  <cp:lastPrinted>2023-08-04T01:00:00Z</cp:lastPrinted>
  <dcterms:modified xsi:type="dcterms:W3CDTF">2024-10-17T01:31:37Z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E3943BC5722641F6AF2F009BA59D61BF_13</vt:lpwstr>
  </property>
  <property fmtid="{D5CDD505-2E9C-101B-9397-08002B2CF9AE}" pid="4" name="KSOTemplateUUID">
    <vt:lpwstr>v1.0_mb_S7ajbG3IpAnL1wSthNCxfw==</vt:lpwstr>
  </property>
</Properties>
</file>