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713001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：唐山市开平区妇女联合会(本级)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spacing w:before="199" w:line="219" w:lineRule="auto"/>
        <w:ind w:left="0" w:leftChars="0" w:firstLine="720" w:firstLineChars="225"/>
        <w:outlineLvl w:val="0"/>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紧紧围绕区委区政府中心工作，充分发挥党和人民群众的桥梁纽带作用，坚持建设“坚强阵地”和“温暖之家”的主旋律，实施“五大工程”，团结动员全区广大妇女姐妹奋发向上，拼搏进取，奋力开创全区妇联工作新局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pPr>
              <w:spacing w:before="245" w:line="188" w:lineRule="auto"/>
              <w:ind w:left="449" w:leftChars="0"/>
              <w:rPr>
                <w:rFonts w:ascii="仿宋_GB2312" w:hAnsi="Calibri" w:eastAsia="仿宋_GB2312" w:cs="ArialUnicodeMS"/>
                <w:kern w:val="0"/>
                <w:sz w:val="28"/>
                <w:szCs w:val="28"/>
              </w:rPr>
            </w:pPr>
            <w:r>
              <w:rPr>
                <w:rFonts w:ascii="FangSong_GB2312" w:hAnsi="FangSong_GB2312" w:eastAsia="FangSong_GB2312" w:cs="FangSong_GB2312"/>
                <w:sz w:val="28"/>
                <w:szCs w:val="28"/>
              </w:rPr>
              <w:t>1</w:t>
            </w:r>
          </w:p>
        </w:tc>
        <w:tc>
          <w:tcPr>
            <w:tcW w:w="3485" w:type="dxa"/>
            <w:vAlign w:val="top"/>
          </w:tcPr>
          <w:p>
            <w:pPr>
              <w:spacing w:before="158" w:line="220" w:lineRule="auto"/>
              <w:ind w:left="126" w:leftChars="0"/>
              <w:rPr>
                <w:rFonts w:ascii="仿宋_GB2312" w:hAnsi="Calibri" w:eastAsia="仿宋_GB2312" w:cs="ArialUnicodeMS"/>
                <w:kern w:val="0"/>
                <w:sz w:val="28"/>
                <w:szCs w:val="28"/>
              </w:rPr>
            </w:pPr>
            <w:r>
              <w:rPr>
                <w:rFonts w:hint="eastAsia" w:ascii="FangSong_GB2312" w:hAnsi="FangSong_GB2312" w:eastAsia="FangSong_GB2312" w:cs="FangSong_GB2312"/>
                <w:spacing w:val="6"/>
                <w:sz w:val="31"/>
                <w:szCs w:val="31"/>
                <w:lang w:val="en-US" w:eastAsia="zh-CN"/>
              </w:rPr>
              <w:t>唐山市</w:t>
            </w:r>
            <w:r>
              <w:rPr>
                <w:rFonts w:ascii="FangSong_GB2312" w:hAnsi="FangSong_GB2312" w:eastAsia="FangSong_GB2312" w:cs="FangSong_GB2312"/>
                <w:spacing w:val="6"/>
                <w:sz w:val="31"/>
                <w:szCs w:val="31"/>
              </w:rPr>
              <w:t>开平区妇女联合会</w:t>
            </w:r>
          </w:p>
        </w:tc>
        <w:tc>
          <w:tcPr>
            <w:tcW w:w="2445" w:type="dxa"/>
            <w:vAlign w:val="top"/>
          </w:tcPr>
          <w:p>
            <w:pPr>
              <w:spacing w:before="209" w:line="214" w:lineRule="auto"/>
              <w:ind w:left="951" w:leftChars="0"/>
              <w:rPr>
                <w:rFonts w:ascii="仿宋_GB2312" w:hAnsi="Calibri" w:eastAsia="仿宋_GB2312" w:cs="ArialUnicodeMS"/>
                <w:kern w:val="0"/>
                <w:sz w:val="28"/>
                <w:szCs w:val="28"/>
              </w:rPr>
            </w:pPr>
            <w:r>
              <w:rPr>
                <w:rFonts w:ascii="FangSong_GB2312" w:hAnsi="FangSong_GB2312" w:eastAsia="FangSong_GB2312" w:cs="FangSong_GB2312"/>
                <w:spacing w:val="-5"/>
                <w:sz w:val="28"/>
                <w:szCs w:val="28"/>
              </w:rPr>
              <w:t>行政</w:t>
            </w:r>
          </w:p>
        </w:tc>
        <w:tc>
          <w:tcPr>
            <w:tcW w:w="2665" w:type="dxa"/>
            <w:vAlign w:val="top"/>
          </w:tcPr>
          <w:p>
            <w:pPr>
              <w:spacing w:before="209" w:line="214" w:lineRule="auto"/>
              <w:ind w:left="783" w:leftChars="0"/>
              <w:rPr>
                <w:rFonts w:ascii="仿宋_GB2312" w:hAnsi="Calibri" w:eastAsia="仿宋_GB2312" w:cs="ArialUnicodeMS"/>
                <w:kern w:val="0"/>
                <w:sz w:val="28"/>
                <w:szCs w:val="28"/>
              </w:rPr>
            </w:pPr>
            <w:r>
              <w:rPr>
                <w:rFonts w:ascii="FangSong_GB2312" w:hAnsi="FangSong_GB2312" w:eastAsia="FangSong_GB2312" w:cs="FangSong_GB2312"/>
                <w:spacing w:val="-4"/>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我部门无二级预算单位，因此，唐山市开平区妇女联合会2023年度部门决算即唐山市开平区妇女联合会本级2023年度决算。</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编制部门（单位）：唐山市开平区妇女联合会(本级)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编制部门（单位）：唐山市开平区妇女联合会(本级)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111.37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111.37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群众团体事务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81.28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81.28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其他群众团体事务支出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编制部门（单位）：唐山市开平区妇女联合会(本级)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81.28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其他群众团体事务支出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编制部门（单位）：唐山市开平区妇女联合会(本级)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111.37</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1"/>
        <w:gridCol w:w="2216"/>
        <w:gridCol w:w="1061"/>
        <w:gridCol w:w="875"/>
        <w:gridCol w:w="930"/>
        <w:gridCol w:w="383"/>
        <w:gridCol w:w="1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编制部门（单位）：唐山市开平区妇女联合会(本级)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111.37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其他群众团体事务支出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编制部门（单位）：唐山市开平区妇女联合会(本级)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86.00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19.96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4.35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7.34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87.41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编制部门（单位）：唐山市开平区妇女联合会(本级)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注：本表反映部门本年度政府性基金预算财政拨款收入、支出及结转和结余情况。本年度无相关收入支出情况，按要求空表列示。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编制部门（单位）：唐山市开平区妇女联合会(本级)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注：本表反映部门本年度国有资本经营预算财政拨款支出情况。本年度无相关收入支出情况，按要求空表列示。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编制部门（单位）：唐山市开平区妇女联合会(本级)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1.48</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1.48</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1.48</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r>
        <w:rPr>
          <w:rFonts w:hint="eastAsia" w:ascii="黑体" w:hAnsi="Calibri" w:eastAsia="黑体" w:cs="Times New Roman"/>
          <w:kern w:val="2"/>
          <w:sz w:val="32"/>
          <w:szCs w:val="32"/>
          <w:lang w:val="en-US" w:eastAsia="zh-CN" w:bidi="ar-SA"/>
        </w:rPr>
        <w:tab/>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111.37</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8.66</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8.4</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今年项目收支增加了</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111.37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，其中：财政拨款收入111.37万元，占100%；上级补助收入0万元，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111.37万元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95.89万元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占86.1%；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15.48万元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占13.9%；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年度财政拨款本年收入111.37</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8.66</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今年项目收入增加了</w:t>
      </w:r>
      <w:r>
        <w:rPr>
          <w:rFonts w:hint="default" w:ascii="Times New Roman" w:hAnsi="Times New Roman" w:eastAsia="仿宋_GB2312" w:cs="Times New Roman"/>
          <w:color w:val="auto"/>
          <w:kern w:val="2"/>
          <w:sz w:val="32"/>
          <w:szCs w:val="32"/>
          <w:lang w:val="zh-CN" w:eastAsia="zh-CN" w:bidi="ar-SA"/>
        </w:rPr>
        <w:t>；本年支出 111.37万元，比上年增加</w:t>
      </w:r>
      <w:r>
        <w:rPr>
          <w:rFonts w:hint="eastAsia" w:ascii="Times New Roman" w:hAnsi="Times New Roman" w:eastAsia="仿宋_GB2312" w:cs="Times New Roman"/>
          <w:color w:val="auto"/>
          <w:kern w:val="2"/>
          <w:sz w:val="32"/>
          <w:szCs w:val="32"/>
          <w:lang w:val="en-US" w:eastAsia="zh-CN" w:bidi="ar-SA"/>
        </w:rPr>
        <w:t>8.66</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今年项目支出增加了</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一般公共预算财政拨款本年收入111.37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8.66</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今年项目收入增加了</w:t>
      </w:r>
      <w:r>
        <w:rPr>
          <w:rFonts w:hint="default" w:ascii="Times New Roman" w:hAnsi="Times New Roman" w:eastAsia="仿宋_GB2312" w:cs="Times New Roman"/>
          <w:kern w:val="2"/>
          <w:sz w:val="32"/>
          <w:szCs w:val="32"/>
          <w:lang w:val="zh-CN"/>
        </w:rPr>
        <w:t>；本年支出 111.37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8.66</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8.4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今年项目支出增加了</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2.政府性基金预算财政拨款本年收入0万元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与上年持平；本年支出0万元，与上年持平。</w:t>
      </w:r>
    </w:p>
    <w:p>
      <w:pPr>
        <w:snapToGrid w:val="0"/>
        <w:spacing w:line="580" w:lineRule="exac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3.国有资本经营预算财政拨款本年收入0万元，与上年持平；本年支出0万元，与上年持平。</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年度财政拨款本年收入111.37万元，完成年初预算的89.62%，比年初预算减少</w:t>
      </w:r>
      <w:r>
        <w:rPr>
          <w:rFonts w:hint="eastAsia" w:ascii="Times New Roman" w:hAnsi="Times New Roman" w:eastAsia="仿宋_GB2312" w:cs="Times New Roman"/>
          <w:color w:val="auto"/>
          <w:kern w:val="2"/>
          <w:sz w:val="32"/>
          <w:szCs w:val="32"/>
          <w:lang w:val="en-US" w:eastAsia="zh-CN" w:bidi="ar-SA"/>
        </w:rPr>
        <w:t>12.91</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highlight w:val="none"/>
          <w:lang w:val="en-US" w:eastAsia="zh-CN" w:bidi="ar-SA"/>
        </w:rPr>
        <w:t>年初预算中预留的工资性支出和预留的其他社保费没有动用</w:t>
      </w:r>
      <w:r>
        <w:rPr>
          <w:rFonts w:hint="default" w:ascii="Times New Roman" w:hAnsi="Times New Roman" w:eastAsia="仿宋_GB2312" w:cs="Times New Roman"/>
          <w:color w:val="auto"/>
          <w:kern w:val="2"/>
          <w:sz w:val="32"/>
          <w:szCs w:val="32"/>
          <w:lang w:val="zh-CN" w:eastAsia="zh-CN" w:bidi="ar-SA"/>
        </w:rPr>
        <w:t>；本年支出111.37万元，完成年初预算的89.62%，比年初预算减少</w:t>
      </w:r>
      <w:r>
        <w:rPr>
          <w:rFonts w:hint="eastAsia" w:ascii="Times New Roman" w:hAnsi="Times New Roman" w:eastAsia="仿宋_GB2312" w:cs="Times New Roman"/>
          <w:color w:val="auto"/>
          <w:kern w:val="2"/>
          <w:sz w:val="32"/>
          <w:szCs w:val="32"/>
          <w:lang w:val="en-US" w:eastAsia="zh-CN" w:bidi="ar-SA"/>
        </w:rPr>
        <w:t>12.91</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highlight w:val="none"/>
          <w:lang w:val="en-US" w:eastAsia="zh-CN" w:bidi="ar-SA"/>
        </w:rPr>
        <w:t>年初预算中预留的工资性支出和预留的其他社保费没有动用</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收入111.37万元，完成年初预算的 89.62%，</w:t>
      </w:r>
      <w:r>
        <w:rPr>
          <w:rFonts w:hint="default" w:ascii="Times New Roman" w:hAnsi="Times New Roman" w:eastAsia="仿宋_GB2312" w:cs="Times New Roman"/>
          <w:color w:val="auto"/>
          <w:kern w:val="2"/>
          <w:sz w:val="32"/>
          <w:szCs w:val="32"/>
          <w:lang w:val="zh-CN" w:eastAsia="zh-CN" w:bidi="ar-SA"/>
        </w:rPr>
        <w:t>比年初预算减少</w:t>
      </w:r>
      <w:r>
        <w:rPr>
          <w:rFonts w:hint="eastAsia" w:ascii="Times New Roman" w:hAnsi="Times New Roman" w:eastAsia="仿宋_GB2312" w:cs="Times New Roman"/>
          <w:color w:val="auto"/>
          <w:kern w:val="2"/>
          <w:sz w:val="32"/>
          <w:szCs w:val="32"/>
          <w:lang w:val="en-US" w:eastAsia="zh-CN" w:bidi="ar-SA"/>
        </w:rPr>
        <w:t>12.91</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highlight w:val="none"/>
          <w:lang w:val="en-US" w:eastAsia="zh-CN" w:bidi="ar-SA"/>
        </w:rPr>
        <w:t>年初预算中预留的工资性支出和预留的其他社保费没有动用</w:t>
      </w:r>
      <w:r>
        <w:rPr>
          <w:rFonts w:hint="default" w:ascii="Times New Roman" w:hAnsi="Times New Roman" w:eastAsia="仿宋_GB2312" w:cs="Times New Roman"/>
          <w:kern w:val="2"/>
          <w:sz w:val="32"/>
          <w:szCs w:val="32"/>
          <w:lang w:val="zh-CN"/>
        </w:rPr>
        <w:t>；本年支出111.37万元，完成年初预算的89.62%，</w:t>
      </w:r>
      <w:r>
        <w:rPr>
          <w:rFonts w:hint="default" w:ascii="Times New Roman" w:hAnsi="Times New Roman" w:eastAsia="仿宋_GB2312" w:cs="Times New Roman"/>
          <w:color w:val="auto"/>
          <w:kern w:val="2"/>
          <w:sz w:val="32"/>
          <w:szCs w:val="32"/>
          <w:lang w:val="zh-CN" w:eastAsia="zh-CN" w:bidi="ar-SA"/>
        </w:rPr>
        <w:t>比年初预算减少</w:t>
      </w:r>
      <w:r>
        <w:rPr>
          <w:rFonts w:hint="eastAsia" w:ascii="Times New Roman" w:hAnsi="Times New Roman" w:eastAsia="仿宋_GB2312" w:cs="Times New Roman"/>
          <w:color w:val="auto"/>
          <w:kern w:val="2"/>
          <w:sz w:val="32"/>
          <w:szCs w:val="32"/>
          <w:lang w:val="en-US" w:eastAsia="zh-CN" w:bidi="ar-SA"/>
        </w:rPr>
        <w:t>12.91</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highlight w:val="none"/>
          <w:lang w:val="en-US" w:eastAsia="zh-CN" w:bidi="ar-SA"/>
        </w:rPr>
        <w:t>年初预算中预留的工资性支出和预留的其他社保费没有动用</w:t>
      </w:r>
      <w:r>
        <w:rPr>
          <w:rFonts w:hint="default" w:ascii="Times New Roman" w:hAnsi="Times New Roman" w:eastAsia="仿宋_GB2312" w:cs="Times New Roman"/>
          <w:kern w:val="2"/>
          <w:sz w:val="32"/>
          <w:szCs w:val="32"/>
          <w:lang w:val="zh-CN"/>
        </w:rPr>
        <w:t>。</w:t>
      </w:r>
    </w:p>
    <w:p>
      <w:pPr>
        <w:pageBreakBefore w:val="0"/>
        <w:kinsoku/>
        <w:wordWrap/>
        <w:overflowPunct/>
        <w:topLinePunct w:val="0"/>
        <w:autoSpaceDE w:val="0"/>
        <w:autoSpaceDN w:val="0"/>
        <w:bidi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2.政府性基金预算财政拨款本年收入完成年初预算0%，比年初预算增加0万元；支出完成年初预算0%，比年初预算增加0万元。</w:t>
      </w:r>
    </w:p>
    <w:p>
      <w:pPr>
        <w:pageBreakBefore w:val="0"/>
        <w:kinsoku/>
        <w:wordWrap/>
        <w:overflowPunct/>
        <w:topLinePunct w:val="0"/>
        <w:autoSpaceDE w:val="0"/>
        <w:autoSpaceDN w:val="0"/>
        <w:bidi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3.国有资本经营预算财政拨款本年收入完成年初预算0%,比年初预算增加0万元；支出完成年初预算0%，比年初预算增加0万元。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年度财政拨款支出111.37万元，主要用于以下方面：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firstLine="720" w:firstLineChars="225"/>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一般公共服务（类）支出94.78万元，占85.1%；社会保障和就业 （类）支出1.46万元，占1.31%；卫生健康（类）支出8.36万元，占7.51%；住房保障（类）支出6.77万元，占6.08%。</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年度财政拨款基本支出95.89万元，其中：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人员经费87.41万元，主要包括基本工资、津贴补贴、奖金、绩效工资、机关事业部门基本养老保险缴费、职业年金缴费、职工基本医疗保险缴费、住房公积金</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其他社会保障缴费、 退休费。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公用经费8.49万元，主要包括办公费、邮电费、福利费、公务用车运行维护费、其他交通费用</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年度“三公”经费财政拨款支出预算为2万元，支出决算为 1.48万元，完成预算的 74.14%，较预算减少</w:t>
      </w:r>
      <w:r>
        <w:rPr>
          <w:rFonts w:hint="eastAsia" w:ascii="Times New Roman" w:hAnsi="Times New Roman" w:eastAsia="仿宋_GB2312" w:cs="Times New Roman"/>
          <w:color w:val="auto"/>
          <w:kern w:val="2"/>
          <w:sz w:val="32"/>
          <w:szCs w:val="32"/>
          <w:lang w:val="en-US" w:eastAsia="zh-CN" w:bidi="ar-SA"/>
        </w:rPr>
        <w:t>0.52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highlight w:val="none"/>
          <w:lang w:val="zh-CN" w:eastAsia="zh-CN" w:bidi="ar-SA"/>
        </w:rPr>
        <w:t>%，主要是</w:t>
      </w:r>
      <w:r>
        <w:rPr>
          <w:rFonts w:hint="eastAsia" w:ascii="Times New Roman" w:hAnsi="Times New Roman" w:eastAsia="仿宋_GB2312" w:cs="Times New Roman"/>
          <w:color w:val="auto"/>
          <w:kern w:val="2"/>
          <w:sz w:val="32"/>
          <w:szCs w:val="32"/>
          <w:highlight w:val="none"/>
          <w:lang w:val="en-US" w:eastAsia="zh-CN" w:bidi="ar-SA"/>
        </w:rPr>
        <w:t>压缩公车开支</w:t>
      </w:r>
      <w:r>
        <w:rPr>
          <w:rFonts w:hint="default" w:ascii="Times New Roman" w:hAnsi="Times New Roman" w:eastAsia="仿宋_GB2312" w:cs="Times New Roman"/>
          <w:color w:val="auto"/>
          <w:kern w:val="2"/>
          <w:sz w:val="32"/>
          <w:szCs w:val="32"/>
          <w:highlight w:val="none"/>
          <w:lang w:val="zh-CN" w:eastAsia="zh-CN" w:bidi="ar-SA"/>
        </w:rPr>
        <w:t>；较2022年度决算增加</w:t>
      </w:r>
      <w:r>
        <w:rPr>
          <w:rFonts w:hint="eastAsia" w:ascii="Times New Roman" w:hAnsi="Times New Roman" w:eastAsia="仿宋_GB2312" w:cs="Times New Roman"/>
          <w:color w:val="auto"/>
          <w:kern w:val="2"/>
          <w:sz w:val="32"/>
          <w:szCs w:val="32"/>
          <w:highlight w:val="none"/>
          <w:lang w:val="en-US" w:eastAsia="zh-CN" w:bidi="ar-SA"/>
        </w:rPr>
        <w:t>0.92</w:t>
      </w:r>
      <w:r>
        <w:rPr>
          <w:rFonts w:hint="default" w:ascii="Times New Roman" w:hAnsi="Times New Roman" w:eastAsia="仿宋_GB2312" w:cs="Times New Roman"/>
          <w:color w:val="auto"/>
          <w:kern w:val="2"/>
          <w:sz w:val="32"/>
          <w:szCs w:val="32"/>
          <w:highlight w:val="none"/>
          <w:lang w:val="zh-CN" w:eastAsia="zh-CN" w:bidi="ar-SA"/>
        </w:rPr>
        <w:t>万元，增长</w:t>
      </w:r>
      <w:r>
        <w:rPr>
          <w:rFonts w:hint="eastAsia" w:ascii="Times New Roman" w:hAnsi="Times New Roman" w:eastAsia="仿宋_GB2312" w:cs="Times New Roman"/>
          <w:color w:val="auto"/>
          <w:kern w:val="2"/>
          <w:sz w:val="32"/>
          <w:szCs w:val="32"/>
          <w:highlight w:val="none"/>
          <w:lang w:val="en-US" w:eastAsia="zh-CN" w:bidi="ar-SA"/>
        </w:rPr>
        <w:t>164.3</w:t>
      </w:r>
      <w:r>
        <w:rPr>
          <w:rFonts w:hint="default" w:ascii="Times New Roman" w:hAnsi="Times New Roman" w:eastAsia="仿宋_GB2312" w:cs="Times New Roman"/>
          <w:color w:val="auto"/>
          <w:kern w:val="2"/>
          <w:sz w:val="32"/>
          <w:szCs w:val="32"/>
          <w:highlight w:val="none"/>
          <w:lang w:val="zh-CN" w:eastAsia="zh-CN" w:bidi="ar-SA"/>
        </w:rPr>
        <w:t>%，主要是</w:t>
      </w:r>
      <w:r>
        <w:rPr>
          <w:rFonts w:hint="eastAsia" w:ascii="Times New Roman" w:hAnsi="Times New Roman" w:eastAsia="仿宋_GB2312" w:cs="Times New Roman"/>
          <w:color w:val="auto"/>
          <w:kern w:val="2"/>
          <w:sz w:val="32"/>
          <w:szCs w:val="32"/>
          <w:highlight w:val="none"/>
          <w:lang w:val="en-US" w:eastAsia="zh-CN" w:bidi="ar-SA"/>
        </w:rPr>
        <w:t>今年下基层较多</w:t>
      </w:r>
      <w:r>
        <w:rPr>
          <w:rFonts w:hint="default" w:ascii="Times New Roman" w:hAnsi="Times New Roman" w:eastAsia="仿宋_GB2312" w:cs="Times New Roman"/>
          <w:color w:val="auto"/>
          <w:kern w:val="2"/>
          <w:sz w:val="32"/>
          <w:szCs w:val="32"/>
          <w:highlight w:val="none"/>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highlight w:val="none"/>
          <w:lang w:eastAsia="zh-CN"/>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highlight w:val="none"/>
          <w:lang w:eastAsia="zh-CN"/>
        </w:rPr>
        <w:t>本部门202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年度因公出国（境）费支出预算为0万元，支出决算0万元，完成预算的0%。因公出国（境）费支出较预算增加0万元，增长0%；较上年增加0万元，增长0%。无本单位组织的出国（境）团组。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年度公务用车购置及运行维护费预算为2万元，支出决算 1.48万元，完成预算的74.14%</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0.52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压缩公车开支</w:t>
      </w:r>
      <w:r>
        <w:rPr>
          <w:rFonts w:hint="default" w:ascii="Times New Roman" w:hAnsi="Times New Roman" w:eastAsia="仿宋_GB2312" w:cs="Times New Roman"/>
          <w:color w:val="auto"/>
          <w:kern w:val="2"/>
          <w:sz w:val="32"/>
          <w:szCs w:val="32"/>
          <w:lang w:val="zh-CN" w:eastAsia="zh-CN" w:bidi="ar-SA"/>
        </w:rPr>
        <w:t>；较</w:t>
      </w:r>
      <w:r>
        <w:rPr>
          <w:rFonts w:hint="eastAsia" w:ascii="Times New Roman" w:hAnsi="Times New Roman" w:eastAsia="仿宋_GB2312" w:cs="Times New Roman"/>
          <w:color w:val="auto"/>
          <w:kern w:val="2"/>
          <w:sz w:val="32"/>
          <w:szCs w:val="32"/>
          <w:lang w:val="en-US" w:eastAsia="zh-CN" w:bidi="ar-SA"/>
        </w:rPr>
        <w:t>上</w:t>
      </w:r>
      <w:r>
        <w:rPr>
          <w:rFonts w:hint="default" w:ascii="Times New Roman" w:hAnsi="Times New Roman" w:eastAsia="仿宋_GB2312" w:cs="Times New Roman"/>
          <w:color w:val="auto"/>
          <w:kern w:val="2"/>
          <w:sz w:val="32"/>
          <w:szCs w:val="32"/>
          <w:lang w:val="zh-CN" w:eastAsia="zh-CN" w:bidi="ar-SA"/>
        </w:rPr>
        <w:t>年决算增加</w:t>
      </w:r>
      <w:r>
        <w:rPr>
          <w:rFonts w:hint="eastAsia" w:ascii="Times New Roman" w:hAnsi="Times New Roman" w:eastAsia="仿宋_GB2312" w:cs="Times New Roman"/>
          <w:color w:val="auto"/>
          <w:kern w:val="2"/>
          <w:sz w:val="32"/>
          <w:szCs w:val="32"/>
          <w:lang w:val="en-US" w:eastAsia="zh-CN" w:bidi="ar-SA"/>
        </w:rPr>
        <w:t>0.92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164.3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今年下基层较多</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highlight w:val="none"/>
          <w:lang w:eastAsia="zh-CN"/>
        </w:rPr>
        <w:t>本部门202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年度公务用车购置量0辆，发生“公务用车购置”经费支出0万元。公务用车购置费支出较预算增加0万元，增长0%</w:t>
      </w:r>
      <w:r>
        <w:rPr>
          <w:rFonts w:hint="eastAsia"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eastAsia="zh-CN"/>
        </w:rPr>
        <w:t>主要是本部门本年度无公务用车购置经费支出。较上年增加0万元，增长0%。</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1.48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年度单位公务用车保有量1辆，发生运行维护费支出1.48万元。公车运行维护费支出较预算减少</w:t>
      </w:r>
      <w:r>
        <w:rPr>
          <w:rFonts w:hint="eastAsia" w:ascii="Times New Roman" w:hAnsi="Times New Roman" w:eastAsia="仿宋_GB2312" w:cs="Times New Roman"/>
          <w:color w:val="auto"/>
          <w:kern w:val="2"/>
          <w:sz w:val="32"/>
          <w:szCs w:val="32"/>
          <w:lang w:val="en-US" w:eastAsia="zh-CN" w:bidi="ar-SA"/>
        </w:rPr>
        <w:t>0.52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压缩公车开支</w:t>
      </w:r>
      <w:r>
        <w:rPr>
          <w:rFonts w:hint="default" w:ascii="Times New Roman" w:hAnsi="Times New Roman" w:eastAsia="仿宋_GB2312" w:cs="Times New Roman"/>
          <w:color w:val="auto"/>
          <w:kern w:val="2"/>
          <w:sz w:val="32"/>
          <w:szCs w:val="32"/>
          <w:lang w:val="zh-CN" w:eastAsia="zh-CN" w:bidi="ar-SA"/>
        </w:rPr>
        <w:t>；较</w:t>
      </w:r>
      <w:r>
        <w:rPr>
          <w:rFonts w:hint="eastAsia" w:ascii="Times New Roman" w:hAnsi="Times New Roman" w:eastAsia="仿宋_GB2312" w:cs="Times New Roman"/>
          <w:color w:val="auto"/>
          <w:kern w:val="2"/>
          <w:sz w:val="32"/>
          <w:szCs w:val="32"/>
          <w:lang w:val="en-US" w:eastAsia="zh-CN" w:bidi="ar-SA"/>
        </w:rPr>
        <w:t>上</w:t>
      </w:r>
      <w:r>
        <w:rPr>
          <w:rFonts w:hint="default" w:ascii="Times New Roman" w:hAnsi="Times New Roman" w:eastAsia="仿宋_GB2312" w:cs="Times New Roman"/>
          <w:color w:val="auto"/>
          <w:kern w:val="2"/>
          <w:sz w:val="32"/>
          <w:szCs w:val="32"/>
          <w:lang w:val="zh-CN" w:eastAsia="zh-CN" w:bidi="ar-SA"/>
        </w:rPr>
        <w:t>年决算增加</w:t>
      </w:r>
      <w:r>
        <w:rPr>
          <w:rFonts w:hint="eastAsia" w:ascii="Times New Roman" w:hAnsi="Times New Roman" w:eastAsia="仿宋_GB2312" w:cs="Times New Roman"/>
          <w:color w:val="auto"/>
          <w:kern w:val="2"/>
          <w:sz w:val="32"/>
          <w:szCs w:val="32"/>
          <w:lang w:val="en-US" w:eastAsia="zh-CN" w:bidi="ar-SA"/>
        </w:rPr>
        <w:t>0.92</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highlight w:val="none"/>
          <w:lang w:val="zh-CN" w:eastAsia="zh-CN" w:bidi="ar-SA"/>
        </w:rPr>
        <w:t>，增长</w:t>
      </w:r>
      <w:r>
        <w:rPr>
          <w:rFonts w:hint="eastAsia" w:ascii="Times New Roman" w:hAnsi="Times New Roman" w:eastAsia="仿宋_GB2312" w:cs="Times New Roman"/>
          <w:color w:val="auto"/>
          <w:kern w:val="2"/>
          <w:sz w:val="32"/>
          <w:szCs w:val="32"/>
          <w:highlight w:val="none"/>
          <w:lang w:val="en-US" w:eastAsia="zh-CN" w:bidi="ar-SA"/>
        </w:rPr>
        <w:t>164.3</w:t>
      </w:r>
      <w:r>
        <w:rPr>
          <w:rFonts w:hint="default" w:ascii="Times New Roman" w:hAnsi="Times New Roman" w:eastAsia="仿宋_GB2312" w:cs="Times New Roman"/>
          <w:color w:val="auto"/>
          <w:kern w:val="2"/>
          <w:sz w:val="32"/>
          <w:szCs w:val="32"/>
          <w:highlight w:val="none"/>
          <w:lang w:val="zh-CN" w:eastAsia="zh-CN" w:bidi="ar-SA"/>
        </w:rPr>
        <w:t>%，主要是</w:t>
      </w:r>
      <w:r>
        <w:rPr>
          <w:rFonts w:hint="eastAsia" w:ascii="Times New Roman" w:hAnsi="Times New Roman" w:eastAsia="仿宋_GB2312" w:cs="Times New Roman"/>
          <w:color w:val="auto"/>
          <w:kern w:val="2"/>
          <w:sz w:val="32"/>
          <w:szCs w:val="32"/>
          <w:highlight w:val="none"/>
          <w:lang w:val="en-US" w:eastAsia="zh-CN" w:bidi="ar-SA"/>
        </w:rPr>
        <w:t>今年下基层较多。</w:t>
      </w:r>
    </w:p>
    <w:p>
      <w:pPr>
        <w:adjustRightInd w:val="0"/>
        <w:snapToGrid w:val="0"/>
        <w:spacing w:line="580" w:lineRule="exact"/>
        <w:ind w:firstLine="643"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highlight w:val="none"/>
          <w:lang w:eastAsia="zh-CN"/>
        </w:rPr>
        <w:t>本部门202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年度公务接待费支出预算为0万元，支出决算0万元，完成预算的0%。本部门202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年度未发生公务接待费支出。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年度机关运行经费支出8.49万元，较2022年度增加</w:t>
      </w:r>
      <w:r>
        <w:rPr>
          <w:rFonts w:hint="eastAsia" w:ascii="Times New Roman" w:hAnsi="Times New Roman" w:eastAsia="仿宋_GB2312" w:cs="Times New Roman"/>
          <w:color w:val="auto"/>
          <w:kern w:val="2"/>
          <w:sz w:val="32"/>
          <w:szCs w:val="32"/>
          <w:lang w:val="en-US" w:eastAsia="zh-CN" w:bidi="ar-SA"/>
        </w:rPr>
        <w:t>1.33</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18.6</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主要原因是</w:t>
      </w:r>
      <w:r>
        <w:rPr>
          <w:rFonts w:hint="eastAsia" w:ascii="Times New Roman" w:hAnsi="Times New Roman" w:eastAsia="仿宋_GB2312" w:cs="Times New Roman"/>
          <w:color w:val="auto"/>
          <w:kern w:val="2"/>
          <w:sz w:val="32"/>
          <w:szCs w:val="32"/>
          <w:highlight w:val="none"/>
          <w:lang w:val="en-US" w:eastAsia="zh-CN" w:bidi="ar-SA"/>
        </w:rPr>
        <w:t>今年下基层较多</w:t>
      </w:r>
      <w:r>
        <w:rPr>
          <w:rFonts w:hint="default" w:ascii="Times New Roman" w:hAnsi="Times New Roman" w:eastAsia="仿宋_GB2312" w:cs="Times New Roman"/>
          <w:color w:val="auto"/>
          <w:kern w:val="2"/>
          <w:sz w:val="32"/>
          <w:szCs w:val="32"/>
          <w:highlight w:val="none"/>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default" w:ascii="Times New Roman" w:hAnsi="Times New Roman" w:eastAsia="仿宋_GB2312" w:cs="Times New Roman"/>
          <w:color w:val="auto"/>
          <w:kern w:val="2"/>
          <w:sz w:val="32"/>
          <w:szCs w:val="32"/>
          <w:highlight w:val="none"/>
          <w:lang w:val="en-US" w:eastAsia="zh-CN" w:bidi="ar-SA"/>
        </w:rPr>
        <w:t>本部门共有</w:t>
      </w:r>
      <w:r>
        <w:rPr>
          <w:rFonts w:hint="eastAsia" w:ascii="Times New Roman" w:hAnsi="Times New Roman" w:eastAsia="仿宋_GB2312" w:cs="Times New Roman"/>
          <w:color w:val="auto"/>
          <w:kern w:val="2"/>
          <w:sz w:val="32"/>
          <w:szCs w:val="32"/>
          <w:highlight w:val="none"/>
          <w:lang w:val="en-US" w:eastAsia="zh-CN" w:bidi="ar-SA"/>
        </w:rPr>
        <w:t>公车</w:t>
      </w:r>
      <w:r>
        <w:rPr>
          <w:rFonts w:hint="default" w:ascii="Times New Roman" w:hAnsi="Times New Roman" w:eastAsia="仿宋_GB2312" w:cs="Times New Roman"/>
          <w:color w:val="auto"/>
          <w:kern w:val="2"/>
          <w:sz w:val="32"/>
          <w:szCs w:val="32"/>
          <w:highlight w:val="none"/>
          <w:lang w:val="en-US" w:eastAsia="zh-CN" w:bidi="ar-SA"/>
        </w:rPr>
        <w:t>1辆</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与上年持平</w:t>
      </w:r>
      <w:r>
        <w:rPr>
          <w:rFonts w:hint="default" w:ascii="Times New Roman" w:hAnsi="Times New Roman" w:eastAsia="仿宋_GB2312" w:cs="Times New Roman"/>
          <w:color w:val="auto"/>
          <w:kern w:val="2"/>
          <w:sz w:val="32"/>
          <w:szCs w:val="32"/>
          <w:lang w:val="zh-CN" w:eastAsia="zh-CN" w:bidi="ar-SA"/>
        </w:rPr>
        <w:t>。其中，副部（省）级及以上领导用车本单位共有车辆</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用车0辆，机要通信用车0辆，应急保障用车1辆，执法执勤用车0辆，特种专业技术用车0辆，离退休干部用车0辆，其他用车0辆。单位价值100万元（含）以上设备（不含车辆）0台（套）。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15.48</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highlight w:val="none"/>
          <w:lang w:eastAsia="zh-CN"/>
        </w:rPr>
        <w:t>组织对202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年度0个政府性基金预算项目支出开展绩效自评，共涉及资金0万元，占政府性基金预算项目支出总额的0%。组织对202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年度0个国有资本经营预算项目支出开展绩效自评，共涉及资金0万元，占国有资本经营预算项目支出总额的0%。</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基层美丽庭院重点村创建</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省级妇女之家建设</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15.48</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highlight w:val="none"/>
          <w:lang w:val="zh-CN" w:eastAsia="zh-CN" w:bidi="ar-SA"/>
        </w:rPr>
        <w:t>本单位在今年部门决算公开中反映</w:t>
      </w:r>
      <w:r>
        <w:rPr>
          <w:rFonts w:hint="eastAsia"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en-US" w:eastAsia="zh-CN" w:bidi="ar-SA"/>
        </w:rPr>
        <w:t>基层美丽庭院重点村创建</w:t>
      </w:r>
      <w:r>
        <w:rPr>
          <w:rFonts w:hint="eastAsia" w:ascii="Times New Roman" w:hAnsi="Times New Roman" w:eastAsia="仿宋_GB2312" w:cs="Times New Roman"/>
          <w:color w:val="auto"/>
          <w:kern w:val="2"/>
          <w:sz w:val="32"/>
          <w:szCs w:val="32"/>
          <w:highlight w:val="none"/>
          <w:lang w:val="zh-CN" w:eastAsia="zh-CN" w:bidi="ar-SA"/>
        </w:rPr>
        <w:t>”和“</w:t>
      </w:r>
      <w:r>
        <w:rPr>
          <w:rFonts w:hint="eastAsia" w:ascii="Times New Roman" w:hAnsi="Times New Roman" w:eastAsia="仿宋_GB2312" w:cs="Times New Roman"/>
          <w:color w:val="auto"/>
          <w:kern w:val="2"/>
          <w:sz w:val="32"/>
          <w:szCs w:val="32"/>
          <w:highlight w:val="none"/>
          <w:lang w:val="en-US" w:eastAsia="zh-CN" w:bidi="ar-SA"/>
        </w:rPr>
        <w:t>省级妇女之家建设</w:t>
      </w:r>
      <w:r>
        <w:rPr>
          <w:rFonts w:hint="eastAsia"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en-US" w:eastAsia="zh-CN" w:bidi="ar-SA"/>
        </w:rPr>
        <w:t>2个项目</w:t>
      </w:r>
      <w:r>
        <w:rPr>
          <w:rFonts w:hint="default" w:ascii="Times New Roman" w:hAnsi="Times New Roman" w:eastAsia="仿宋_GB2312" w:cs="Times New Roman"/>
          <w:color w:val="auto"/>
          <w:kern w:val="2"/>
          <w:sz w:val="32"/>
          <w:szCs w:val="32"/>
          <w:highlight w:val="none"/>
          <w:lang w:val="zh-CN" w:eastAsia="zh-CN" w:bidi="ar-SA"/>
        </w:rPr>
        <w:t>绩效自评结果。</w:t>
      </w:r>
    </w:p>
    <w:p>
      <w:pPr>
        <w:pStyle w:val="26"/>
        <w:keepNext w:val="0"/>
        <w:keepLines w:val="0"/>
        <w:pageBreakBefore w:val="0"/>
        <w:numPr>
          <w:ilvl w:val="0"/>
          <w:numId w:val="0"/>
        </w:numPr>
        <w:kinsoku/>
        <w:wordWrap/>
        <w:overflowPunct/>
        <w:topLinePunct w:val="0"/>
        <w:autoSpaceDE/>
        <w:autoSpaceDN/>
        <w:bidi w:val="0"/>
        <w:spacing w:line="570" w:lineRule="exact"/>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“基层美丽庭院重点村创建”</w:t>
      </w:r>
      <w:r>
        <w:rPr>
          <w:rFonts w:hint="default" w:ascii="Times New Roman" w:hAnsi="Times New Roman" w:eastAsia="仿宋_GB2312" w:cs="Times New Roman"/>
          <w:color w:val="auto"/>
          <w:kern w:val="2"/>
          <w:sz w:val="32"/>
          <w:szCs w:val="32"/>
          <w:highlight w:val="none"/>
          <w:lang w:val="zh-CN" w:eastAsia="zh-CN" w:bidi="ar-SA"/>
        </w:rPr>
        <w:t>项目绩效自评情况：根据年初设定的绩效目标，</w:t>
      </w:r>
      <w:r>
        <w:rPr>
          <w:rFonts w:hint="eastAsia" w:ascii="Times New Roman" w:hAnsi="Times New Roman" w:eastAsia="仿宋_GB2312" w:cs="Times New Roman"/>
          <w:color w:val="auto"/>
          <w:kern w:val="2"/>
          <w:sz w:val="32"/>
          <w:szCs w:val="32"/>
          <w:highlight w:val="none"/>
          <w:lang w:val="en-US" w:eastAsia="zh-CN" w:bidi="ar-SA"/>
        </w:rPr>
        <w:t>基层美丽庭院重点村创建</w:t>
      </w:r>
      <w:r>
        <w:rPr>
          <w:rFonts w:hint="default" w:ascii="Times New Roman" w:hAnsi="Times New Roman" w:eastAsia="仿宋_GB2312" w:cs="Times New Roman"/>
          <w:color w:val="auto"/>
          <w:kern w:val="2"/>
          <w:sz w:val="32"/>
          <w:szCs w:val="32"/>
          <w:highlight w:val="none"/>
          <w:lang w:val="zh-CN" w:eastAsia="zh-CN" w:bidi="ar-SA"/>
        </w:rPr>
        <w:t>项目绩效自评得分为</w:t>
      </w:r>
      <w:r>
        <w:rPr>
          <w:rFonts w:hint="eastAsia" w:ascii="Times New Roman" w:hAnsi="Times New Roman" w:eastAsia="仿宋_GB2312" w:cs="Times New Roman"/>
          <w:color w:val="auto"/>
          <w:kern w:val="2"/>
          <w:sz w:val="32"/>
          <w:szCs w:val="32"/>
          <w:highlight w:val="none"/>
          <w:lang w:val="en-US" w:eastAsia="zh-CN" w:bidi="ar-SA"/>
        </w:rPr>
        <w:t>100</w:t>
      </w:r>
      <w:r>
        <w:rPr>
          <w:rFonts w:hint="default" w:ascii="Times New Roman" w:hAnsi="Times New Roman" w:eastAsia="仿宋_GB2312" w:cs="Times New Roman"/>
          <w:color w:val="auto"/>
          <w:kern w:val="2"/>
          <w:sz w:val="32"/>
          <w:szCs w:val="32"/>
          <w:highlight w:val="none"/>
          <w:lang w:val="zh-CN" w:eastAsia="zh-CN" w:bidi="ar-SA"/>
        </w:rPr>
        <w:t>分（绩效自评表附后）。全年预算数为</w:t>
      </w:r>
      <w:r>
        <w:rPr>
          <w:rFonts w:hint="eastAsia" w:ascii="Times New Roman" w:hAnsi="Times New Roman" w:eastAsia="仿宋_GB2312" w:cs="Times New Roman"/>
          <w:color w:val="auto"/>
          <w:kern w:val="2"/>
          <w:sz w:val="32"/>
          <w:szCs w:val="32"/>
          <w:highlight w:val="none"/>
          <w:lang w:val="en-US" w:eastAsia="zh-CN" w:bidi="ar-SA"/>
        </w:rPr>
        <w:t>7</w:t>
      </w:r>
      <w:r>
        <w:rPr>
          <w:rFonts w:hint="default" w:ascii="Times New Roman" w:hAnsi="Times New Roman" w:eastAsia="仿宋_GB2312" w:cs="Times New Roman"/>
          <w:color w:val="auto"/>
          <w:kern w:val="2"/>
          <w:sz w:val="32"/>
          <w:szCs w:val="32"/>
          <w:highlight w:val="none"/>
          <w:lang w:val="zh-CN" w:eastAsia="zh-CN" w:bidi="ar-SA"/>
        </w:rPr>
        <w:t>万元，</w:t>
      </w:r>
      <w:r>
        <w:rPr>
          <w:rFonts w:hint="eastAsia" w:ascii="Times New Roman" w:hAnsi="Times New Roman" w:eastAsia="仿宋_GB2312" w:cs="Times New Roman"/>
          <w:color w:val="auto"/>
          <w:kern w:val="2"/>
          <w:sz w:val="32"/>
          <w:szCs w:val="32"/>
          <w:highlight w:val="none"/>
          <w:lang w:val="zh-CN" w:eastAsia="zh-CN" w:bidi="ar-SA"/>
        </w:rPr>
        <w:t>其中市级资金一笔</w:t>
      </w:r>
      <w:r>
        <w:rPr>
          <w:rFonts w:hint="eastAsia" w:ascii="Times New Roman" w:hAnsi="Times New Roman" w:eastAsia="仿宋_GB2312" w:cs="Times New Roman"/>
          <w:color w:val="auto"/>
          <w:kern w:val="2"/>
          <w:sz w:val="32"/>
          <w:szCs w:val="32"/>
          <w:highlight w:val="none"/>
          <w:lang w:val="en-US" w:eastAsia="zh-CN" w:bidi="ar-SA"/>
        </w:rPr>
        <w:t>3万元、一笔2万元，区级资金2万元。</w:t>
      </w:r>
      <w:r>
        <w:rPr>
          <w:rFonts w:hint="default" w:ascii="Times New Roman" w:hAnsi="Times New Roman" w:eastAsia="仿宋_GB2312" w:cs="Times New Roman"/>
          <w:color w:val="auto"/>
          <w:kern w:val="2"/>
          <w:sz w:val="32"/>
          <w:szCs w:val="32"/>
          <w:highlight w:val="none"/>
          <w:lang w:val="zh-CN" w:eastAsia="zh-CN" w:bidi="ar-SA"/>
        </w:rPr>
        <w:t>执行数为</w:t>
      </w:r>
      <w:r>
        <w:rPr>
          <w:rFonts w:hint="eastAsia" w:ascii="Times New Roman" w:hAnsi="Times New Roman" w:eastAsia="仿宋_GB2312" w:cs="Times New Roman"/>
          <w:color w:val="auto"/>
          <w:kern w:val="2"/>
          <w:sz w:val="32"/>
          <w:szCs w:val="32"/>
          <w:highlight w:val="none"/>
          <w:lang w:val="en-US" w:eastAsia="zh-CN" w:bidi="ar-SA"/>
        </w:rPr>
        <w:t>6.98</w:t>
      </w:r>
      <w:r>
        <w:rPr>
          <w:rFonts w:hint="default" w:ascii="Times New Roman" w:hAnsi="Times New Roman" w:eastAsia="仿宋_GB2312" w:cs="Times New Roman"/>
          <w:color w:val="auto"/>
          <w:kern w:val="2"/>
          <w:sz w:val="32"/>
          <w:szCs w:val="32"/>
          <w:highlight w:val="none"/>
          <w:lang w:val="zh-CN" w:eastAsia="zh-CN" w:bidi="ar-SA"/>
        </w:rPr>
        <w:t>万元，完成预算的</w:t>
      </w:r>
      <w:r>
        <w:rPr>
          <w:rFonts w:hint="eastAsia" w:ascii="Times New Roman" w:hAnsi="Times New Roman" w:eastAsia="仿宋_GB2312" w:cs="Times New Roman"/>
          <w:color w:val="auto"/>
          <w:kern w:val="2"/>
          <w:sz w:val="32"/>
          <w:szCs w:val="32"/>
          <w:highlight w:val="none"/>
          <w:lang w:val="en-US" w:eastAsia="zh-CN" w:bidi="ar-SA"/>
        </w:rPr>
        <w:t>99.7</w:t>
      </w:r>
      <w:r>
        <w:rPr>
          <w:rFonts w:hint="default" w:ascii="Times New Roman" w:hAnsi="Times New Roman" w:eastAsia="仿宋_GB2312" w:cs="Times New Roman"/>
          <w:color w:val="auto"/>
          <w:kern w:val="2"/>
          <w:sz w:val="32"/>
          <w:szCs w:val="32"/>
          <w:highlight w:val="none"/>
          <w:lang w:val="zh-CN" w:eastAsia="zh-CN" w:bidi="ar-SA"/>
        </w:rPr>
        <w:t>%。项目绩效目标完成情况：</w:t>
      </w:r>
      <w:r>
        <w:rPr>
          <w:rFonts w:hint="eastAsia" w:ascii="Times New Roman" w:hAnsi="Times New Roman" w:eastAsia="仿宋_GB2312" w:cs="Times New Roman"/>
          <w:color w:val="auto"/>
          <w:kern w:val="2"/>
          <w:sz w:val="32"/>
          <w:szCs w:val="32"/>
          <w:highlight w:val="none"/>
          <w:lang w:val="zh-CN" w:eastAsia="zh-CN" w:bidi="ar-SA"/>
        </w:rPr>
        <w:t>一是创建美丽庭院1174户。二是</w:t>
      </w:r>
      <w:r>
        <w:rPr>
          <w:rFonts w:hint="eastAsia" w:ascii="Times New Roman" w:hAnsi="Times New Roman" w:eastAsia="仿宋_GB2312" w:cs="Times New Roman"/>
          <w:color w:val="auto"/>
          <w:kern w:val="2"/>
          <w:sz w:val="32"/>
          <w:szCs w:val="32"/>
          <w:highlight w:val="none"/>
          <w:lang w:val="en-US" w:eastAsia="zh-CN" w:bidi="ar-SA"/>
        </w:rPr>
        <w:t>打造双桥镇鞠家岭村美丽庭院示范街。三是结合“这么近，那么美，周末到河北”主题宣传，</w:t>
      </w:r>
      <w:r>
        <w:rPr>
          <w:rFonts w:hint="eastAsia" w:ascii="Times New Roman" w:hAnsi="Times New Roman" w:eastAsia="仿宋_GB2312" w:cs="Times New Roman"/>
          <w:color w:val="auto"/>
          <w:kern w:val="2"/>
          <w:sz w:val="32"/>
          <w:szCs w:val="32"/>
          <w:highlight w:val="none"/>
          <w:lang w:val="en" w:eastAsia="zh-CN" w:bidi="ar-SA"/>
        </w:rPr>
        <w:t>挖掘培树</w:t>
      </w:r>
      <w:r>
        <w:rPr>
          <w:rFonts w:hint="eastAsia" w:ascii="Times New Roman" w:hAnsi="Times New Roman" w:eastAsia="仿宋_GB2312" w:cs="Times New Roman"/>
          <w:color w:val="auto"/>
          <w:kern w:val="2"/>
          <w:sz w:val="32"/>
          <w:szCs w:val="32"/>
          <w:highlight w:val="none"/>
          <w:lang w:val="en-US" w:eastAsia="zh-CN" w:bidi="ar-SA"/>
        </w:rPr>
        <w:t>我区</w:t>
      </w:r>
      <w:r>
        <w:rPr>
          <w:rFonts w:hint="eastAsia" w:ascii="Times New Roman" w:hAnsi="Times New Roman" w:eastAsia="仿宋_GB2312" w:cs="Times New Roman"/>
          <w:color w:val="auto"/>
          <w:kern w:val="2"/>
          <w:sz w:val="32"/>
          <w:szCs w:val="32"/>
          <w:highlight w:val="none"/>
          <w:lang w:val="en" w:eastAsia="zh-CN" w:bidi="ar-SA"/>
        </w:rPr>
        <w:t>美丽庭院精品线路</w:t>
      </w:r>
      <w:r>
        <w:rPr>
          <w:rFonts w:hint="eastAsia" w:ascii="Times New Roman" w:hAnsi="Times New Roman" w:eastAsia="仿宋_GB2312" w:cs="Times New Roman"/>
          <w:color w:val="auto"/>
          <w:kern w:val="2"/>
          <w:sz w:val="32"/>
          <w:szCs w:val="32"/>
          <w:highlight w:val="none"/>
          <w:lang w:val="en-US" w:eastAsia="zh-CN" w:bidi="ar-SA"/>
        </w:rPr>
        <w:t>2条。四是开展“美丽庭院”评比，发放宣传品，营造“家家争、户户比”的浓厚氛围。完成了年初设定的各项绩效目标，完成了年度总体目标，未发现问题。</w:t>
      </w:r>
    </w:p>
    <w:p>
      <w:pPr>
        <w:spacing w:before="100" w:line="228" w:lineRule="auto"/>
        <w:ind w:left="3658"/>
        <w:rPr>
          <w:rFonts w:ascii="仿宋" w:hAnsi="仿宋" w:eastAsia="仿宋" w:cs="仿宋"/>
          <w:sz w:val="31"/>
          <w:szCs w:val="31"/>
          <w:highlight w:val="none"/>
        </w:rPr>
      </w:pPr>
      <w:r>
        <w:rPr>
          <w:rFonts w:ascii="仿宋" w:hAnsi="仿宋" w:eastAsia="仿宋" w:cs="仿宋"/>
          <w:spacing w:val="4"/>
          <w:sz w:val="31"/>
          <w:szCs w:val="31"/>
          <w:highlight w:val="none"/>
        </w:rPr>
        <w:t>绩效自评表</w:t>
      </w:r>
    </w:p>
    <w:p>
      <w:pPr>
        <w:spacing w:before="146" w:line="220" w:lineRule="auto"/>
        <w:ind w:left="119"/>
        <w:rPr>
          <w:rFonts w:ascii="宋体" w:hAnsi="宋体" w:eastAsia="宋体" w:cs="宋体"/>
          <w:sz w:val="16"/>
          <w:szCs w:val="16"/>
          <w:highlight w:val="none"/>
        </w:rPr>
      </w:pPr>
      <w:r>
        <w:rPr>
          <w:rFonts w:ascii="宋体" w:hAnsi="宋体" w:eastAsia="宋体" w:cs="宋体"/>
          <w:sz w:val="16"/>
          <w:szCs w:val="16"/>
          <w:highlight w:val="none"/>
        </w:rPr>
        <w:t xml:space="preserve">填报单位：                                        </w:t>
      </w:r>
      <w:r>
        <w:rPr>
          <w:rFonts w:hint="eastAsia" w:ascii="宋体" w:hAnsi="宋体" w:eastAsia="宋体" w:cs="宋体"/>
          <w:sz w:val="16"/>
          <w:szCs w:val="16"/>
          <w:highlight w:val="none"/>
          <w:lang w:eastAsia="zh-CN"/>
        </w:rPr>
        <w:t>开平区妇女联合会</w:t>
      </w:r>
      <w:r>
        <w:rPr>
          <w:rFonts w:hint="eastAsia" w:ascii="宋体" w:hAnsi="宋体" w:eastAsia="宋体" w:cs="宋体"/>
          <w:sz w:val="16"/>
          <w:szCs w:val="16"/>
          <w:highlight w:val="none"/>
          <w:lang w:val="en-US" w:eastAsia="zh-CN"/>
        </w:rPr>
        <w:t xml:space="preserve"> </w:t>
      </w:r>
      <w:r>
        <w:rPr>
          <w:rFonts w:ascii="宋体" w:hAnsi="宋体" w:eastAsia="宋体" w:cs="宋体"/>
          <w:sz w:val="16"/>
          <w:szCs w:val="16"/>
          <w:highlight w:val="none"/>
        </w:rPr>
        <w:t xml:space="preserve">                               </w:t>
      </w:r>
      <w:r>
        <w:rPr>
          <w:rFonts w:ascii="宋体" w:hAnsi="宋体" w:eastAsia="宋体" w:cs="宋体"/>
          <w:spacing w:val="-1"/>
          <w:sz w:val="16"/>
          <w:szCs w:val="16"/>
          <w:highlight w:val="none"/>
        </w:rPr>
        <w:t xml:space="preserve">    金额单位：</w:t>
      </w:r>
      <w:r>
        <w:rPr>
          <w:rFonts w:hint="eastAsia" w:ascii="宋体" w:hAnsi="宋体" w:eastAsia="宋体" w:cs="宋体"/>
          <w:spacing w:val="-1"/>
          <w:sz w:val="16"/>
          <w:szCs w:val="16"/>
          <w:highlight w:val="none"/>
          <w:lang w:eastAsia="zh-CN"/>
        </w:rPr>
        <w:t>万</w:t>
      </w:r>
      <w:r>
        <w:rPr>
          <w:rFonts w:ascii="宋体" w:hAnsi="宋体" w:eastAsia="宋体" w:cs="宋体"/>
          <w:spacing w:val="-1"/>
          <w:sz w:val="16"/>
          <w:szCs w:val="16"/>
          <w:highlight w:val="none"/>
        </w:rPr>
        <w:t>元</w:t>
      </w:r>
    </w:p>
    <w:p>
      <w:pPr>
        <w:spacing w:line="106" w:lineRule="exact"/>
        <w:rPr>
          <w:highlight w:val="none"/>
        </w:rPr>
      </w:pPr>
    </w:p>
    <w:tbl>
      <w:tblPr>
        <w:tblStyle w:val="25"/>
        <w:tblW w:w="83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801"/>
        <w:gridCol w:w="849"/>
        <w:gridCol w:w="435"/>
        <w:gridCol w:w="765"/>
        <w:gridCol w:w="1230"/>
        <w:gridCol w:w="2138"/>
        <w:gridCol w:w="1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576" w:type="dxa"/>
            <w:vAlign w:val="top"/>
          </w:tcPr>
          <w:p>
            <w:pPr>
              <w:pStyle w:val="27"/>
              <w:spacing w:before="127" w:line="220" w:lineRule="auto"/>
              <w:ind w:left="115"/>
              <w:jc w:val="center"/>
              <w:rPr>
                <w:sz w:val="16"/>
                <w:szCs w:val="16"/>
                <w:highlight w:val="none"/>
              </w:rPr>
            </w:pPr>
            <w:r>
              <w:rPr>
                <w:spacing w:val="-2"/>
                <w:sz w:val="16"/>
                <w:szCs w:val="16"/>
                <w:highlight w:val="none"/>
              </w:rPr>
              <w:t>一、 基本情况</w:t>
            </w:r>
          </w:p>
        </w:tc>
        <w:tc>
          <w:tcPr>
            <w:tcW w:w="801" w:type="dxa"/>
            <w:vAlign w:val="top"/>
          </w:tcPr>
          <w:p>
            <w:pPr>
              <w:pStyle w:val="27"/>
              <w:spacing w:before="128" w:line="221" w:lineRule="auto"/>
              <w:jc w:val="both"/>
              <w:rPr>
                <w:sz w:val="16"/>
                <w:szCs w:val="16"/>
                <w:highlight w:val="none"/>
              </w:rPr>
            </w:pPr>
            <w:r>
              <w:rPr>
                <w:spacing w:val="-2"/>
                <w:sz w:val="16"/>
                <w:szCs w:val="16"/>
                <w:highlight w:val="none"/>
              </w:rPr>
              <w:t>项目名称</w:t>
            </w:r>
          </w:p>
        </w:tc>
        <w:tc>
          <w:tcPr>
            <w:tcW w:w="1284" w:type="dxa"/>
            <w:gridSpan w:val="2"/>
            <w:vAlign w:val="top"/>
          </w:tcPr>
          <w:p>
            <w:pPr>
              <w:pStyle w:val="27"/>
              <w:spacing w:before="127" w:line="220" w:lineRule="auto"/>
              <w:ind w:left="113"/>
              <w:jc w:val="center"/>
              <w:rPr>
                <w:sz w:val="16"/>
                <w:szCs w:val="16"/>
                <w:highlight w:val="none"/>
              </w:rPr>
            </w:pPr>
            <w:r>
              <w:rPr>
                <w:rFonts w:hint="eastAsia"/>
                <w:spacing w:val="-2"/>
                <w:sz w:val="16"/>
                <w:szCs w:val="16"/>
                <w:highlight w:val="none"/>
                <w:lang w:val="en-US" w:eastAsia="zh-CN"/>
              </w:rPr>
              <w:t>基层美丽庭院重点村创建</w:t>
            </w:r>
          </w:p>
        </w:tc>
        <w:tc>
          <w:tcPr>
            <w:tcW w:w="765" w:type="dxa"/>
            <w:vAlign w:val="top"/>
          </w:tcPr>
          <w:p>
            <w:pPr>
              <w:pStyle w:val="27"/>
              <w:spacing w:before="128" w:line="221" w:lineRule="auto"/>
              <w:ind w:left="124"/>
              <w:jc w:val="center"/>
              <w:rPr>
                <w:sz w:val="16"/>
                <w:szCs w:val="16"/>
                <w:highlight w:val="none"/>
              </w:rPr>
            </w:pPr>
            <w:r>
              <w:rPr>
                <w:spacing w:val="-3"/>
                <w:sz w:val="16"/>
                <w:szCs w:val="16"/>
                <w:highlight w:val="none"/>
              </w:rPr>
              <w:t>实施单位</w:t>
            </w:r>
          </w:p>
        </w:tc>
        <w:tc>
          <w:tcPr>
            <w:tcW w:w="4883" w:type="dxa"/>
            <w:gridSpan w:val="3"/>
            <w:vAlign w:val="top"/>
          </w:tcPr>
          <w:p>
            <w:pPr>
              <w:pStyle w:val="27"/>
              <w:spacing w:before="88" w:line="219" w:lineRule="auto"/>
              <w:ind w:left="1140"/>
              <w:jc w:val="center"/>
              <w:rPr>
                <w:sz w:val="24"/>
                <w:szCs w:val="24"/>
                <w:highlight w:val="none"/>
              </w:rPr>
            </w:pPr>
            <w:r>
              <w:rPr>
                <w:rFonts w:hint="eastAsia" w:ascii="宋体" w:hAnsi="宋体" w:eastAsia="宋体" w:cs="宋体"/>
                <w:sz w:val="16"/>
                <w:szCs w:val="16"/>
                <w:highlight w:val="none"/>
                <w:lang w:eastAsia="zh-CN"/>
              </w:rPr>
              <w:t>开平区妇女联合会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76" w:type="dxa"/>
            <w:vMerge w:val="restart"/>
            <w:tcBorders>
              <w:bottom w:val="nil"/>
            </w:tcBorders>
            <w:vAlign w:val="top"/>
          </w:tcPr>
          <w:p>
            <w:pPr>
              <w:pStyle w:val="27"/>
              <w:spacing w:before="52" w:line="347" w:lineRule="auto"/>
              <w:ind w:right="105"/>
              <w:jc w:val="center"/>
              <w:rPr>
                <w:sz w:val="16"/>
                <w:szCs w:val="16"/>
                <w:highlight w:val="none"/>
              </w:rPr>
            </w:pPr>
            <w:r>
              <w:rPr>
                <w:spacing w:val="-9"/>
                <w:sz w:val="16"/>
                <w:szCs w:val="16"/>
                <w:highlight w:val="none"/>
              </w:rPr>
              <w:t>二、预算执行情</w:t>
            </w:r>
            <w:r>
              <w:rPr>
                <w:sz w:val="16"/>
                <w:szCs w:val="16"/>
                <w:highlight w:val="none"/>
              </w:rPr>
              <w:t>况</w:t>
            </w:r>
          </w:p>
        </w:tc>
        <w:tc>
          <w:tcPr>
            <w:tcW w:w="1650" w:type="dxa"/>
            <w:gridSpan w:val="2"/>
            <w:vAlign w:val="top"/>
          </w:tcPr>
          <w:p>
            <w:pPr>
              <w:pStyle w:val="27"/>
              <w:spacing w:before="77" w:line="220" w:lineRule="auto"/>
              <w:jc w:val="center"/>
              <w:rPr>
                <w:sz w:val="16"/>
                <w:szCs w:val="16"/>
                <w:highlight w:val="none"/>
              </w:rPr>
            </w:pPr>
            <w:r>
              <w:rPr>
                <w:spacing w:val="-1"/>
                <w:sz w:val="16"/>
                <w:szCs w:val="16"/>
                <w:highlight w:val="none"/>
              </w:rPr>
              <w:t>预算安排情况（调整后）</w:t>
            </w:r>
          </w:p>
        </w:tc>
        <w:tc>
          <w:tcPr>
            <w:tcW w:w="1200" w:type="dxa"/>
            <w:gridSpan w:val="2"/>
            <w:vAlign w:val="top"/>
          </w:tcPr>
          <w:p>
            <w:pPr>
              <w:pStyle w:val="27"/>
              <w:spacing w:before="77" w:line="221" w:lineRule="auto"/>
              <w:ind w:firstLine="156" w:firstLineChars="100"/>
              <w:jc w:val="center"/>
              <w:rPr>
                <w:sz w:val="16"/>
                <w:szCs w:val="16"/>
                <w:highlight w:val="none"/>
              </w:rPr>
            </w:pPr>
            <w:r>
              <w:rPr>
                <w:spacing w:val="-2"/>
                <w:sz w:val="16"/>
                <w:szCs w:val="16"/>
                <w:highlight w:val="none"/>
              </w:rPr>
              <w:t>资金到位情况</w:t>
            </w:r>
          </w:p>
        </w:tc>
        <w:tc>
          <w:tcPr>
            <w:tcW w:w="3368" w:type="dxa"/>
            <w:gridSpan w:val="2"/>
            <w:vAlign w:val="top"/>
          </w:tcPr>
          <w:p>
            <w:pPr>
              <w:pStyle w:val="27"/>
              <w:spacing w:before="77" w:line="220" w:lineRule="auto"/>
              <w:ind w:left="1016"/>
              <w:jc w:val="center"/>
              <w:rPr>
                <w:sz w:val="16"/>
                <w:szCs w:val="16"/>
                <w:highlight w:val="none"/>
              </w:rPr>
            </w:pPr>
            <w:r>
              <w:rPr>
                <w:spacing w:val="-2"/>
                <w:sz w:val="16"/>
                <w:szCs w:val="16"/>
                <w:highlight w:val="none"/>
              </w:rPr>
              <w:t>资金执行情况</w:t>
            </w:r>
          </w:p>
        </w:tc>
        <w:tc>
          <w:tcPr>
            <w:tcW w:w="1515" w:type="dxa"/>
            <w:vAlign w:val="top"/>
          </w:tcPr>
          <w:p>
            <w:pPr>
              <w:pStyle w:val="27"/>
              <w:spacing w:before="77" w:line="220" w:lineRule="auto"/>
              <w:jc w:val="center"/>
              <w:rPr>
                <w:sz w:val="16"/>
                <w:szCs w:val="16"/>
                <w:highlight w:val="none"/>
              </w:rPr>
            </w:pPr>
            <w:r>
              <w:rPr>
                <w:spacing w:val="-1"/>
                <w:sz w:val="16"/>
                <w:szCs w:val="16"/>
                <w:highlight w:val="none"/>
              </w:rPr>
              <w:t>预算执行进度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exact"/>
        </w:trPr>
        <w:tc>
          <w:tcPr>
            <w:tcW w:w="576" w:type="dxa"/>
            <w:vMerge w:val="continue"/>
            <w:tcBorders>
              <w:top w:val="nil"/>
              <w:bottom w:val="nil"/>
            </w:tcBorders>
            <w:vAlign w:val="top"/>
          </w:tcPr>
          <w:p>
            <w:pPr>
              <w:jc w:val="center"/>
              <w:rPr>
                <w:rFonts w:ascii="Arial"/>
                <w:sz w:val="21"/>
                <w:highlight w:val="none"/>
              </w:rPr>
            </w:pPr>
          </w:p>
        </w:tc>
        <w:tc>
          <w:tcPr>
            <w:tcW w:w="801" w:type="dxa"/>
            <w:vAlign w:val="top"/>
          </w:tcPr>
          <w:p>
            <w:pPr>
              <w:pStyle w:val="27"/>
              <w:spacing w:before="76" w:line="220" w:lineRule="auto"/>
              <w:ind w:left="110"/>
              <w:jc w:val="center"/>
              <w:rPr>
                <w:sz w:val="16"/>
                <w:szCs w:val="16"/>
                <w:highlight w:val="none"/>
              </w:rPr>
            </w:pPr>
            <w:r>
              <w:rPr>
                <w:spacing w:val="-2"/>
                <w:sz w:val="16"/>
                <w:szCs w:val="16"/>
                <w:highlight w:val="none"/>
              </w:rPr>
              <w:t>预算数：</w:t>
            </w:r>
          </w:p>
        </w:tc>
        <w:tc>
          <w:tcPr>
            <w:tcW w:w="849" w:type="dxa"/>
            <w:vAlign w:val="top"/>
          </w:tcPr>
          <w:p>
            <w:pPr>
              <w:pStyle w:val="27"/>
              <w:spacing w:before="100" w:line="185" w:lineRule="auto"/>
              <w:ind w:left="122"/>
              <w:jc w:val="center"/>
              <w:rPr>
                <w:rFonts w:hint="eastAsia" w:eastAsia="宋体"/>
                <w:sz w:val="16"/>
                <w:szCs w:val="16"/>
                <w:highlight w:val="none"/>
                <w:lang w:val="en-US" w:eastAsia="zh-CN"/>
              </w:rPr>
            </w:pPr>
            <w:r>
              <w:rPr>
                <w:rFonts w:hint="eastAsia"/>
                <w:sz w:val="16"/>
                <w:szCs w:val="16"/>
                <w:highlight w:val="none"/>
                <w:lang w:val="en-US" w:eastAsia="zh-CN"/>
              </w:rPr>
              <w:t>7</w:t>
            </w:r>
          </w:p>
        </w:tc>
        <w:tc>
          <w:tcPr>
            <w:tcW w:w="435" w:type="dxa"/>
            <w:vAlign w:val="top"/>
          </w:tcPr>
          <w:p>
            <w:pPr>
              <w:pStyle w:val="27"/>
              <w:spacing w:before="76" w:line="220" w:lineRule="auto"/>
              <w:ind w:left="117"/>
              <w:jc w:val="center"/>
              <w:rPr>
                <w:sz w:val="16"/>
                <w:szCs w:val="16"/>
                <w:highlight w:val="none"/>
              </w:rPr>
            </w:pPr>
            <w:r>
              <w:rPr>
                <w:spacing w:val="-3"/>
                <w:sz w:val="16"/>
                <w:szCs w:val="16"/>
                <w:highlight w:val="none"/>
              </w:rPr>
              <w:t>到位数：</w:t>
            </w:r>
          </w:p>
        </w:tc>
        <w:tc>
          <w:tcPr>
            <w:tcW w:w="765" w:type="dxa"/>
            <w:vAlign w:val="top"/>
          </w:tcPr>
          <w:p>
            <w:pPr>
              <w:pStyle w:val="27"/>
              <w:spacing w:before="100" w:line="185" w:lineRule="auto"/>
              <w:ind w:left="123"/>
              <w:jc w:val="center"/>
              <w:rPr>
                <w:rFonts w:hint="eastAsia" w:eastAsia="宋体"/>
                <w:sz w:val="16"/>
                <w:szCs w:val="16"/>
                <w:highlight w:val="none"/>
                <w:lang w:val="en-US" w:eastAsia="zh-CN"/>
              </w:rPr>
            </w:pPr>
            <w:r>
              <w:rPr>
                <w:rFonts w:hint="eastAsia"/>
                <w:sz w:val="16"/>
                <w:szCs w:val="16"/>
                <w:highlight w:val="none"/>
                <w:lang w:val="en-US" w:eastAsia="zh-CN"/>
              </w:rPr>
              <w:t>7</w:t>
            </w:r>
          </w:p>
        </w:tc>
        <w:tc>
          <w:tcPr>
            <w:tcW w:w="1230" w:type="dxa"/>
            <w:vAlign w:val="top"/>
          </w:tcPr>
          <w:p>
            <w:pPr>
              <w:pStyle w:val="27"/>
              <w:spacing w:before="76" w:line="220" w:lineRule="auto"/>
              <w:ind w:left="111"/>
              <w:jc w:val="center"/>
              <w:rPr>
                <w:sz w:val="16"/>
                <w:szCs w:val="16"/>
                <w:highlight w:val="none"/>
              </w:rPr>
            </w:pPr>
            <w:r>
              <w:rPr>
                <w:spacing w:val="-2"/>
                <w:sz w:val="16"/>
                <w:szCs w:val="16"/>
                <w:highlight w:val="none"/>
              </w:rPr>
              <w:t>执行数：</w:t>
            </w:r>
          </w:p>
        </w:tc>
        <w:tc>
          <w:tcPr>
            <w:tcW w:w="2138" w:type="dxa"/>
            <w:vAlign w:val="top"/>
          </w:tcPr>
          <w:p>
            <w:pPr>
              <w:pStyle w:val="27"/>
              <w:spacing w:before="100" w:line="185" w:lineRule="auto"/>
              <w:ind w:left="124"/>
              <w:jc w:val="center"/>
              <w:rPr>
                <w:rFonts w:hint="default" w:eastAsia="宋体"/>
                <w:sz w:val="16"/>
                <w:szCs w:val="16"/>
                <w:highlight w:val="none"/>
                <w:lang w:val="en-US" w:eastAsia="zh-CN"/>
              </w:rPr>
            </w:pPr>
            <w:r>
              <w:rPr>
                <w:rFonts w:hint="eastAsia"/>
                <w:sz w:val="16"/>
                <w:szCs w:val="16"/>
                <w:highlight w:val="none"/>
                <w:lang w:val="en-US" w:eastAsia="zh-CN"/>
              </w:rPr>
              <w:t>6.98</w:t>
            </w:r>
          </w:p>
        </w:tc>
        <w:tc>
          <w:tcPr>
            <w:tcW w:w="1515" w:type="dxa"/>
            <w:vMerge w:val="restart"/>
            <w:tcBorders>
              <w:bottom w:val="nil"/>
            </w:tcBorders>
            <w:vAlign w:val="top"/>
          </w:tcPr>
          <w:p>
            <w:pPr>
              <w:pStyle w:val="27"/>
              <w:spacing w:before="52" w:line="347" w:lineRule="auto"/>
              <w:ind w:right="126"/>
              <w:jc w:val="center"/>
              <w:rPr>
                <w:sz w:val="16"/>
                <w:szCs w:val="16"/>
                <w:highlight w:val="none"/>
              </w:rPr>
            </w:pPr>
            <w:r>
              <w:rPr>
                <w:spacing w:val="-2"/>
                <w:sz w:val="16"/>
                <w:szCs w:val="16"/>
                <w:highlight w:val="none"/>
              </w:rPr>
              <w:t>（=执行数/预</w:t>
            </w:r>
            <w:r>
              <w:rPr>
                <w:spacing w:val="2"/>
                <w:sz w:val="16"/>
                <w:szCs w:val="16"/>
                <w:highlight w:val="none"/>
              </w:rPr>
              <w:t xml:space="preserve"> </w:t>
            </w:r>
            <w:r>
              <w:rPr>
                <w:spacing w:val="-1"/>
                <w:sz w:val="16"/>
                <w:szCs w:val="16"/>
                <w:highlight w:val="none"/>
              </w:rPr>
              <w:t>算数*100%）</w:t>
            </w:r>
            <w:r>
              <w:rPr>
                <w:rFonts w:hint="eastAsia"/>
                <w:spacing w:val="-1"/>
                <w:sz w:val="16"/>
                <w:szCs w:val="16"/>
                <w:highlight w:val="none"/>
                <w:lang w:val="en-US" w:eastAsia="zh-CN"/>
              </w:rPr>
              <w:t>99.7</w:t>
            </w:r>
            <w:r>
              <w:rPr>
                <w:rFonts w:hint="default"/>
                <w:spacing w:val="-1"/>
                <w:sz w:val="16"/>
                <w:szCs w:val="16"/>
                <w:highlight w:val="none"/>
                <w:lang w:val="zh-CN"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exact"/>
        </w:trPr>
        <w:tc>
          <w:tcPr>
            <w:tcW w:w="576" w:type="dxa"/>
            <w:vMerge w:val="continue"/>
            <w:tcBorders>
              <w:top w:val="nil"/>
              <w:bottom w:val="nil"/>
            </w:tcBorders>
            <w:vAlign w:val="top"/>
          </w:tcPr>
          <w:p>
            <w:pPr>
              <w:jc w:val="center"/>
              <w:rPr>
                <w:rFonts w:ascii="Arial"/>
                <w:sz w:val="21"/>
                <w:highlight w:val="none"/>
              </w:rPr>
            </w:pPr>
          </w:p>
        </w:tc>
        <w:tc>
          <w:tcPr>
            <w:tcW w:w="801" w:type="dxa"/>
            <w:vAlign w:val="top"/>
          </w:tcPr>
          <w:p>
            <w:pPr>
              <w:pStyle w:val="27"/>
              <w:spacing w:before="76" w:line="313" w:lineRule="auto"/>
              <w:ind w:right="104"/>
              <w:jc w:val="center"/>
              <w:rPr>
                <w:sz w:val="16"/>
                <w:szCs w:val="16"/>
                <w:highlight w:val="none"/>
              </w:rPr>
            </w:pPr>
            <w:r>
              <w:rPr>
                <w:spacing w:val="-2"/>
                <w:sz w:val="16"/>
                <w:szCs w:val="16"/>
                <w:highlight w:val="none"/>
              </w:rPr>
              <w:t>其中：财政资</w:t>
            </w:r>
            <w:r>
              <w:rPr>
                <w:spacing w:val="-7"/>
                <w:sz w:val="16"/>
                <w:szCs w:val="16"/>
                <w:highlight w:val="none"/>
              </w:rPr>
              <w:t>金</w:t>
            </w:r>
          </w:p>
        </w:tc>
        <w:tc>
          <w:tcPr>
            <w:tcW w:w="849" w:type="dxa"/>
            <w:vAlign w:val="top"/>
          </w:tcPr>
          <w:p>
            <w:pPr>
              <w:pStyle w:val="27"/>
              <w:spacing w:before="256" w:line="185" w:lineRule="auto"/>
              <w:ind w:left="122"/>
              <w:jc w:val="center"/>
              <w:rPr>
                <w:rFonts w:hint="eastAsia" w:eastAsia="宋体"/>
                <w:sz w:val="16"/>
                <w:szCs w:val="16"/>
                <w:highlight w:val="none"/>
                <w:lang w:val="en-US" w:eastAsia="zh-CN"/>
              </w:rPr>
            </w:pPr>
            <w:r>
              <w:rPr>
                <w:rFonts w:hint="eastAsia"/>
                <w:sz w:val="16"/>
                <w:szCs w:val="16"/>
                <w:highlight w:val="none"/>
                <w:lang w:val="en-US" w:eastAsia="zh-CN"/>
              </w:rPr>
              <w:t>7</w:t>
            </w:r>
          </w:p>
        </w:tc>
        <w:tc>
          <w:tcPr>
            <w:tcW w:w="435" w:type="dxa"/>
            <w:vAlign w:val="top"/>
          </w:tcPr>
          <w:p>
            <w:pPr>
              <w:pStyle w:val="27"/>
              <w:spacing w:before="76" w:line="313" w:lineRule="auto"/>
              <w:ind w:right="103"/>
              <w:jc w:val="both"/>
              <w:rPr>
                <w:sz w:val="16"/>
                <w:szCs w:val="16"/>
                <w:highlight w:val="none"/>
              </w:rPr>
            </w:pPr>
            <w:r>
              <w:rPr>
                <w:spacing w:val="-2"/>
                <w:sz w:val="16"/>
                <w:szCs w:val="16"/>
                <w:highlight w:val="none"/>
              </w:rPr>
              <w:t>其中：财政</w:t>
            </w:r>
            <w:r>
              <w:rPr>
                <w:spacing w:val="-6"/>
                <w:sz w:val="16"/>
                <w:szCs w:val="16"/>
                <w:highlight w:val="none"/>
              </w:rPr>
              <w:t>资金</w:t>
            </w:r>
          </w:p>
        </w:tc>
        <w:tc>
          <w:tcPr>
            <w:tcW w:w="765" w:type="dxa"/>
            <w:vAlign w:val="top"/>
          </w:tcPr>
          <w:p>
            <w:pPr>
              <w:pStyle w:val="27"/>
              <w:spacing w:before="256" w:line="185" w:lineRule="auto"/>
              <w:ind w:left="123"/>
              <w:jc w:val="center"/>
              <w:rPr>
                <w:rFonts w:hint="eastAsia" w:eastAsia="宋体"/>
                <w:sz w:val="16"/>
                <w:szCs w:val="16"/>
                <w:highlight w:val="none"/>
                <w:lang w:val="en-US" w:eastAsia="zh-CN"/>
              </w:rPr>
            </w:pPr>
            <w:r>
              <w:rPr>
                <w:rFonts w:hint="eastAsia"/>
                <w:sz w:val="16"/>
                <w:szCs w:val="16"/>
                <w:highlight w:val="none"/>
                <w:lang w:val="en-US" w:eastAsia="zh-CN"/>
              </w:rPr>
              <w:t>7</w:t>
            </w:r>
          </w:p>
        </w:tc>
        <w:tc>
          <w:tcPr>
            <w:tcW w:w="1230" w:type="dxa"/>
            <w:vAlign w:val="top"/>
          </w:tcPr>
          <w:p>
            <w:pPr>
              <w:pStyle w:val="27"/>
              <w:spacing w:before="232" w:line="221" w:lineRule="auto"/>
              <w:jc w:val="center"/>
              <w:rPr>
                <w:sz w:val="16"/>
                <w:szCs w:val="16"/>
                <w:highlight w:val="none"/>
              </w:rPr>
            </w:pPr>
            <w:r>
              <w:rPr>
                <w:spacing w:val="-1"/>
                <w:sz w:val="16"/>
                <w:szCs w:val="16"/>
                <w:highlight w:val="none"/>
              </w:rPr>
              <w:t>其中：财政资金</w:t>
            </w:r>
          </w:p>
        </w:tc>
        <w:tc>
          <w:tcPr>
            <w:tcW w:w="2138" w:type="dxa"/>
            <w:vAlign w:val="top"/>
          </w:tcPr>
          <w:p>
            <w:pPr>
              <w:pStyle w:val="27"/>
              <w:spacing w:before="256" w:line="185" w:lineRule="auto"/>
              <w:ind w:left="124"/>
              <w:jc w:val="center"/>
              <w:rPr>
                <w:rFonts w:hint="default" w:eastAsia="宋体"/>
                <w:sz w:val="16"/>
                <w:szCs w:val="16"/>
                <w:highlight w:val="none"/>
                <w:lang w:val="en-US" w:eastAsia="zh-CN"/>
              </w:rPr>
            </w:pPr>
            <w:r>
              <w:rPr>
                <w:rFonts w:hint="eastAsia"/>
                <w:sz w:val="16"/>
                <w:szCs w:val="16"/>
                <w:highlight w:val="none"/>
                <w:lang w:val="en-US" w:eastAsia="zh-CN"/>
              </w:rPr>
              <w:t>6.98</w:t>
            </w:r>
          </w:p>
        </w:tc>
        <w:tc>
          <w:tcPr>
            <w:tcW w:w="1515" w:type="dxa"/>
            <w:vMerge w:val="continue"/>
            <w:tcBorders>
              <w:top w:val="nil"/>
              <w:bottom w:val="nil"/>
            </w:tcBorders>
            <w:vAlign w:val="top"/>
          </w:tcPr>
          <w:p>
            <w:pPr>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exact"/>
        </w:trPr>
        <w:tc>
          <w:tcPr>
            <w:tcW w:w="576" w:type="dxa"/>
            <w:vMerge w:val="continue"/>
            <w:tcBorders>
              <w:top w:val="nil"/>
            </w:tcBorders>
            <w:vAlign w:val="top"/>
          </w:tcPr>
          <w:p>
            <w:pPr>
              <w:jc w:val="center"/>
              <w:rPr>
                <w:rFonts w:ascii="Arial"/>
                <w:sz w:val="21"/>
                <w:highlight w:val="none"/>
              </w:rPr>
            </w:pPr>
          </w:p>
        </w:tc>
        <w:tc>
          <w:tcPr>
            <w:tcW w:w="801" w:type="dxa"/>
            <w:vAlign w:val="top"/>
          </w:tcPr>
          <w:p>
            <w:pPr>
              <w:pStyle w:val="27"/>
              <w:spacing w:before="75" w:line="221" w:lineRule="auto"/>
              <w:jc w:val="center"/>
              <w:rPr>
                <w:sz w:val="16"/>
                <w:szCs w:val="16"/>
                <w:highlight w:val="none"/>
              </w:rPr>
            </w:pPr>
            <w:r>
              <w:rPr>
                <w:spacing w:val="-3"/>
                <w:sz w:val="16"/>
                <w:szCs w:val="16"/>
                <w:highlight w:val="none"/>
              </w:rPr>
              <w:t>其他</w:t>
            </w:r>
          </w:p>
        </w:tc>
        <w:tc>
          <w:tcPr>
            <w:tcW w:w="849" w:type="dxa"/>
            <w:vAlign w:val="top"/>
          </w:tcPr>
          <w:p>
            <w:pPr>
              <w:jc w:val="center"/>
              <w:rPr>
                <w:rFonts w:ascii="Arial"/>
                <w:sz w:val="21"/>
                <w:highlight w:val="none"/>
              </w:rPr>
            </w:pPr>
          </w:p>
        </w:tc>
        <w:tc>
          <w:tcPr>
            <w:tcW w:w="435" w:type="dxa"/>
            <w:vAlign w:val="top"/>
          </w:tcPr>
          <w:p>
            <w:pPr>
              <w:pStyle w:val="27"/>
              <w:spacing w:before="75" w:line="221" w:lineRule="auto"/>
              <w:jc w:val="center"/>
              <w:rPr>
                <w:sz w:val="16"/>
                <w:szCs w:val="16"/>
                <w:highlight w:val="none"/>
              </w:rPr>
            </w:pPr>
            <w:r>
              <w:rPr>
                <w:spacing w:val="-3"/>
                <w:sz w:val="16"/>
                <w:szCs w:val="16"/>
                <w:highlight w:val="none"/>
              </w:rPr>
              <w:t>其他</w:t>
            </w:r>
          </w:p>
        </w:tc>
        <w:tc>
          <w:tcPr>
            <w:tcW w:w="765" w:type="dxa"/>
            <w:vAlign w:val="top"/>
          </w:tcPr>
          <w:p>
            <w:pPr>
              <w:jc w:val="center"/>
              <w:rPr>
                <w:rFonts w:ascii="Arial"/>
                <w:sz w:val="21"/>
                <w:highlight w:val="none"/>
              </w:rPr>
            </w:pPr>
          </w:p>
        </w:tc>
        <w:tc>
          <w:tcPr>
            <w:tcW w:w="1230" w:type="dxa"/>
            <w:vAlign w:val="top"/>
          </w:tcPr>
          <w:p>
            <w:pPr>
              <w:pStyle w:val="27"/>
              <w:spacing w:before="75" w:line="221" w:lineRule="auto"/>
              <w:jc w:val="center"/>
              <w:rPr>
                <w:sz w:val="16"/>
                <w:szCs w:val="16"/>
                <w:highlight w:val="none"/>
              </w:rPr>
            </w:pPr>
            <w:r>
              <w:rPr>
                <w:spacing w:val="-3"/>
                <w:sz w:val="16"/>
                <w:szCs w:val="16"/>
                <w:highlight w:val="none"/>
              </w:rPr>
              <w:t>其他</w:t>
            </w:r>
          </w:p>
        </w:tc>
        <w:tc>
          <w:tcPr>
            <w:tcW w:w="2138" w:type="dxa"/>
            <w:vAlign w:val="top"/>
          </w:tcPr>
          <w:p>
            <w:pPr>
              <w:jc w:val="center"/>
              <w:rPr>
                <w:rFonts w:ascii="Arial"/>
                <w:sz w:val="21"/>
                <w:highlight w:val="none"/>
              </w:rPr>
            </w:pPr>
          </w:p>
        </w:tc>
        <w:tc>
          <w:tcPr>
            <w:tcW w:w="1515" w:type="dxa"/>
            <w:vMerge w:val="continue"/>
            <w:tcBorders>
              <w:top w:val="nil"/>
            </w:tcBorders>
            <w:vAlign w:val="top"/>
          </w:tcPr>
          <w:p>
            <w:pPr>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exact"/>
        </w:trPr>
        <w:tc>
          <w:tcPr>
            <w:tcW w:w="576" w:type="dxa"/>
            <w:vMerge w:val="restart"/>
            <w:tcBorders>
              <w:bottom w:val="nil"/>
            </w:tcBorders>
            <w:vAlign w:val="top"/>
          </w:tcPr>
          <w:p>
            <w:pPr>
              <w:pStyle w:val="27"/>
              <w:spacing w:before="243" w:line="347" w:lineRule="auto"/>
              <w:ind w:right="105"/>
              <w:jc w:val="center"/>
              <w:rPr>
                <w:sz w:val="16"/>
                <w:szCs w:val="16"/>
                <w:highlight w:val="none"/>
              </w:rPr>
            </w:pPr>
            <w:r>
              <w:rPr>
                <w:spacing w:val="-9"/>
                <w:sz w:val="16"/>
                <w:szCs w:val="16"/>
                <w:highlight w:val="none"/>
              </w:rPr>
              <w:t>三、目标完成情</w:t>
            </w:r>
            <w:r>
              <w:rPr>
                <w:sz w:val="16"/>
                <w:szCs w:val="16"/>
                <w:highlight w:val="none"/>
              </w:rPr>
              <w:t>况</w:t>
            </w:r>
          </w:p>
        </w:tc>
        <w:tc>
          <w:tcPr>
            <w:tcW w:w="2085" w:type="dxa"/>
            <w:gridSpan w:val="3"/>
            <w:vAlign w:val="top"/>
          </w:tcPr>
          <w:p>
            <w:pPr>
              <w:pStyle w:val="27"/>
              <w:spacing w:before="78" w:line="220" w:lineRule="auto"/>
              <w:ind w:left="1185"/>
              <w:jc w:val="center"/>
              <w:rPr>
                <w:sz w:val="16"/>
                <w:szCs w:val="16"/>
                <w:highlight w:val="none"/>
              </w:rPr>
            </w:pPr>
            <w:r>
              <w:rPr>
                <w:spacing w:val="-1"/>
                <w:sz w:val="16"/>
                <w:szCs w:val="16"/>
                <w:highlight w:val="none"/>
              </w:rPr>
              <w:t>年度预期目标</w:t>
            </w:r>
          </w:p>
        </w:tc>
        <w:tc>
          <w:tcPr>
            <w:tcW w:w="4133" w:type="dxa"/>
            <w:gridSpan w:val="3"/>
            <w:vAlign w:val="top"/>
          </w:tcPr>
          <w:p>
            <w:pPr>
              <w:pStyle w:val="27"/>
              <w:spacing w:before="78" w:line="220" w:lineRule="auto"/>
              <w:ind w:left="1449"/>
              <w:jc w:val="center"/>
              <w:rPr>
                <w:sz w:val="16"/>
                <w:szCs w:val="16"/>
                <w:highlight w:val="none"/>
              </w:rPr>
            </w:pPr>
            <w:r>
              <w:rPr>
                <w:spacing w:val="-2"/>
                <w:sz w:val="16"/>
                <w:szCs w:val="16"/>
                <w:highlight w:val="none"/>
              </w:rPr>
              <w:t>具体完成情况</w:t>
            </w:r>
          </w:p>
        </w:tc>
        <w:tc>
          <w:tcPr>
            <w:tcW w:w="1515" w:type="dxa"/>
            <w:vAlign w:val="top"/>
          </w:tcPr>
          <w:p>
            <w:pPr>
              <w:pStyle w:val="27"/>
              <w:spacing w:before="78" w:line="220" w:lineRule="auto"/>
              <w:ind w:left="217"/>
              <w:jc w:val="center"/>
              <w:rPr>
                <w:sz w:val="16"/>
                <w:szCs w:val="16"/>
                <w:highlight w:val="none"/>
              </w:rPr>
            </w:pPr>
            <w:r>
              <w:rPr>
                <w:spacing w:val="-2"/>
                <w:sz w:val="16"/>
                <w:szCs w:val="16"/>
                <w:highlight w:val="none"/>
              </w:rPr>
              <w:t>总体完成率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exact"/>
        </w:trPr>
        <w:tc>
          <w:tcPr>
            <w:tcW w:w="576" w:type="dxa"/>
            <w:vMerge w:val="continue"/>
            <w:tcBorders>
              <w:top w:val="nil"/>
            </w:tcBorders>
            <w:vAlign w:val="top"/>
          </w:tcPr>
          <w:p>
            <w:pPr>
              <w:jc w:val="center"/>
              <w:rPr>
                <w:rFonts w:ascii="Arial"/>
                <w:sz w:val="21"/>
                <w:highlight w:val="none"/>
              </w:rPr>
            </w:pPr>
          </w:p>
        </w:tc>
        <w:tc>
          <w:tcPr>
            <w:tcW w:w="2085" w:type="dxa"/>
            <w:gridSpan w:val="3"/>
            <w:vAlign w:val="top"/>
          </w:tcPr>
          <w:p>
            <w:pPr>
              <w:pStyle w:val="27"/>
              <w:spacing w:before="237" w:line="241" w:lineRule="auto"/>
              <w:jc w:val="center"/>
              <w:rPr>
                <w:rFonts w:hint="default" w:eastAsia="宋体"/>
                <w:sz w:val="16"/>
                <w:szCs w:val="16"/>
                <w:highlight w:val="none"/>
                <w:lang w:val="en-US" w:eastAsia="zh-CN"/>
              </w:rPr>
            </w:pPr>
            <w:r>
              <w:rPr>
                <w:rFonts w:hint="eastAsia"/>
                <w:sz w:val="16"/>
                <w:szCs w:val="16"/>
                <w:highlight w:val="none"/>
                <w:lang w:eastAsia="zh-CN"/>
              </w:rPr>
              <w:t>创建美丽庭院</w:t>
            </w:r>
            <w:r>
              <w:rPr>
                <w:rFonts w:hint="eastAsia"/>
                <w:sz w:val="16"/>
                <w:szCs w:val="16"/>
                <w:highlight w:val="none"/>
                <w:lang w:val="en-US" w:eastAsia="zh-CN"/>
              </w:rPr>
              <w:t>1174户</w:t>
            </w:r>
          </w:p>
        </w:tc>
        <w:tc>
          <w:tcPr>
            <w:tcW w:w="4133" w:type="dxa"/>
            <w:gridSpan w:val="3"/>
            <w:vAlign w:val="top"/>
          </w:tcPr>
          <w:p>
            <w:pPr>
              <w:pStyle w:val="27"/>
              <w:spacing w:before="237" w:line="241" w:lineRule="auto"/>
              <w:ind w:left="1779"/>
              <w:jc w:val="center"/>
              <w:rPr>
                <w:rFonts w:hint="eastAsia" w:eastAsia="宋体"/>
                <w:sz w:val="16"/>
                <w:szCs w:val="16"/>
                <w:highlight w:val="none"/>
                <w:lang w:eastAsia="zh-CN"/>
              </w:rPr>
            </w:pPr>
            <w:r>
              <w:rPr>
                <w:rFonts w:hint="eastAsia"/>
                <w:sz w:val="16"/>
                <w:szCs w:val="16"/>
                <w:highlight w:val="none"/>
                <w:lang w:eastAsia="zh-CN"/>
              </w:rPr>
              <w:t>全部完成</w:t>
            </w:r>
          </w:p>
        </w:tc>
        <w:tc>
          <w:tcPr>
            <w:tcW w:w="1515" w:type="dxa"/>
            <w:vAlign w:val="top"/>
          </w:tcPr>
          <w:p>
            <w:pPr>
              <w:pStyle w:val="27"/>
              <w:spacing w:before="237" w:line="241" w:lineRule="auto"/>
              <w:ind w:left="464"/>
              <w:jc w:val="center"/>
              <w:rPr>
                <w:sz w:val="16"/>
                <w:szCs w:val="16"/>
                <w:highlight w:val="none"/>
              </w:rPr>
            </w:pPr>
            <w:r>
              <w:rPr>
                <w:rFonts w:hint="eastAsia"/>
                <w:spacing w:val="-1"/>
                <w:sz w:val="16"/>
                <w:szCs w:val="16"/>
                <w:highlight w:val="none"/>
                <w:lang w:val="en-US" w:eastAsia="zh-CN"/>
              </w:rPr>
              <w:t>100</w:t>
            </w:r>
            <w:r>
              <w:rPr>
                <w:rFonts w:hint="default"/>
                <w:spacing w:val="-1"/>
                <w:sz w:val="16"/>
                <w:szCs w:val="16"/>
                <w:highlight w:val="none"/>
                <w:lang w:val="zh-CN"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6" w:type="dxa"/>
            <w:vMerge w:val="restart"/>
            <w:tcBorders>
              <w:bottom w:val="nil"/>
            </w:tcBorders>
            <w:vAlign w:val="top"/>
          </w:tcPr>
          <w:p>
            <w:pPr>
              <w:spacing w:line="243" w:lineRule="auto"/>
              <w:jc w:val="center"/>
              <w:rPr>
                <w:rFonts w:ascii="Arial"/>
                <w:sz w:val="21"/>
                <w:highlight w:val="none"/>
              </w:rPr>
            </w:pPr>
          </w:p>
          <w:p>
            <w:pPr>
              <w:spacing w:line="243" w:lineRule="auto"/>
              <w:jc w:val="center"/>
              <w:rPr>
                <w:rFonts w:ascii="Arial"/>
                <w:sz w:val="21"/>
                <w:highlight w:val="none"/>
              </w:rPr>
            </w:pPr>
          </w:p>
          <w:p>
            <w:pPr>
              <w:spacing w:line="243" w:lineRule="auto"/>
              <w:jc w:val="center"/>
              <w:rPr>
                <w:rFonts w:ascii="Arial"/>
                <w:sz w:val="21"/>
                <w:highlight w:val="none"/>
              </w:rPr>
            </w:pPr>
          </w:p>
          <w:p>
            <w:pPr>
              <w:spacing w:line="243" w:lineRule="auto"/>
              <w:jc w:val="center"/>
              <w:rPr>
                <w:rFonts w:ascii="Arial"/>
                <w:sz w:val="21"/>
                <w:highlight w:val="none"/>
              </w:rPr>
            </w:pPr>
          </w:p>
          <w:p>
            <w:pPr>
              <w:spacing w:line="243" w:lineRule="auto"/>
              <w:jc w:val="center"/>
              <w:rPr>
                <w:rFonts w:ascii="Arial"/>
                <w:sz w:val="21"/>
                <w:highlight w:val="none"/>
              </w:rPr>
            </w:pPr>
          </w:p>
          <w:p>
            <w:pPr>
              <w:pStyle w:val="27"/>
              <w:spacing w:before="52" w:line="347" w:lineRule="auto"/>
              <w:ind w:right="119"/>
              <w:jc w:val="center"/>
              <w:rPr>
                <w:sz w:val="16"/>
                <w:szCs w:val="16"/>
                <w:highlight w:val="none"/>
              </w:rPr>
            </w:pPr>
            <w:r>
              <w:rPr>
                <w:spacing w:val="-3"/>
                <w:sz w:val="16"/>
                <w:szCs w:val="16"/>
                <w:highlight w:val="none"/>
              </w:rPr>
              <w:t>四、 年度绩效</w:t>
            </w:r>
            <w:r>
              <w:rPr>
                <w:sz w:val="16"/>
                <w:szCs w:val="16"/>
                <w:highlight w:val="none"/>
              </w:rPr>
              <w:t xml:space="preserve"> </w:t>
            </w:r>
            <w:r>
              <w:rPr>
                <w:spacing w:val="-2"/>
                <w:sz w:val="16"/>
                <w:szCs w:val="16"/>
                <w:highlight w:val="none"/>
              </w:rPr>
              <w:t>指标完成情况</w:t>
            </w:r>
          </w:p>
        </w:tc>
        <w:tc>
          <w:tcPr>
            <w:tcW w:w="801"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一级指标</w:t>
            </w:r>
          </w:p>
        </w:tc>
        <w:tc>
          <w:tcPr>
            <w:tcW w:w="849" w:type="dxa"/>
            <w:tcBorders>
              <w:bottom w:val="single" w:color="auto" w:sz="4" w:space="0"/>
            </w:tcBorders>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二级指标</w:t>
            </w:r>
          </w:p>
        </w:tc>
        <w:tc>
          <w:tcPr>
            <w:tcW w:w="1200" w:type="dxa"/>
            <w:gridSpan w:val="2"/>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三级指标</w:t>
            </w:r>
          </w:p>
        </w:tc>
        <w:tc>
          <w:tcPr>
            <w:tcW w:w="1230"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预期指标值</w:t>
            </w:r>
          </w:p>
        </w:tc>
        <w:tc>
          <w:tcPr>
            <w:tcW w:w="2138"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实际完成值</w:t>
            </w:r>
          </w:p>
        </w:tc>
        <w:tc>
          <w:tcPr>
            <w:tcW w:w="1515"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自评得分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restart"/>
            <w:tcBorders>
              <w:bottom w:val="nil"/>
              <w:right w:val="single" w:color="auto" w:sz="4" w:space="0"/>
            </w:tcBorders>
            <w:vAlign w:val="top"/>
          </w:tcPr>
          <w:p>
            <w:pPr>
              <w:spacing w:line="244" w:lineRule="auto"/>
              <w:jc w:val="center"/>
              <w:rPr>
                <w:rFonts w:hint="eastAsia" w:ascii="宋体" w:hAnsi="宋体" w:eastAsia="宋体" w:cs="宋体"/>
                <w:color w:val="auto"/>
                <w:kern w:val="0"/>
                <w:sz w:val="16"/>
                <w:szCs w:val="16"/>
                <w:highlight w:val="none"/>
                <w:lang w:val="en-US" w:eastAsia="zh-CN" w:bidi="ar-SA"/>
              </w:rPr>
            </w:pPr>
          </w:p>
          <w:p>
            <w:pPr>
              <w:spacing w:line="244" w:lineRule="auto"/>
              <w:jc w:val="center"/>
              <w:rPr>
                <w:rFonts w:hint="eastAsia" w:ascii="宋体" w:hAnsi="宋体" w:eastAsia="宋体" w:cs="宋体"/>
                <w:color w:val="auto"/>
                <w:kern w:val="0"/>
                <w:sz w:val="16"/>
                <w:szCs w:val="16"/>
                <w:highlight w:val="none"/>
                <w:lang w:val="en-US" w:eastAsia="zh-CN" w:bidi="ar-SA"/>
              </w:rPr>
            </w:pPr>
          </w:p>
          <w:p>
            <w:pPr>
              <w:spacing w:line="244" w:lineRule="auto"/>
              <w:jc w:val="center"/>
              <w:rPr>
                <w:rFonts w:hint="eastAsia" w:ascii="宋体" w:hAnsi="宋体" w:eastAsia="宋体" w:cs="宋体"/>
                <w:color w:val="auto"/>
                <w:kern w:val="0"/>
                <w:sz w:val="16"/>
                <w:szCs w:val="16"/>
                <w:highlight w:val="none"/>
                <w:lang w:val="en-US" w:eastAsia="zh-CN" w:bidi="ar-SA"/>
              </w:rPr>
            </w:pPr>
          </w:p>
          <w:p>
            <w:pPr>
              <w:pStyle w:val="27"/>
              <w:spacing w:before="52"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产出指标（50）</w:t>
            </w: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23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数量指标</w:t>
            </w:r>
          </w:p>
        </w:tc>
        <w:tc>
          <w:tcPr>
            <w:tcW w:w="1200" w:type="dxa"/>
            <w:gridSpan w:val="2"/>
            <w:tcBorders>
              <w:left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美丽庭院创建数</w:t>
            </w:r>
          </w:p>
        </w:tc>
        <w:tc>
          <w:tcPr>
            <w:tcW w:w="1230" w:type="dxa"/>
            <w:vAlign w:val="top"/>
          </w:tcPr>
          <w:p>
            <w:pPr>
              <w:pStyle w:val="27"/>
              <w:spacing w:before="76" w:line="24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1174户</w:t>
            </w:r>
          </w:p>
        </w:tc>
        <w:tc>
          <w:tcPr>
            <w:tcW w:w="2138" w:type="dxa"/>
            <w:vAlign w:val="top"/>
          </w:tcPr>
          <w:p>
            <w:pPr>
              <w:pStyle w:val="27"/>
              <w:spacing w:before="76" w:line="241" w:lineRule="auto"/>
              <w:ind w:firstLine="480" w:firstLineChars="300"/>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1174户</w:t>
            </w:r>
          </w:p>
        </w:tc>
        <w:tc>
          <w:tcPr>
            <w:tcW w:w="1515" w:type="dxa"/>
            <w:vAlign w:val="top"/>
          </w:tcPr>
          <w:p>
            <w:pPr>
              <w:pStyle w:val="27"/>
              <w:spacing w:before="256" w:line="185" w:lineRule="auto"/>
              <w:ind w:left="124"/>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continue"/>
            <w:tcBorders>
              <w:top w:val="nil"/>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239"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质量指标</w:t>
            </w:r>
          </w:p>
        </w:tc>
        <w:tc>
          <w:tcPr>
            <w:tcW w:w="1200" w:type="dxa"/>
            <w:gridSpan w:val="2"/>
            <w:tcBorders>
              <w:left w:val="single" w:color="auto" w:sz="4" w:space="0"/>
            </w:tcBorders>
            <w:vAlign w:val="top"/>
          </w:tcPr>
          <w:p>
            <w:pPr>
              <w:pStyle w:val="27"/>
              <w:spacing w:before="78" w:line="221" w:lineRule="auto"/>
              <w:ind w:left="114"/>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创建标准</w:t>
            </w:r>
          </w:p>
        </w:tc>
        <w:tc>
          <w:tcPr>
            <w:tcW w:w="1230"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符合要求</w:t>
            </w:r>
          </w:p>
        </w:tc>
        <w:tc>
          <w:tcPr>
            <w:tcW w:w="2138"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符合要求</w:t>
            </w:r>
          </w:p>
        </w:tc>
        <w:tc>
          <w:tcPr>
            <w:tcW w:w="1515" w:type="dxa"/>
            <w:vAlign w:val="top"/>
          </w:tcPr>
          <w:p>
            <w:pPr>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continue"/>
            <w:tcBorders>
              <w:top w:val="nil"/>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时效指标</w:t>
            </w:r>
          </w:p>
        </w:tc>
        <w:tc>
          <w:tcPr>
            <w:tcW w:w="1200" w:type="dxa"/>
            <w:gridSpan w:val="2"/>
            <w:tcBorders>
              <w:left w:val="single" w:color="auto" w:sz="4" w:space="0"/>
            </w:tcBorders>
            <w:vAlign w:val="top"/>
          </w:tcPr>
          <w:p>
            <w:pPr>
              <w:pStyle w:val="27"/>
              <w:spacing w:before="77" w:line="220" w:lineRule="auto"/>
              <w:ind w:left="119"/>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完成时限</w:t>
            </w:r>
          </w:p>
        </w:tc>
        <w:tc>
          <w:tcPr>
            <w:tcW w:w="1230" w:type="dxa"/>
            <w:vAlign w:val="top"/>
          </w:tcPr>
          <w:p>
            <w:pPr>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1年</w:t>
            </w:r>
          </w:p>
        </w:tc>
        <w:tc>
          <w:tcPr>
            <w:tcW w:w="2138" w:type="dxa"/>
            <w:vAlign w:val="top"/>
          </w:tcPr>
          <w:p>
            <w:pPr>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1年</w:t>
            </w:r>
          </w:p>
        </w:tc>
        <w:tc>
          <w:tcPr>
            <w:tcW w:w="1515" w:type="dxa"/>
            <w:vAlign w:val="top"/>
          </w:tcPr>
          <w:p>
            <w:pPr>
              <w:spacing w:before="91" w:line="195" w:lineRule="auto"/>
              <w:ind w:firstLine="640" w:firstLineChars="400"/>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continue"/>
            <w:tcBorders>
              <w:top w:val="nil"/>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成本指标</w:t>
            </w:r>
          </w:p>
        </w:tc>
        <w:tc>
          <w:tcPr>
            <w:tcW w:w="1200" w:type="dxa"/>
            <w:gridSpan w:val="2"/>
            <w:tcBorders>
              <w:left w:val="single" w:color="auto" w:sz="4" w:space="0"/>
            </w:tcBorders>
            <w:vAlign w:val="top"/>
          </w:tcPr>
          <w:p>
            <w:pPr>
              <w:pStyle w:val="27"/>
              <w:spacing w:before="78" w:line="221" w:lineRule="auto"/>
              <w:ind w:left="114"/>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投入成本</w:t>
            </w:r>
          </w:p>
        </w:tc>
        <w:tc>
          <w:tcPr>
            <w:tcW w:w="1230"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7万元</w:t>
            </w:r>
          </w:p>
        </w:tc>
        <w:tc>
          <w:tcPr>
            <w:tcW w:w="2138"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6.98万元</w:t>
            </w:r>
          </w:p>
        </w:tc>
        <w:tc>
          <w:tcPr>
            <w:tcW w:w="1515" w:type="dxa"/>
            <w:vAlign w:val="top"/>
          </w:tcPr>
          <w:p>
            <w:pPr>
              <w:jc w:val="right"/>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exac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restart"/>
            <w:tcBorders>
              <w:top w:val="single" w:color="auto" w:sz="4" w:space="0"/>
              <w:left w:val="single" w:color="auto" w:sz="4" w:space="0"/>
              <w:bottom w:val="nil"/>
              <w:right w:val="single" w:color="auto" w:sz="4" w:space="0"/>
            </w:tcBorders>
            <w:vAlign w:val="top"/>
          </w:tcPr>
          <w:p>
            <w:pPr>
              <w:spacing w:line="244" w:lineRule="auto"/>
              <w:jc w:val="center"/>
              <w:rPr>
                <w:rFonts w:hint="eastAsia" w:ascii="宋体" w:hAnsi="宋体" w:eastAsia="宋体" w:cs="宋体"/>
                <w:color w:val="auto"/>
                <w:kern w:val="0"/>
                <w:sz w:val="16"/>
                <w:szCs w:val="16"/>
                <w:highlight w:val="none"/>
                <w:lang w:val="en-US" w:eastAsia="zh-CN" w:bidi="ar-SA"/>
              </w:rPr>
            </w:pPr>
          </w:p>
          <w:p>
            <w:pPr>
              <w:spacing w:line="244" w:lineRule="auto"/>
              <w:jc w:val="center"/>
              <w:rPr>
                <w:rFonts w:hint="eastAsia" w:ascii="宋体" w:hAnsi="宋体" w:eastAsia="宋体" w:cs="宋体"/>
                <w:color w:val="auto"/>
                <w:kern w:val="0"/>
                <w:sz w:val="16"/>
                <w:szCs w:val="16"/>
                <w:highlight w:val="none"/>
                <w:lang w:val="en-US" w:eastAsia="zh-CN" w:bidi="ar-SA"/>
              </w:rPr>
            </w:pPr>
          </w:p>
          <w:p>
            <w:pPr>
              <w:pStyle w:val="27"/>
              <w:spacing w:before="52"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效益指标（30）</w:t>
            </w: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242" w:line="347"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经济效益指标</w:t>
            </w:r>
          </w:p>
        </w:tc>
        <w:tc>
          <w:tcPr>
            <w:tcW w:w="1200" w:type="dxa"/>
            <w:gridSpan w:val="2"/>
            <w:tcBorders>
              <w:top w:val="single" w:color="auto" w:sz="4" w:space="0"/>
              <w:left w:val="single" w:color="auto" w:sz="4" w:space="0"/>
            </w:tcBorders>
            <w:vAlign w:val="top"/>
          </w:tcPr>
          <w:p>
            <w:pPr>
              <w:pStyle w:val="27"/>
              <w:spacing w:before="77" w:line="221" w:lineRule="auto"/>
              <w:ind w:left="114"/>
              <w:jc w:val="center"/>
              <w:rPr>
                <w:rFonts w:hint="eastAsia" w:ascii="宋体" w:hAnsi="宋体" w:eastAsia="宋体" w:cs="宋体"/>
                <w:color w:val="auto"/>
                <w:kern w:val="0"/>
                <w:sz w:val="16"/>
                <w:szCs w:val="16"/>
                <w:highlight w:val="none"/>
                <w:lang w:val="en-US" w:eastAsia="zh-CN" w:bidi="ar-SA"/>
              </w:rPr>
            </w:pPr>
          </w:p>
        </w:tc>
        <w:tc>
          <w:tcPr>
            <w:tcW w:w="1230" w:type="dxa"/>
            <w:tcBorders>
              <w:top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2138" w:type="dxa"/>
            <w:tcBorders>
              <w:top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1515" w:type="dxa"/>
            <w:tcBorders>
              <w:top w:val="single" w:color="auto" w:sz="4" w:space="0"/>
              <w:right w:val="single" w:color="auto" w:sz="4" w:space="0"/>
            </w:tcBorders>
            <w:vAlign w:val="top"/>
          </w:tcPr>
          <w:p>
            <w:pPr>
              <w:jc w:val="right"/>
              <w:rPr>
                <w:rFonts w:hint="eastAsia" w:ascii="宋体" w:hAnsi="宋体" w:eastAsia="宋体" w:cs="宋体"/>
                <w:color w:val="auto"/>
                <w:kern w:val="0"/>
                <w:sz w:val="16"/>
                <w:szCs w:val="16"/>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continue"/>
            <w:tcBorders>
              <w:top w:val="nil"/>
              <w:left w:val="single" w:color="auto" w:sz="4" w:space="0"/>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347"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社会效益指标</w:t>
            </w:r>
          </w:p>
        </w:tc>
        <w:tc>
          <w:tcPr>
            <w:tcW w:w="1200" w:type="dxa"/>
            <w:gridSpan w:val="2"/>
            <w:tcBorders>
              <w:left w:val="single" w:color="auto" w:sz="4" w:space="0"/>
            </w:tcBorders>
            <w:vAlign w:val="top"/>
          </w:tcPr>
          <w:p>
            <w:pPr>
              <w:pStyle w:val="27"/>
              <w:spacing w:before="79"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乡村人居环境</w:t>
            </w:r>
          </w:p>
        </w:tc>
        <w:tc>
          <w:tcPr>
            <w:tcW w:w="1230" w:type="dxa"/>
            <w:vAlign w:val="top"/>
          </w:tcPr>
          <w:p>
            <w:pPr>
              <w:spacing w:before="90" w:line="195"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推动改善乡村人居环境</w:t>
            </w:r>
          </w:p>
        </w:tc>
        <w:tc>
          <w:tcPr>
            <w:tcW w:w="2138" w:type="dxa"/>
            <w:vAlign w:val="top"/>
          </w:tcPr>
          <w:p>
            <w:pPr>
              <w:spacing w:before="90" w:line="195"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改善了村民居住环境</w:t>
            </w:r>
          </w:p>
        </w:tc>
        <w:tc>
          <w:tcPr>
            <w:tcW w:w="1515" w:type="dxa"/>
            <w:tcBorders>
              <w:right w:val="single" w:color="auto" w:sz="4" w:space="0"/>
            </w:tcBorders>
            <w:vAlign w:val="top"/>
          </w:tcPr>
          <w:p>
            <w:pPr>
              <w:spacing w:before="90" w:line="195" w:lineRule="auto"/>
              <w:ind w:left="387" w:firstLine="160" w:firstLineChars="100"/>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continue"/>
            <w:tcBorders>
              <w:top w:val="nil"/>
              <w:left w:val="single" w:color="auto" w:sz="4" w:space="0"/>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83" w:line="315"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生态效益指 标</w:t>
            </w:r>
          </w:p>
        </w:tc>
        <w:tc>
          <w:tcPr>
            <w:tcW w:w="1200" w:type="dxa"/>
            <w:gridSpan w:val="2"/>
            <w:tcBorders>
              <w:left w:val="single" w:color="auto" w:sz="4" w:space="0"/>
            </w:tcBorders>
            <w:vAlign w:val="top"/>
          </w:tcPr>
          <w:p>
            <w:pPr>
              <w:pStyle w:val="27"/>
              <w:spacing w:before="78"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乡村生态建设</w:t>
            </w:r>
          </w:p>
        </w:tc>
        <w:tc>
          <w:tcPr>
            <w:tcW w:w="1230"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推进美丽乡村建设</w:t>
            </w:r>
          </w:p>
        </w:tc>
        <w:tc>
          <w:tcPr>
            <w:tcW w:w="2138"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通过改善居住环境，推进了乡村生态建设</w:t>
            </w:r>
          </w:p>
        </w:tc>
        <w:tc>
          <w:tcPr>
            <w:tcW w:w="1515" w:type="dxa"/>
            <w:tcBorders>
              <w:right w:val="single" w:color="auto" w:sz="4" w:space="0"/>
            </w:tcBorders>
            <w:vAlign w:val="top"/>
          </w:tcPr>
          <w:p>
            <w:pPr>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exac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continue"/>
            <w:tcBorders>
              <w:top w:val="nil"/>
              <w:left w:val="single" w:color="auto" w:sz="4" w:space="0"/>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347"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可持续影响指标</w:t>
            </w:r>
          </w:p>
        </w:tc>
        <w:tc>
          <w:tcPr>
            <w:tcW w:w="1200" w:type="dxa"/>
            <w:gridSpan w:val="2"/>
            <w:tcBorders>
              <w:left w:val="single" w:color="auto" w:sz="4" w:space="0"/>
            </w:tcBorders>
            <w:vAlign w:val="top"/>
          </w:tcPr>
          <w:p>
            <w:pPr>
              <w:pStyle w:val="27"/>
              <w:spacing w:before="234"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美丽乡村建设</w:t>
            </w:r>
          </w:p>
        </w:tc>
        <w:tc>
          <w:tcPr>
            <w:tcW w:w="1230" w:type="dxa"/>
            <w:vAlign w:val="top"/>
          </w:tcPr>
          <w:p>
            <w:pPr>
              <w:pStyle w:val="27"/>
              <w:spacing w:before="77" w:line="312" w:lineRule="auto"/>
              <w:ind w:right="133"/>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推进美丽乡村建设持续开展</w:t>
            </w:r>
          </w:p>
        </w:tc>
        <w:tc>
          <w:tcPr>
            <w:tcW w:w="2138" w:type="dxa"/>
            <w:vAlign w:val="top"/>
          </w:tcPr>
          <w:p>
            <w:pPr>
              <w:spacing w:before="247" w:line="195"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提高了村民环保意识，美丽乡村建设获得持久内生动力</w:t>
            </w:r>
          </w:p>
        </w:tc>
        <w:tc>
          <w:tcPr>
            <w:tcW w:w="1515" w:type="dxa"/>
            <w:tcBorders>
              <w:right w:val="single" w:color="auto" w:sz="4" w:space="0"/>
            </w:tcBorders>
            <w:vAlign w:val="top"/>
          </w:tcPr>
          <w:p>
            <w:pPr>
              <w:spacing w:before="247" w:line="195" w:lineRule="auto"/>
              <w:ind w:left="387" w:firstLine="160" w:firstLineChars="100"/>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tcBorders>
              <w:left w:val="single" w:color="auto" w:sz="4" w:space="0"/>
              <w:bottom w:val="nil"/>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满意度指标（10）</w:t>
            </w:r>
          </w:p>
        </w:tc>
        <w:tc>
          <w:tcPr>
            <w:tcW w:w="849" w:type="dxa"/>
            <w:tcBorders>
              <w:top w:val="single" w:color="auto" w:sz="4" w:space="0"/>
              <w:bottom w:val="nil"/>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满意度指标</w:t>
            </w:r>
          </w:p>
        </w:tc>
        <w:tc>
          <w:tcPr>
            <w:tcW w:w="1200" w:type="dxa"/>
            <w:gridSpan w:val="2"/>
            <w:vAlign w:val="top"/>
          </w:tcPr>
          <w:p>
            <w:pPr>
              <w:pStyle w:val="27"/>
              <w:spacing w:before="77" w:line="220"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w:t>
            </w:r>
          </w:p>
        </w:tc>
        <w:tc>
          <w:tcPr>
            <w:tcW w:w="1230" w:type="dxa"/>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满意度&gt;=90%</w:t>
            </w:r>
          </w:p>
        </w:tc>
        <w:tc>
          <w:tcPr>
            <w:tcW w:w="2138" w:type="dxa"/>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满意度100%</w:t>
            </w:r>
          </w:p>
        </w:tc>
        <w:tc>
          <w:tcPr>
            <w:tcW w:w="1515" w:type="dxa"/>
            <w:tcBorders>
              <w:right w:val="single" w:color="auto" w:sz="4" w:space="0"/>
            </w:tcBorders>
            <w:vAlign w:val="top"/>
          </w:tcPr>
          <w:p>
            <w:pPr>
              <w:pStyle w:val="27"/>
              <w:spacing w:before="77" w:line="220" w:lineRule="auto"/>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tcBorders>
              <w:left w:val="single" w:color="auto" w:sz="4" w:space="0"/>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预算执行率（10）</w:t>
            </w:r>
          </w:p>
        </w:tc>
        <w:tc>
          <w:tcPr>
            <w:tcW w:w="849" w:type="dxa"/>
            <w:tcBorders>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预算执行率</w:t>
            </w:r>
          </w:p>
        </w:tc>
        <w:tc>
          <w:tcPr>
            <w:tcW w:w="1200" w:type="dxa"/>
            <w:gridSpan w:val="2"/>
            <w:tcBorders>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执行率</w:t>
            </w:r>
          </w:p>
        </w:tc>
        <w:tc>
          <w:tcPr>
            <w:tcW w:w="1230" w:type="dxa"/>
            <w:tcBorders>
              <w:bottom w:val="single" w:color="auto" w:sz="4" w:space="0"/>
            </w:tcBorders>
            <w:vAlign w:val="top"/>
          </w:tcPr>
          <w:p>
            <w:pPr>
              <w:pStyle w:val="27"/>
              <w:spacing w:before="77" w:line="220"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100%</w:t>
            </w:r>
          </w:p>
        </w:tc>
        <w:tc>
          <w:tcPr>
            <w:tcW w:w="2138" w:type="dxa"/>
            <w:tcBorders>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99.7</w:t>
            </w:r>
            <w:r>
              <w:rPr>
                <w:rFonts w:hint="default" w:ascii="宋体" w:hAnsi="宋体" w:eastAsia="宋体" w:cs="宋体"/>
                <w:color w:val="auto"/>
                <w:kern w:val="0"/>
                <w:sz w:val="16"/>
                <w:szCs w:val="16"/>
                <w:highlight w:val="none"/>
                <w:lang w:val="zh-CN" w:eastAsia="zh-CN" w:bidi="ar-SA"/>
              </w:rPr>
              <w:t>%</w:t>
            </w:r>
          </w:p>
        </w:tc>
        <w:tc>
          <w:tcPr>
            <w:tcW w:w="1515" w:type="dxa"/>
            <w:tcBorders>
              <w:bottom w:val="single" w:color="auto" w:sz="4" w:space="0"/>
              <w:right w:val="single" w:color="auto" w:sz="4" w:space="0"/>
            </w:tcBorders>
            <w:vAlign w:val="top"/>
          </w:tcPr>
          <w:p>
            <w:pPr>
              <w:pStyle w:val="27"/>
              <w:spacing w:before="77" w:line="220" w:lineRule="auto"/>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76" w:type="dxa"/>
            <w:vMerge w:val="continue"/>
            <w:tcBorders>
              <w:top w:val="nil"/>
            </w:tcBorders>
            <w:vAlign w:val="top"/>
          </w:tcPr>
          <w:p>
            <w:pPr>
              <w:jc w:val="center"/>
              <w:rPr>
                <w:rFonts w:ascii="Arial"/>
                <w:sz w:val="21"/>
                <w:highlight w:val="none"/>
              </w:rPr>
            </w:pPr>
          </w:p>
        </w:tc>
        <w:tc>
          <w:tcPr>
            <w:tcW w:w="6218" w:type="dxa"/>
            <w:gridSpan w:val="6"/>
            <w:tcBorders>
              <w:top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总分</w:t>
            </w:r>
          </w:p>
        </w:tc>
        <w:tc>
          <w:tcPr>
            <w:tcW w:w="1515" w:type="dxa"/>
            <w:tcBorders>
              <w:top w:val="single" w:color="auto" w:sz="4" w:space="0"/>
            </w:tcBorders>
            <w:vAlign w:val="top"/>
          </w:tcPr>
          <w:p>
            <w:pPr>
              <w:pStyle w:val="27"/>
              <w:spacing w:before="77" w:line="220" w:lineRule="auto"/>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100</w:t>
            </w:r>
          </w:p>
        </w:tc>
      </w:tr>
    </w:tbl>
    <w:p>
      <w:pPr>
        <w:pStyle w:val="26"/>
        <w:keepNext w:val="0"/>
        <w:keepLines w:val="0"/>
        <w:pageBreakBefore w:val="0"/>
        <w:numPr>
          <w:ilvl w:val="0"/>
          <w:numId w:val="0"/>
        </w:numPr>
        <w:kinsoku/>
        <w:wordWrap/>
        <w:overflowPunct/>
        <w:topLinePunct w:val="0"/>
        <w:autoSpaceDE/>
        <w:autoSpaceDN/>
        <w:bidi w:val="0"/>
        <w:spacing w:line="570" w:lineRule="exact"/>
        <w:ind w:firstLine="640" w:firstLineChars="200"/>
        <w:textAlignment w:val="auto"/>
        <w:rPr>
          <w:rFonts w:hint="default" w:ascii="Times New Roman" w:hAnsi="Times New Roman" w:eastAsia="仿宋_GB2312" w:cs="Times New Roman"/>
          <w:color w:val="auto"/>
          <w:kern w:val="2"/>
          <w:sz w:val="32"/>
          <w:szCs w:val="32"/>
          <w:highlight w:val="none"/>
          <w:lang w:val="zh-CN" w:eastAsia="zh-CN" w:bidi="ar-SA"/>
        </w:rPr>
      </w:pPr>
      <w:r>
        <w:rPr>
          <w:rFonts w:hint="eastAsia"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en-US" w:eastAsia="zh-CN" w:bidi="ar-SA"/>
        </w:rPr>
        <w:t>省级妇女之家建设</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项目绩效自评情况：根据年初设定的绩效目标，</w:t>
      </w:r>
      <w:r>
        <w:rPr>
          <w:rFonts w:hint="eastAsia"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en-US" w:eastAsia="zh-CN" w:bidi="ar-SA"/>
        </w:rPr>
        <w:t>省级妇女之家建设</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项目绩效自评得分为</w:t>
      </w:r>
      <w:r>
        <w:rPr>
          <w:rFonts w:hint="eastAsia" w:ascii="Times New Roman" w:hAnsi="Times New Roman" w:eastAsia="仿宋_GB2312" w:cs="Times New Roman"/>
          <w:color w:val="auto"/>
          <w:kern w:val="2"/>
          <w:sz w:val="32"/>
          <w:szCs w:val="32"/>
          <w:highlight w:val="none"/>
          <w:lang w:val="en-US" w:eastAsia="zh-CN" w:bidi="ar-SA"/>
        </w:rPr>
        <w:t>100</w:t>
      </w:r>
      <w:r>
        <w:rPr>
          <w:rFonts w:hint="default" w:ascii="Times New Roman" w:hAnsi="Times New Roman" w:eastAsia="仿宋_GB2312" w:cs="Times New Roman"/>
          <w:color w:val="auto"/>
          <w:kern w:val="2"/>
          <w:sz w:val="32"/>
          <w:szCs w:val="32"/>
          <w:highlight w:val="none"/>
          <w:lang w:val="zh-CN" w:eastAsia="zh-CN" w:bidi="ar-SA"/>
        </w:rPr>
        <w:t>分（绩效自评表附后）。全年预算数为</w:t>
      </w:r>
      <w:r>
        <w:rPr>
          <w:rFonts w:hint="eastAsia" w:ascii="Times New Roman" w:hAnsi="Times New Roman" w:eastAsia="仿宋_GB2312" w:cs="Times New Roman"/>
          <w:color w:val="auto"/>
          <w:kern w:val="2"/>
          <w:sz w:val="32"/>
          <w:szCs w:val="32"/>
          <w:highlight w:val="none"/>
          <w:lang w:val="en-US" w:eastAsia="zh-CN" w:bidi="ar-SA"/>
        </w:rPr>
        <w:t>8.5</w:t>
      </w:r>
      <w:r>
        <w:rPr>
          <w:rFonts w:hint="default" w:ascii="Times New Roman" w:hAnsi="Times New Roman" w:eastAsia="仿宋_GB2312" w:cs="Times New Roman"/>
          <w:color w:val="auto"/>
          <w:kern w:val="2"/>
          <w:sz w:val="32"/>
          <w:szCs w:val="32"/>
          <w:highlight w:val="none"/>
          <w:lang w:val="zh-CN" w:eastAsia="zh-CN" w:bidi="ar-SA"/>
        </w:rPr>
        <w:t>万元，执行数为</w:t>
      </w:r>
      <w:r>
        <w:rPr>
          <w:rFonts w:hint="eastAsia" w:ascii="Times New Roman" w:hAnsi="Times New Roman" w:eastAsia="仿宋_GB2312" w:cs="Times New Roman"/>
          <w:color w:val="auto"/>
          <w:kern w:val="2"/>
          <w:sz w:val="32"/>
          <w:szCs w:val="32"/>
          <w:highlight w:val="none"/>
          <w:lang w:val="en-US" w:eastAsia="zh-CN" w:bidi="ar-SA"/>
        </w:rPr>
        <w:t>8.5</w:t>
      </w:r>
      <w:r>
        <w:rPr>
          <w:rFonts w:hint="default" w:ascii="Times New Roman" w:hAnsi="Times New Roman" w:eastAsia="仿宋_GB2312" w:cs="Times New Roman"/>
          <w:color w:val="auto"/>
          <w:kern w:val="2"/>
          <w:sz w:val="32"/>
          <w:szCs w:val="32"/>
          <w:highlight w:val="none"/>
          <w:lang w:val="zh-CN" w:eastAsia="zh-CN" w:bidi="ar-SA"/>
        </w:rPr>
        <w:t>万元，完成预算的</w:t>
      </w:r>
      <w:r>
        <w:rPr>
          <w:rFonts w:hint="eastAsia" w:ascii="Times New Roman" w:hAnsi="Times New Roman" w:eastAsia="仿宋_GB2312" w:cs="Times New Roman"/>
          <w:color w:val="auto"/>
          <w:kern w:val="2"/>
          <w:sz w:val="32"/>
          <w:szCs w:val="32"/>
          <w:highlight w:val="none"/>
          <w:lang w:val="en-US" w:eastAsia="zh-CN" w:bidi="ar-SA"/>
        </w:rPr>
        <w:t>100</w:t>
      </w:r>
      <w:r>
        <w:rPr>
          <w:rFonts w:hint="default" w:ascii="Times New Roman" w:hAnsi="Times New Roman" w:eastAsia="仿宋_GB2312" w:cs="Times New Roman"/>
          <w:color w:val="auto"/>
          <w:kern w:val="2"/>
          <w:sz w:val="32"/>
          <w:szCs w:val="32"/>
          <w:highlight w:val="none"/>
          <w:lang w:val="zh-CN" w:eastAsia="zh-CN" w:bidi="ar-SA"/>
        </w:rPr>
        <w:t>%。项目绩效目标完成情况：</w:t>
      </w:r>
    </w:p>
    <w:p>
      <w:pPr>
        <w:pStyle w:val="26"/>
        <w:keepNext w:val="0"/>
        <w:keepLines w:val="0"/>
        <w:pageBreakBefore w:val="0"/>
        <w:numPr>
          <w:ilvl w:val="0"/>
          <w:numId w:val="0"/>
        </w:numPr>
        <w:kinsoku/>
        <w:wordWrap/>
        <w:overflowPunct/>
        <w:topLinePunct w:val="0"/>
        <w:autoSpaceDE/>
        <w:autoSpaceDN/>
        <w:bidi w:val="0"/>
        <w:spacing w:line="570" w:lineRule="exact"/>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通过项目实施，</w:t>
      </w:r>
      <w:r>
        <w:rPr>
          <w:rFonts w:hint="eastAsia" w:ascii="方正仿宋简体" w:hAnsi="方正仿宋简体" w:eastAsia="方正仿宋简体" w:cs="方正仿宋简体"/>
          <w:sz w:val="32"/>
          <w:szCs w:val="32"/>
          <w:highlight w:val="none"/>
          <w:lang w:val="en-US" w:eastAsia="zh-CN"/>
        </w:rPr>
        <w:t>建</w:t>
      </w:r>
      <w:r>
        <w:rPr>
          <w:rFonts w:hint="eastAsia" w:ascii="方正仿宋简体" w:hAnsi="方正仿宋简体" w:eastAsia="方正仿宋简体" w:cs="方正仿宋简体"/>
          <w:sz w:val="32"/>
          <w:szCs w:val="32"/>
          <w:lang w:val="en-US" w:eastAsia="zh-CN"/>
        </w:rPr>
        <w:t>成开平镇丰山村“省级妇女之家”并通过验收，</w:t>
      </w:r>
      <w:r>
        <w:rPr>
          <w:rFonts w:hint="eastAsia" w:ascii="Times New Roman" w:hAnsi="Times New Roman" w:eastAsia="仿宋_GB2312" w:cs="Times New Roman"/>
          <w:color w:val="auto"/>
          <w:kern w:val="2"/>
          <w:sz w:val="32"/>
          <w:szCs w:val="32"/>
          <w:highlight w:val="none"/>
          <w:lang w:val="en-US" w:eastAsia="zh-CN" w:bidi="ar-SA"/>
        </w:rPr>
        <w:t>完成了年初设定的各项绩效目标，完成了年度总体目标，未发现问题。</w:t>
      </w:r>
    </w:p>
    <w:p>
      <w:pPr>
        <w:spacing w:before="100" w:line="228" w:lineRule="auto"/>
        <w:ind w:left="3658"/>
        <w:rPr>
          <w:rFonts w:ascii="仿宋" w:hAnsi="仿宋" w:eastAsia="仿宋" w:cs="仿宋"/>
          <w:sz w:val="31"/>
          <w:szCs w:val="31"/>
          <w:highlight w:val="none"/>
        </w:rPr>
      </w:pPr>
      <w:r>
        <w:rPr>
          <w:rFonts w:ascii="仿宋" w:hAnsi="仿宋" w:eastAsia="仿宋" w:cs="仿宋"/>
          <w:spacing w:val="4"/>
          <w:sz w:val="31"/>
          <w:szCs w:val="31"/>
          <w:highlight w:val="none"/>
        </w:rPr>
        <w:t>绩效自评表</w:t>
      </w:r>
    </w:p>
    <w:p>
      <w:pPr>
        <w:spacing w:before="146" w:line="220" w:lineRule="auto"/>
        <w:ind w:left="119"/>
        <w:rPr>
          <w:rFonts w:ascii="宋体" w:hAnsi="宋体" w:eastAsia="宋体" w:cs="宋体"/>
          <w:sz w:val="16"/>
          <w:szCs w:val="16"/>
          <w:highlight w:val="none"/>
        </w:rPr>
      </w:pPr>
      <w:r>
        <w:rPr>
          <w:rFonts w:ascii="宋体" w:hAnsi="宋体" w:eastAsia="宋体" w:cs="宋体"/>
          <w:sz w:val="16"/>
          <w:szCs w:val="16"/>
          <w:highlight w:val="none"/>
        </w:rPr>
        <w:t xml:space="preserve">填报单位：                                        </w:t>
      </w:r>
      <w:r>
        <w:rPr>
          <w:rFonts w:hint="eastAsia" w:ascii="宋体" w:hAnsi="宋体" w:eastAsia="宋体" w:cs="宋体"/>
          <w:sz w:val="16"/>
          <w:szCs w:val="16"/>
          <w:highlight w:val="none"/>
          <w:lang w:eastAsia="zh-CN"/>
        </w:rPr>
        <w:t>开平区妇女联合会</w:t>
      </w:r>
      <w:r>
        <w:rPr>
          <w:rFonts w:hint="eastAsia" w:ascii="宋体" w:hAnsi="宋体" w:eastAsia="宋体" w:cs="宋体"/>
          <w:sz w:val="16"/>
          <w:szCs w:val="16"/>
          <w:highlight w:val="none"/>
          <w:lang w:val="en-US" w:eastAsia="zh-CN"/>
        </w:rPr>
        <w:t xml:space="preserve"> </w:t>
      </w:r>
      <w:r>
        <w:rPr>
          <w:rFonts w:ascii="宋体" w:hAnsi="宋体" w:eastAsia="宋体" w:cs="宋体"/>
          <w:sz w:val="16"/>
          <w:szCs w:val="16"/>
          <w:highlight w:val="none"/>
        </w:rPr>
        <w:t xml:space="preserve">                               </w:t>
      </w:r>
      <w:r>
        <w:rPr>
          <w:rFonts w:ascii="宋体" w:hAnsi="宋体" w:eastAsia="宋体" w:cs="宋体"/>
          <w:spacing w:val="-1"/>
          <w:sz w:val="16"/>
          <w:szCs w:val="16"/>
          <w:highlight w:val="none"/>
        </w:rPr>
        <w:t xml:space="preserve">    金额单位：</w:t>
      </w:r>
      <w:r>
        <w:rPr>
          <w:rFonts w:hint="eastAsia" w:ascii="宋体" w:hAnsi="宋体" w:eastAsia="宋体" w:cs="宋体"/>
          <w:spacing w:val="-1"/>
          <w:sz w:val="16"/>
          <w:szCs w:val="16"/>
          <w:highlight w:val="none"/>
          <w:lang w:eastAsia="zh-CN"/>
        </w:rPr>
        <w:t>万</w:t>
      </w:r>
      <w:r>
        <w:rPr>
          <w:rFonts w:ascii="宋体" w:hAnsi="宋体" w:eastAsia="宋体" w:cs="宋体"/>
          <w:spacing w:val="-1"/>
          <w:sz w:val="16"/>
          <w:szCs w:val="16"/>
          <w:highlight w:val="none"/>
        </w:rPr>
        <w:t>元</w:t>
      </w:r>
    </w:p>
    <w:p>
      <w:pPr>
        <w:spacing w:line="106" w:lineRule="exact"/>
        <w:rPr>
          <w:highlight w:val="none"/>
        </w:rPr>
      </w:pPr>
    </w:p>
    <w:tbl>
      <w:tblPr>
        <w:tblStyle w:val="25"/>
        <w:tblW w:w="83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801"/>
        <w:gridCol w:w="849"/>
        <w:gridCol w:w="435"/>
        <w:gridCol w:w="765"/>
        <w:gridCol w:w="1230"/>
        <w:gridCol w:w="2138"/>
        <w:gridCol w:w="1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576" w:type="dxa"/>
            <w:vAlign w:val="top"/>
          </w:tcPr>
          <w:p>
            <w:pPr>
              <w:pStyle w:val="27"/>
              <w:spacing w:before="127" w:line="220" w:lineRule="auto"/>
              <w:ind w:left="115"/>
              <w:jc w:val="center"/>
              <w:rPr>
                <w:sz w:val="16"/>
                <w:szCs w:val="16"/>
                <w:highlight w:val="none"/>
              </w:rPr>
            </w:pPr>
            <w:r>
              <w:rPr>
                <w:spacing w:val="-2"/>
                <w:sz w:val="16"/>
                <w:szCs w:val="16"/>
                <w:highlight w:val="none"/>
              </w:rPr>
              <w:t>一、 基本情况</w:t>
            </w:r>
          </w:p>
        </w:tc>
        <w:tc>
          <w:tcPr>
            <w:tcW w:w="801" w:type="dxa"/>
            <w:vAlign w:val="top"/>
          </w:tcPr>
          <w:p>
            <w:pPr>
              <w:pStyle w:val="27"/>
              <w:spacing w:before="128" w:line="221" w:lineRule="auto"/>
              <w:jc w:val="both"/>
              <w:rPr>
                <w:sz w:val="16"/>
                <w:szCs w:val="16"/>
                <w:highlight w:val="none"/>
              </w:rPr>
            </w:pPr>
            <w:r>
              <w:rPr>
                <w:spacing w:val="-2"/>
                <w:sz w:val="16"/>
                <w:szCs w:val="16"/>
                <w:highlight w:val="none"/>
              </w:rPr>
              <w:t>项目名称</w:t>
            </w:r>
          </w:p>
        </w:tc>
        <w:tc>
          <w:tcPr>
            <w:tcW w:w="1284" w:type="dxa"/>
            <w:gridSpan w:val="2"/>
            <w:vAlign w:val="top"/>
          </w:tcPr>
          <w:p>
            <w:pPr>
              <w:pStyle w:val="27"/>
              <w:spacing w:before="127" w:line="220" w:lineRule="auto"/>
              <w:jc w:val="both"/>
              <w:rPr>
                <w:sz w:val="16"/>
                <w:szCs w:val="16"/>
                <w:highlight w:val="none"/>
              </w:rPr>
            </w:pPr>
            <w:r>
              <w:rPr>
                <w:rFonts w:hint="eastAsia"/>
                <w:sz w:val="16"/>
                <w:szCs w:val="16"/>
                <w:highlight w:val="none"/>
                <w:lang w:val="en-US" w:eastAsia="zh-CN"/>
              </w:rPr>
              <w:t>“省级妇女之家”建设</w:t>
            </w:r>
          </w:p>
        </w:tc>
        <w:tc>
          <w:tcPr>
            <w:tcW w:w="765" w:type="dxa"/>
            <w:vAlign w:val="top"/>
          </w:tcPr>
          <w:p>
            <w:pPr>
              <w:pStyle w:val="27"/>
              <w:spacing w:before="128" w:line="221" w:lineRule="auto"/>
              <w:ind w:left="124"/>
              <w:jc w:val="center"/>
              <w:rPr>
                <w:sz w:val="16"/>
                <w:szCs w:val="16"/>
                <w:highlight w:val="none"/>
              </w:rPr>
            </w:pPr>
            <w:r>
              <w:rPr>
                <w:spacing w:val="-3"/>
                <w:sz w:val="16"/>
                <w:szCs w:val="16"/>
                <w:highlight w:val="none"/>
              </w:rPr>
              <w:t>实施单位</w:t>
            </w:r>
          </w:p>
        </w:tc>
        <w:tc>
          <w:tcPr>
            <w:tcW w:w="4883" w:type="dxa"/>
            <w:gridSpan w:val="3"/>
            <w:vAlign w:val="top"/>
          </w:tcPr>
          <w:p>
            <w:pPr>
              <w:pStyle w:val="27"/>
              <w:spacing w:before="88" w:line="219" w:lineRule="auto"/>
              <w:ind w:left="1140"/>
              <w:jc w:val="center"/>
              <w:rPr>
                <w:sz w:val="24"/>
                <w:szCs w:val="24"/>
                <w:highlight w:val="none"/>
              </w:rPr>
            </w:pPr>
            <w:r>
              <w:rPr>
                <w:rFonts w:hint="eastAsia" w:ascii="宋体" w:hAnsi="宋体" w:eastAsia="宋体" w:cs="宋体"/>
                <w:sz w:val="16"/>
                <w:szCs w:val="16"/>
                <w:highlight w:val="none"/>
                <w:lang w:eastAsia="zh-CN"/>
              </w:rPr>
              <w:t>开平区妇女联合会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76" w:type="dxa"/>
            <w:vMerge w:val="restart"/>
            <w:tcBorders>
              <w:bottom w:val="nil"/>
            </w:tcBorders>
            <w:vAlign w:val="top"/>
          </w:tcPr>
          <w:p>
            <w:pPr>
              <w:pStyle w:val="27"/>
              <w:spacing w:before="52" w:line="347" w:lineRule="auto"/>
              <w:ind w:right="105"/>
              <w:jc w:val="center"/>
              <w:rPr>
                <w:sz w:val="16"/>
                <w:szCs w:val="16"/>
                <w:highlight w:val="none"/>
              </w:rPr>
            </w:pPr>
            <w:r>
              <w:rPr>
                <w:spacing w:val="-9"/>
                <w:sz w:val="16"/>
                <w:szCs w:val="16"/>
                <w:highlight w:val="none"/>
              </w:rPr>
              <w:t>二、预算执行情</w:t>
            </w:r>
            <w:r>
              <w:rPr>
                <w:sz w:val="16"/>
                <w:szCs w:val="16"/>
                <w:highlight w:val="none"/>
              </w:rPr>
              <w:t>况</w:t>
            </w:r>
          </w:p>
        </w:tc>
        <w:tc>
          <w:tcPr>
            <w:tcW w:w="1650" w:type="dxa"/>
            <w:gridSpan w:val="2"/>
            <w:vAlign w:val="top"/>
          </w:tcPr>
          <w:p>
            <w:pPr>
              <w:pStyle w:val="27"/>
              <w:spacing w:before="77" w:line="220" w:lineRule="auto"/>
              <w:jc w:val="center"/>
              <w:rPr>
                <w:sz w:val="16"/>
                <w:szCs w:val="16"/>
                <w:highlight w:val="none"/>
              </w:rPr>
            </w:pPr>
            <w:r>
              <w:rPr>
                <w:spacing w:val="-1"/>
                <w:sz w:val="16"/>
                <w:szCs w:val="16"/>
                <w:highlight w:val="none"/>
              </w:rPr>
              <w:t>预算安排情况（调整后）</w:t>
            </w:r>
          </w:p>
        </w:tc>
        <w:tc>
          <w:tcPr>
            <w:tcW w:w="1200" w:type="dxa"/>
            <w:gridSpan w:val="2"/>
            <w:vAlign w:val="top"/>
          </w:tcPr>
          <w:p>
            <w:pPr>
              <w:pStyle w:val="27"/>
              <w:spacing w:before="77" w:line="221" w:lineRule="auto"/>
              <w:ind w:firstLine="156" w:firstLineChars="100"/>
              <w:jc w:val="center"/>
              <w:rPr>
                <w:sz w:val="16"/>
                <w:szCs w:val="16"/>
                <w:highlight w:val="none"/>
              </w:rPr>
            </w:pPr>
            <w:r>
              <w:rPr>
                <w:spacing w:val="-2"/>
                <w:sz w:val="16"/>
                <w:szCs w:val="16"/>
                <w:highlight w:val="none"/>
              </w:rPr>
              <w:t>资金到位情况</w:t>
            </w:r>
          </w:p>
        </w:tc>
        <w:tc>
          <w:tcPr>
            <w:tcW w:w="3368" w:type="dxa"/>
            <w:gridSpan w:val="2"/>
            <w:vAlign w:val="top"/>
          </w:tcPr>
          <w:p>
            <w:pPr>
              <w:pStyle w:val="27"/>
              <w:spacing w:before="77" w:line="220" w:lineRule="auto"/>
              <w:ind w:left="1016"/>
              <w:jc w:val="center"/>
              <w:rPr>
                <w:sz w:val="16"/>
                <w:szCs w:val="16"/>
                <w:highlight w:val="none"/>
              </w:rPr>
            </w:pPr>
            <w:r>
              <w:rPr>
                <w:spacing w:val="-2"/>
                <w:sz w:val="16"/>
                <w:szCs w:val="16"/>
                <w:highlight w:val="none"/>
              </w:rPr>
              <w:t>资金执行情况</w:t>
            </w:r>
          </w:p>
        </w:tc>
        <w:tc>
          <w:tcPr>
            <w:tcW w:w="1515" w:type="dxa"/>
            <w:vAlign w:val="top"/>
          </w:tcPr>
          <w:p>
            <w:pPr>
              <w:pStyle w:val="27"/>
              <w:spacing w:before="77" w:line="220" w:lineRule="auto"/>
              <w:jc w:val="center"/>
              <w:rPr>
                <w:sz w:val="16"/>
                <w:szCs w:val="16"/>
                <w:highlight w:val="none"/>
              </w:rPr>
            </w:pPr>
            <w:r>
              <w:rPr>
                <w:spacing w:val="-1"/>
                <w:sz w:val="16"/>
                <w:szCs w:val="16"/>
                <w:highlight w:val="none"/>
              </w:rPr>
              <w:t>预算执行进度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exact"/>
        </w:trPr>
        <w:tc>
          <w:tcPr>
            <w:tcW w:w="576" w:type="dxa"/>
            <w:vMerge w:val="continue"/>
            <w:tcBorders>
              <w:top w:val="nil"/>
              <w:bottom w:val="nil"/>
            </w:tcBorders>
            <w:vAlign w:val="top"/>
          </w:tcPr>
          <w:p>
            <w:pPr>
              <w:jc w:val="center"/>
              <w:rPr>
                <w:rFonts w:ascii="Arial"/>
                <w:sz w:val="21"/>
                <w:highlight w:val="none"/>
              </w:rPr>
            </w:pPr>
          </w:p>
        </w:tc>
        <w:tc>
          <w:tcPr>
            <w:tcW w:w="801" w:type="dxa"/>
            <w:vAlign w:val="top"/>
          </w:tcPr>
          <w:p>
            <w:pPr>
              <w:pStyle w:val="27"/>
              <w:spacing w:before="76" w:line="220" w:lineRule="auto"/>
              <w:ind w:left="110"/>
              <w:jc w:val="center"/>
              <w:rPr>
                <w:sz w:val="16"/>
                <w:szCs w:val="16"/>
                <w:highlight w:val="none"/>
              </w:rPr>
            </w:pPr>
            <w:r>
              <w:rPr>
                <w:spacing w:val="-2"/>
                <w:sz w:val="16"/>
                <w:szCs w:val="16"/>
                <w:highlight w:val="none"/>
              </w:rPr>
              <w:t>预算数：</w:t>
            </w:r>
          </w:p>
        </w:tc>
        <w:tc>
          <w:tcPr>
            <w:tcW w:w="849" w:type="dxa"/>
            <w:vAlign w:val="top"/>
          </w:tcPr>
          <w:p>
            <w:pPr>
              <w:pStyle w:val="27"/>
              <w:spacing w:before="100" w:line="185" w:lineRule="auto"/>
              <w:ind w:left="122"/>
              <w:jc w:val="center"/>
              <w:rPr>
                <w:rFonts w:hint="default" w:eastAsia="宋体"/>
                <w:sz w:val="16"/>
                <w:szCs w:val="16"/>
                <w:highlight w:val="none"/>
                <w:lang w:val="en-US" w:eastAsia="zh-CN"/>
              </w:rPr>
            </w:pPr>
            <w:r>
              <w:rPr>
                <w:rFonts w:hint="eastAsia"/>
                <w:sz w:val="16"/>
                <w:szCs w:val="16"/>
                <w:highlight w:val="none"/>
                <w:lang w:val="en-US" w:eastAsia="zh-CN"/>
              </w:rPr>
              <w:t>8.5</w:t>
            </w:r>
          </w:p>
        </w:tc>
        <w:tc>
          <w:tcPr>
            <w:tcW w:w="435" w:type="dxa"/>
            <w:vAlign w:val="top"/>
          </w:tcPr>
          <w:p>
            <w:pPr>
              <w:pStyle w:val="27"/>
              <w:spacing w:before="76" w:line="220" w:lineRule="auto"/>
              <w:ind w:left="117"/>
              <w:jc w:val="center"/>
              <w:rPr>
                <w:sz w:val="16"/>
                <w:szCs w:val="16"/>
                <w:highlight w:val="none"/>
              </w:rPr>
            </w:pPr>
            <w:r>
              <w:rPr>
                <w:spacing w:val="-3"/>
                <w:sz w:val="16"/>
                <w:szCs w:val="16"/>
                <w:highlight w:val="none"/>
              </w:rPr>
              <w:t>到位数：</w:t>
            </w:r>
          </w:p>
        </w:tc>
        <w:tc>
          <w:tcPr>
            <w:tcW w:w="765" w:type="dxa"/>
            <w:vAlign w:val="top"/>
          </w:tcPr>
          <w:p>
            <w:pPr>
              <w:pStyle w:val="27"/>
              <w:spacing w:before="100" w:line="185" w:lineRule="auto"/>
              <w:ind w:left="123"/>
              <w:jc w:val="center"/>
              <w:rPr>
                <w:rFonts w:hint="default" w:eastAsia="宋体"/>
                <w:sz w:val="16"/>
                <w:szCs w:val="16"/>
                <w:highlight w:val="none"/>
                <w:lang w:val="en-US" w:eastAsia="zh-CN"/>
              </w:rPr>
            </w:pPr>
            <w:r>
              <w:rPr>
                <w:rFonts w:hint="eastAsia"/>
                <w:sz w:val="16"/>
                <w:szCs w:val="16"/>
                <w:highlight w:val="none"/>
                <w:lang w:val="en-US" w:eastAsia="zh-CN"/>
              </w:rPr>
              <w:t>8.5</w:t>
            </w:r>
          </w:p>
        </w:tc>
        <w:tc>
          <w:tcPr>
            <w:tcW w:w="1230" w:type="dxa"/>
            <w:vAlign w:val="top"/>
          </w:tcPr>
          <w:p>
            <w:pPr>
              <w:pStyle w:val="27"/>
              <w:spacing w:before="76" w:line="220" w:lineRule="auto"/>
              <w:ind w:left="111"/>
              <w:jc w:val="center"/>
              <w:rPr>
                <w:sz w:val="16"/>
                <w:szCs w:val="16"/>
                <w:highlight w:val="none"/>
              </w:rPr>
            </w:pPr>
            <w:r>
              <w:rPr>
                <w:spacing w:val="-2"/>
                <w:sz w:val="16"/>
                <w:szCs w:val="16"/>
                <w:highlight w:val="none"/>
              </w:rPr>
              <w:t>执行数：</w:t>
            </w:r>
          </w:p>
        </w:tc>
        <w:tc>
          <w:tcPr>
            <w:tcW w:w="2138" w:type="dxa"/>
            <w:vAlign w:val="top"/>
          </w:tcPr>
          <w:p>
            <w:pPr>
              <w:pStyle w:val="27"/>
              <w:spacing w:before="100" w:line="185" w:lineRule="auto"/>
              <w:ind w:left="124"/>
              <w:jc w:val="center"/>
              <w:rPr>
                <w:rFonts w:hint="default" w:eastAsia="宋体"/>
                <w:sz w:val="16"/>
                <w:szCs w:val="16"/>
                <w:highlight w:val="none"/>
                <w:lang w:val="en-US" w:eastAsia="zh-CN"/>
              </w:rPr>
            </w:pPr>
            <w:r>
              <w:rPr>
                <w:rFonts w:hint="eastAsia"/>
                <w:sz w:val="16"/>
                <w:szCs w:val="16"/>
                <w:highlight w:val="none"/>
                <w:lang w:val="en-US" w:eastAsia="zh-CN"/>
              </w:rPr>
              <w:t>8.5</w:t>
            </w:r>
          </w:p>
        </w:tc>
        <w:tc>
          <w:tcPr>
            <w:tcW w:w="1515" w:type="dxa"/>
            <w:vMerge w:val="restart"/>
            <w:tcBorders>
              <w:bottom w:val="nil"/>
            </w:tcBorders>
            <w:vAlign w:val="top"/>
          </w:tcPr>
          <w:p>
            <w:pPr>
              <w:pStyle w:val="27"/>
              <w:spacing w:before="52" w:line="347" w:lineRule="auto"/>
              <w:ind w:right="126"/>
              <w:jc w:val="center"/>
              <w:rPr>
                <w:sz w:val="16"/>
                <w:szCs w:val="16"/>
                <w:highlight w:val="none"/>
              </w:rPr>
            </w:pPr>
            <w:r>
              <w:rPr>
                <w:spacing w:val="-2"/>
                <w:sz w:val="16"/>
                <w:szCs w:val="16"/>
                <w:highlight w:val="none"/>
              </w:rPr>
              <w:t>（=执行数/预</w:t>
            </w:r>
            <w:r>
              <w:rPr>
                <w:spacing w:val="2"/>
                <w:sz w:val="16"/>
                <w:szCs w:val="16"/>
                <w:highlight w:val="none"/>
              </w:rPr>
              <w:t xml:space="preserve"> </w:t>
            </w:r>
            <w:r>
              <w:rPr>
                <w:spacing w:val="-1"/>
                <w:sz w:val="16"/>
                <w:szCs w:val="16"/>
                <w:highlight w:val="none"/>
              </w:rPr>
              <w:t>算数*100%）</w:t>
            </w:r>
            <w:r>
              <w:rPr>
                <w:rFonts w:hint="eastAsia"/>
                <w:spacing w:val="-1"/>
                <w:sz w:val="16"/>
                <w:szCs w:val="16"/>
                <w:highlight w:val="none"/>
                <w:lang w:val="en-US" w:eastAsia="zh-CN"/>
              </w:rPr>
              <w:t>100</w:t>
            </w:r>
            <w:r>
              <w:rPr>
                <w:rFonts w:hint="default"/>
                <w:spacing w:val="-1"/>
                <w:sz w:val="16"/>
                <w:szCs w:val="16"/>
                <w:highlight w:val="none"/>
                <w:lang w:val="zh-CN"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exact"/>
        </w:trPr>
        <w:tc>
          <w:tcPr>
            <w:tcW w:w="576" w:type="dxa"/>
            <w:vMerge w:val="continue"/>
            <w:tcBorders>
              <w:top w:val="nil"/>
              <w:bottom w:val="nil"/>
            </w:tcBorders>
            <w:vAlign w:val="top"/>
          </w:tcPr>
          <w:p>
            <w:pPr>
              <w:jc w:val="center"/>
              <w:rPr>
                <w:rFonts w:ascii="Arial"/>
                <w:sz w:val="21"/>
                <w:highlight w:val="none"/>
              </w:rPr>
            </w:pPr>
          </w:p>
        </w:tc>
        <w:tc>
          <w:tcPr>
            <w:tcW w:w="801" w:type="dxa"/>
            <w:vAlign w:val="top"/>
          </w:tcPr>
          <w:p>
            <w:pPr>
              <w:pStyle w:val="27"/>
              <w:spacing w:before="76" w:line="313" w:lineRule="auto"/>
              <w:ind w:right="104"/>
              <w:jc w:val="center"/>
              <w:rPr>
                <w:sz w:val="16"/>
                <w:szCs w:val="16"/>
                <w:highlight w:val="none"/>
              </w:rPr>
            </w:pPr>
            <w:r>
              <w:rPr>
                <w:spacing w:val="-2"/>
                <w:sz w:val="16"/>
                <w:szCs w:val="16"/>
                <w:highlight w:val="none"/>
              </w:rPr>
              <w:t>其中：财政资</w:t>
            </w:r>
            <w:r>
              <w:rPr>
                <w:spacing w:val="-7"/>
                <w:sz w:val="16"/>
                <w:szCs w:val="16"/>
                <w:highlight w:val="none"/>
              </w:rPr>
              <w:t>金</w:t>
            </w:r>
          </w:p>
        </w:tc>
        <w:tc>
          <w:tcPr>
            <w:tcW w:w="849" w:type="dxa"/>
            <w:vAlign w:val="top"/>
          </w:tcPr>
          <w:p>
            <w:pPr>
              <w:pStyle w:val="27"/>
              <w:spacing w:before="256" w:line="185" w:lineRule="auto"/>
              <w:ind w:left="122"/>
              <w:jc w:val="center"/>
              <w:rPr>
                <w:rFonts w:hint="default" w:eastAsia="宋体"/>
                <w:sz w:val="16"/>
                <w:szCs w:val="16"/>
                <w:highlight w:val="none"/>
                <w:lang w:val="en-US" w:eastAsia="zh-CN"/>
              </w:rPr>
            </w:pPr>
            <w:r>
              <w:rPr>
                <w:rFonts w:hint="eastAsia"/>
                <w:sz w:val="16"/>
                <w:szCs w:val="16"/>
                <w:highlight w:val="none"/>
                <w:lang w:val="en-US" w:eastAsia="zh-CN"/>
              </w:rPr>
              <w:t>8.5</w:t>
            </w:r>
          </w:p>
        </w:tc>
        <w:tc>
          <w:tcPr>
            <w:tcW w:w="435" w:type="dxa"/>
            <w:vAlign w:val="top"/>
          </w:tcPr>
          <w:p>
            <w:pPr>
              <w:pStyle w:val="27"/>
              <w:spacing w:before="76" w:line="313" w:lineRule="auto"/>
              <w:ind w:right="103"/>
              <w:jc w:val="both"/>
              <w:rPr>
                <w:sz w:val="16"/>
                <w:szCs w:val="16"/>
                <w:highlight w:val="none"/>
              </w:rPr>
            </w:pPr>
            <w:r>
              <w:rPr>
                <w:spacing w:val="-2"/>
                <w:sz w:val="16"/>
                <w:szCs w:val="16"/>
                <w:highlight w:val="none"/>
              </w:rPr>
              <w:t>其中：财政</w:t>
            </w:r>
            <w:r>
              <w:rPr>
                <w:spacing w:val="-6"/>
                <w:sz w:val="16"/>
                <w:szCs w:val="16"/>
                <w:highlight w:val="none"/>
              </w:rPr>
              <w:t>资金</w:t>
            </w:r>
          </w:p>
        </w:tc>
        <w:tc>
          <w:tcPr>
            <w:tcW w:w="765" w:type="dxa"/>
            <w:vAlign w:val="top"/>
          </w:tcPr>
          <w:p>
            <w:pPr>
              <w:pStyle w:val="27"/>
              <w:spacing w:before="256" w:line="185" w:lineRule="auto"/>
              <w:ind w:left="123"/>
              <w:jc w:val="center"/>
              <w:rPr>
                <w:rFonts w:hint="default" w:eastAsia="宋体"/>
                <w:sz w:val="16"/>
                <w:szCs w:val="16"/>
                <w:highlight w:val="none"/>
                <w:lang w:val="en-US" w:eastAsia="zh-CN"/>
              </w:rPr>
            </w:pPr>
            <w:r>
              <w:rPr>
                <w:rFonts w:hint="eastAsia"/>
                <w:sz w:val="16"/>
                <w:szCs w:val="16"/>
                <w:highlight w:val="none"/>
                <w:lang w:val="en-US" w:eastAsia="zh-CN"/>
              </w:rPr>
              <w:t>8.5</w:t>
            </w:r>
          </w:p>
        </w:tc>
        <w:tc>
          <w:tcPr>
            <w:tcW w:w="1230" w:type="dxa"/>
            <w:vAlign w:val="top"/>
          </w:tcPr>
          <w:p>
            <w:pPr>
              <w:pStyle w:val="27"/>
              <w:spacing w:before="232" w:line="221" w:lineRule="auto"/>
              <w:jc w:val="center"/>
              <w:rPr>
                <w:sz w:val="16"/>
                <w:szCs w:val="16"/>
                <w:highlight w:val="none"/>
              </w:rPr>
            </w:pPr>
            <w:r>
              <w:rPr>
                <w:spacing w:val="-1"/>
                <w:sz w:val="16"/>
                <w:szCs w:val="16"/>
                <w:highlight w:val="none"/>
              </w:rPr>
              <w:t>其中：财政资金</w:t>
            </w:r>
          </w:p>
        </w:tc>
        <w:tc>
          <w:tcPr>
            <w:tcW w:w="2138" w:type="dxa"/>
            <w:vAlign w:val="top"/>
          </w:tcPr>
          <w:p>
            <w:pPr>
              <w:pStyle w:val="27"/>
              <w:spacing w:before="256" w:line="185" w:lineRule="auto"/>
              <w:ind w:left="124"/>
              <w:jc w:val="center"/>
              <w:rPr>
                <w:rFonts w:hint="default" w:eastAsia="宋体"/>
                <w:sz w:val="16"/>
                <w:szCs w:val="16"/>
                <w:highlight w:val="none"/>
                <w:lang w:val="en-US" w:eastAsia="zh-CN"/>
              </w:rPr>
            </w:pPr>
            <w:r>
              <w:rPr>
                <w:rFonts w:hint="eastAsia"/>
                <w:sz w:val="16"/>
                <w:szCs w:val="16"/>
                <w:highlight w:val="none"/>
                <w:lang w:val="en-US" w:eastAsia="zh-CN"/>
              </w:rPr>
              <w:t>8.5</w:t>
            </w:r>
          </w:p>
        </w:tc>
        <w:tc>
          <w:tcPr>
            <w:tcW w:w="1515" w:type="dxa"/>
            <w:vMerge w:val="continue"/>
            <w:tcBorders>
              <w:top w:val="nil"/>
              <w:bottom w:val="nil"/>
            </w:tcBorders>
            <w:vAlign w:val="top"/>
          </w:tcPr>
          <w:p>
            <w:pPr>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exact"/>
        </w:trPr>
        <w:tc>
          <w:tcPr>
            <w:tcW w:w="576" w:type="dxa"/>
            <w:vMerge w:val="continue"/>
            <w:tcBorders>
              <w:top w:val="nil"/>
            </w:tcBorders>
            <w:vAlign w:val="top"/>
          </w:tcPr>
          <w:p>
            <w:pPr>
              <w:jc w:val="center"/>
              <w:rPr>
                <w:rFonts w:ascii="Arial"/>
                <w:sz w:val="21"/>
                <w:highlight w:val="none"/>
              </w:rPr>
            </w:pPr>
          </w:p>
        </w:tc>
        <w:tc>
          <w:tcPr>
            <w:tcW w:w="801" w:type="dxa"/>
            <w:vAlign w:val="top"/>
          </w:tcPr>
          <w:p>
            <w:pPr>
              <w:pStyle w:val="27"/>
              <w:spacing w:before="75" w:line="221" w:lineRule="auto"/>
              <w:jc w:val="center"/>
              <w:rPr>
                <w:sz w:val="16"/>
                <w:szCs w:val="16"/>
                <w:highlight w:val="none"/>
              </w:rPr>
            </w:pPr>
            <w:r>
              <w:rPr>
                <w:spacing w:val="-3"/>
                <w:sz w:val="16"/>
                <w:szCs w:val="16"/>
                <w:highlight w:val="none"/>
              </w:rPr>
              <w:t>其他</w:t>
            </w:r>
          </w:p>
        </w:tc>
        <w:tc>
          <w:tcPr>
            <w:tcW w:w="849" w:type="dxa"/>
            <w:vAlign w:val="top"/>
          </w:tcPr>
          <w:p>
            <w:pPr>
              <w:jc w:val="center"/>
              <w:rPr>
                <w:rFonts w:ascii="Arial"/>
                <w:sz w:val="21"/>
                <w:highlight w:val="none"/>
              </w:rPr>
            </w:pPr>
          </w:p>
        </w:tc>
        <w:tc>
          <w:tcPr>
            <w:tcW w:w="435" w:type="dxa"/>
            <w:vAlign w:val="top"/>
          </w:tcPr>
          <w:p>
            <w:pPr>
              <w:pStyle w:val="27"/>
              <w:spacing w:before="75" w:line="221" w:lineRule="auto"/>
              <w:jc w:val="center"/>
              <w:rPr>
                <w:sz w:val="16"/>
                <w:szCs w:val="16"/>
                <w:highlight w:val="none"/>
              </w:rPr>
            </w:pPr>
            <w:r>
              <w:rPr>
                <w:spacing w:val="-3"/>
                <w:sz w:val="16"/>
                <w:szCs w:val="16"/>
                <w:highlight w:val="none"/>
              </w:rPr>
              <w:t>其他</w:t>
            </w:r>
          </w:p>
        </w:tc>
        <w:tc>
          <w:tcPr>
            <w:tcW w:w="765" w:type="dxa"/>
            <w:vAlign w:val="top"/>
          </w:tcPr>
          <w:p>
            <w:pPr>
              <w:jc w:val="center"/>
              <w:rPr>
                <w:rFonts w:ascii="Arial"/>
                <w:sz w:val="21"/>
                <w:highlight w:val="none"/>
              </w:rPr>
            </w:pPr>
          </w:p>
        </w:tc>
        <w:tc>
          <w:tcPr>
            <w:tcW w:w="1230" w:type="dxa"/>
            <w:vAlign w:val="top"/>
          </w:tcPr>
          <w:p>
            <w:pPr>
              <w:pStyle w:val="27"/>
              <w:spacing w:before="75" w:line="221" w:lineRule="auto"/>
              <w:jc w:val="center"/>
              <w:rPr>
                <w:sz w:val="16"/>
                <w:szCs w:val="16"/>
                <w:highlight w:val="none"/>
              </w:rPr>
            </w:pPr>
            <w:r>
              <w:rPr>
                <w:spacing w:val="-3"/>
                <w:sz w:val="16"/>
                <w:szCs w:val="16"/>
                <w:highlight w:val="none"/>
              </w:rPr>
              <w:t>其他</w:t>
            </w:r>
          </w:p>
        </w:tc>
        <w:tc>
          <w:tcPr>
            <w:tcW w:w="2138" w:type="dxa"/>
            <w:vAlign w:val="top"/>
          </w:tcPr>
          <w:p>
            <w:pPr>
              <w:jc w:val="center"/>
              <w:rPr>
                <w:rFonts w:ascii="Arial"/>
                <w:sz w:val="21"/>
                <w:highlight w:val="none"/>
              </w:rPr>
            </w:pPr>
          </w:p>
        </w:tc>
        <w:tc>
          <w:tcPr>
            <w:tcW w:w="1515" w:type="dxa"/>
            <w:vMerge w:val="continue"/>
            <w:tcBorders>
              <w:top w:val="nil"/>
            </w:tcBorders>
            <w:vAlign w:val="top"/>
          </w:tcPr>
          <w:p>
            <w:pPr>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exact"/>
        </w:trPr>
        <w:tc>
          <w:tcPr>
            <w:tcW w:w="576" w:type="dxa"/>
            <w:vMerge w:val="restart"/>
            <w:tcBorders>
              <w:bottom w:val="nil"/>
            </w:tcBorders>
            <w:vAlign w:val="top"/>
          </w:tcPr>
          <w:p>
            <w:pPr>
              <w:pStyle w:val="27"/>
              <w:spacing w:before="243" w:line="347" w:lineRule="auto"/>
              <w:ind w:right="105"/>
              <w:jc w:val="center"/>
              <w:rPr>
                <w:sz w:val="16"/>
                <w:szCs w:val="16"/>
                <w:highlight w:val="none"/>
              </w:rPr>
            </w:pPr>
            <w:r>
              <w:rPr>
                <w:spacing w:val="-9"/>
                <w:sz w:val="16"/>
                <w:szCs w:val="16"/>
                <w:highlight w:val="none"/>
              </w:rPr>
              <w:t>三、目标完成情</w:t>
            </w:r>
            <w:r>
              <w:rPr>
                <w:sz w:val="16"/>
                <w:szCs w:val="16"/>
                <w:highlight w:val="none"/>
              </w:rPr>
              <w:t>况</w:t>
            </w:r>
          </w:p>
        </w:tc>
        <w:tc>
          <w:tcPr>
            <w:tcW w:w="2085" w:type="dxa"/>
            <w:gridSpan w:val="3"/>
            <w:vAlign w:val="top"/>
          </w:tcPr>
          <w:p>
            <w:pPr>
              <w:pStyle w:val="27"/>
              <w:spacing w:before="78" w:line="220" w:lineRule="auto"/>
              <w:jc w:val="both"/>
              <w:rPr>
                <w:sz w:val="16"/>
                <w:szCs w:val="16"/>
                <w:highlight w:val="none"/>
              </w:rPr>
            </w:pPr>
            <w:r>
              <w:rPr>
                <w:spacing w:val="-1"/>
                <w:sz w:val="16"/>
                <w:szCs w:val="16"/>
                <w:highlight w:val="none"/>
              </w:rPr>
              <w:t>年度预期目标</w:t>
            </w:r>
          </w:p>
        </w:tc>
        <w:tc>
          <w:tcPr>
            <w:tcW w:w="4133" w:type="dxa"/>
            <w:gridSpan w:val="3"/>
            <w:vAlign w:val="top"/>
          </w:tcPr>
          <w:p>
            <w:pPr>
              <w:pStyle w:val="27"/>
              <w:spacing w:before="78" w:line="220" w:lineRule="auto"/>
              <w:ind w:left="1449"/>
              <w:jc w:val="center"/>
              <w:rPr>
                <w:sz w:val="16"/>
                <w:szCs w:val="16"/>
                <w:highlight w:val="none"/>
              </w:rPr>
            </w:pPr>
            <w:r>
              <w:rPr>
                <w:spacing w:val="-2"/>
                <w:sz w:val="16"/>
                <w:szCs w:val="16"/>
                <w:highlight w:val="none"/>
              </w:rPr>
              <w:t>具体完成情况</w:t>
            </w:r>
          </w:p>
        </w:tc>
        <w:tc>
          <w:tcPr>
            <w:tcW w:w="1515" w:type="dxa"/>
            <w:vAlign w:val="top"/>
          </w:tcPr>
          <w:p>
            <w:pPr>
              <w:pStyle w:val="27"/>
              <w:spacing w:before="78" w:line="220" w:lineRule="auto"/>
              <w:ind w:left="217"/>
              <w:jc w:val="center"/>
              <w:rPr>
                <w:sz w:val="16"/>
                <w:szCs w:val="16"/>
                <w:highlight w:val="none"/>
              </w:rPr>
            </w:pPr>
            <w:r>
              <w:rPr>
                <w:spacing w:val="-2"/>
                <w:sz w:val="16"/>
                <w:szCs w:val="16"/>
                <w:highlight w:val="none"/>
              </w:rPr>
              <w:t>总体完成率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exact"/>
        </w:trPr>
        <w:tc>
          <w:tcPr>
            <w:tcW w:w="576" w:type="dxa"/>
            <w:vMerge w:val="continue"/>
            <w:tcBorders>
              <w:top w:val="nil"/>
            </w:tcBorders>
            <w:vAlign w:val="top"/>
          </w:tcPr>
          <w:p>
            <w:pPr>
              <w:jc w:val="center"/>
              <w:rPr>
                <w:rFonts w:ascii="Arial"/>
                <w:sz w:val="21"/>
                <w:highlight w:val="none"/>
              </w:rPr>
            </w:pPr>
          </w:p>
        </w:tc>
        <w:tc>
          <w:tcPr>
            <w:tcW w:w="2085" w:type="dxa"/>
            <w:gridSpan w:val="3"/>
            <w:vAlign w:val="top"/>
          </w:tcPr>
          <w:p>
            <w:pPr>
              <w:pStyle w:val="27"/>
              <w:spacing w:before="237" w:line="241" w:lineRule="auto"/>
              <w:jc w:val="center"/>
              <w:rPr>
                <w:rFonts w:hint="default" w:eastAsia="宋体"/>
                <w:sz w:val="16"/>
                <w:szCs w:val="16"/>
                <w:highlight w:val="none"/>
                <w:lang w:val="en-US" w:eastAsia="zh-CN"/>
              </w:rPr>
            </w:pPr>
            <w:r>
              <w:rPr>
                <w:rFonts w:hint="default" w:eastAsia="宋体"/>
                <w:sz w:val="16"/>
                <w:szCs w:val="16"/>
                <w:highlight w:val="none"/>
                <w:lang w:val="en-US" w:eastAsia="zh-CN"/>
              </w:rPr>
              <w:t>建成</w:t>
            </w:r>
            <w:r>
              <w:rPr>
                <w:rFonts w:hint="eastAsia"/>
                <w:sz w:val="16"/>
                <w:szCs w:val="16"/>
                <w:highlight w:val="none"/>
                <w:lang w:val="en-US" w:eastAsia="zh-CN"/>
              </w:rPr>
              <w:t>1个</w:t>
            </w:r>
            <w:r>
              <w:rPr>
                <w:rFonts w:hint="default" w:eastAsia="宋体"/>
                <w:sz w:val="16"/>
                <w:szCs w:val="16"/>
                <w:highlight w:val="none"/>
                <w:lang w:val="en-US" w:eastAsia="zh-CN"/>
              </w:rPr>
              <w:t>“省级妇女之家”</w:t>
            </w:r>
          </w:p>
        </w:tc>
        <w:tc>
          <w:tcPr>
            <w:tcW w:w="4133" w:type="dxa"/>
            <w:gridSpan w:val="3"/>
            <w:vAlign w:val="top"/>
          </w:tcPr>
          <w:p>
            <w:pPr>
              <w:pStyle w:val="27"/>
              <w:spacing w:before="237" w:line="241" w:lineRule="auto"/>
              <w:ind w:left="1779"/>
              <w:jc w:val="center"/>
              <w:rPr>
                <w:rFonts w:hint="eastAsia" w:eastAsia="宋体"/>
                <w:sz w:val="16"/>
                <w:szCs w:val="16"/>
                <w:highlight w:val="none"/>
                <w:lang w:eastAsia="zh-CN"/>
              </w:rPr>
            </w:pPr>
            <w:r>
              <w:rPr>
                <w:rFonts w:hint="eastAsia"/>
                <w:sz w:val="16"/>
                <w:szCs w:val="16"/>
                <w:highlight w:val="none"/>
                <w:lang w:eastAsia="zh-CN"/>
              </w:rPr>
              <w:t>已完成</w:t>
            </w:r>
          </w:p>
        </w:tc>
        <w:tc>
          <w:tcPr>
            <w:tcW w:w="1515" w:type="dxa"/>
            <w:vAlign w:val="top"/>
          </w:tcPr>
          <w:p>
            <w:pPr>
              <w:pStyle w:val="27"/>
              <w:spacing w:before="237" w:line="241" w:lineRule="auto"/>
              <w:ind w:left="464"/>
              <w:jc w:val="center"/>
              <w:rPr>
                <w:sz w:val="16"/>
                <w:szCs w:val="16"/>
                <w:highlight w:val="none"/>
              </w:rPr>
            </w:pPr>
            <w:r>
              <w:rPr>
                <w:rFonts w:hint="eastAsia"/>
                <w:spacing w:val="-1"/>
                <w:sz w:val="16"/>
                <w:szCs w:val="16"/>
                <w:highlight w:val="none"/>
                <w:lang w:val="en-US" w:eastAsia="zh-CN"/>
              </w:rPr>
              <w:t>100</w:t>
            </w:r>
            <w:r>
              <w:rPr>
                <w:rFonts w:hint="default"/>
                <w:spacing w:val="-1"/>
                <w:sz w:val="16"/>
                <w:szCs w:val="16"/>
                <w:highlight w:val="none"/>
                <w:lang w:val="zh-CN"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6" w:type="dxa"/>
            <w:vMerge w:val="restart"/>
            <w:tcBorders>
              <w:bottom w:val="nil"/>
            </w:tcBorders>
            <w:vAlign w:val="top"/>
          </w:tcPr>
          <w:p>
            <w:pPr>
              <w:spacing w:line="243" w:lineRule="auto"/>
              <w:jc w:val="center"/>
              <w:rPr>
                <w:rFonts w:ascii="Arial"/>
                <w:sz w:val="21"/>
                <w:highlight w:val="none"/>
              </w:rPr>
            </w:pPr>
          </w:p>
          <w:p>
            <w:pPr>
              <w:spacing w:line="243" w:lineRule="auto"/>
              <w:jc w:val="center"/>
              <w:rPr>
                <w:rFonts w:ascii="Arial"/>
                <w:sz w:val="21"/>
                <w:highlight w:val="none"/>
              </w:rPr>
            </w:pPr>
          </w:p>
          <w:p>
            <w:pPr>
              <w:spacing w:line="243" w:lineRule="auto"/>
              <w:jc w:val="center"/>
              <w:rPr>
                <w:rFonts w:ascii="Arial"/>
                <w:sz w:val="21"/>
                <w:highlight w:val="none"/>
              </w:rPr>
            </w:pPr>
          </w:p>
          <w:p>
            <w:pPr>
              <w:spacing w:line="243" w:lineRule="auto"/>
              <w:jc w:val="center"/>
              <w:rPr>
                <w:rFonts w:ascii="Arial"/>
                <w:sz w:val="21"/>
                <w:highlight w:val="none"/>
              </w:rPr>
            </w:pPr>
          </w:p>
          <w:p>
            <w:pPr>
              <w:spacing w:line="243" w:lineRule="auto"/>
              <w:jc w:val="center"/>
              <w:rPr>
                <w:rFonts w:ascii="Arial"/>
                <w:sz w:val="21"/>
                <w:highlight w:val="none"/>
              </w:rPr>
            </w:pPr>
          </w:p>
          <w:p>
            <w:pPr>
              <w:pStyle w:val="27"/>
              <w:spacing w:before="52" w:line="347" w:lineRule="auto"/>
              <w:ind w:right="119"/>
              <w:jc w:val="center"/>
              <w:rPr>
                <w:sz w:val="16"/>
                <w:szCs w:val="16"/>
                <w:highlight w:val="none"/>
              </w:rPr>
            </w:pPr>
            <w:r>
              <w:rPr>
                <w:spacing w:val="-3"/>
                <w:sz w:val="16"/>
                <w:szCs w:val="16"/>
                <w:highlight w:val="none"/>
              </w:rPr>
              <w:t>四、 年度绩效</w:t>
            </w:r>
            <w:r>
              <w:rPr>
                <w:sz w:val="16"/>
                <w:szCs w:val="16"/>
                <w:highlight w:val="none"/>
              </w:rPr>
              <w:t xml:space="preserve"> </w:t>
            </w:r>
            <w:r>
              <w:rPr>
                <w:spacing w:val="-2"/>
                <w:sz w:val="16"/>
                <w:szCs w:val="16"/>
                <w:highlight w:val="none"/>
              </w:rPr>
              <w:t>指标完成情况</w:t>
            </w:r>
          </w:p>
        </w:tc>
        <w:tc>
          <w:tcPr>
            <w:tcW w:w="801"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一级指标</w:t>
            </w:r>
          </w:p>
        </w:tc>
        <w:tc>
          <w:tcPr>
            <w:tcW w:w="849" w:type="dxa"/>
            <w:tcBorders>
              <w:bottom w:val="single" w:color="auto" w:sz="4" w:space="0"/>
            </w:tcBorders>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二级指标</w:t>
            </w:r>
          </w:p>
        </w:tc>
        <w:tc>
          <w:tcPr>
            <w:tcW w:w="1200" w:type="dxa"/>
            <w:gridSpan w:val="2"/>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三级指标</w:t>
            </w:r>
          </w:p>
        </w:tc>
        <w:tc>
          <w:tcPr>
            <w:tcW w:w="1230"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预期指标值</w:t>
            </w:r>
          </w:p>
        </w:tc>
        <w:tc>
          <w:tcPr>
            <w:tcW w:w="2138"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实际完成值</w:t>
            </w:r>
          </w:p>
        </w:tc>
        <w:tc>
          <w:tcPr>
            <w:tcW w:w="1515" w:type="dxa"/>
            <w:vAlign w:val="top"/>
          </w:tcPr>
          <w:p>
            <w:pPr>
              <w:pStyle w:val="27"/>
              <w:spacing w:before="77" w:line="220" w:lineRule="auto"/>
              <w:jc w:val="center"/>
              <w:rPr>
                <w:rFonts w:hint="eastAsia"/>
                <w:sz w:val="16"/>
                <w:szCs w:val="16"/>
                <w:highlight w:val="none"/>
                <w:lang w:eastAsia="zh-CN"/>
              </w:rPr>
            </w:pPr>
            <w:r>
              <w:rPr>
                <w:rFonts w:hint="eastAsia"/>
                <w:sz w:val="16"/>
                <w:szCs w:val="16"/>
                <w:highlight w:val="none"/>
                <w:lang w:eastAsia="zh-CN"/>
              </w:rPr>
              <w:t>自评得分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restart"/>
            <w:tcBorders>
              <w:bottom w:val="nil"/>
              <w:right w:val="single" w:color="auto" w:sz="4" w:space="0"/>
            </w:tcBorders>
            <w:vAlign w:val="top"/>
          </w:tcPr>
          <w:p>
            <w:pPr>
              <w:spacing w:line="244" w:lineRule="auto"/>
              <w:jc w:val="center"/>
              <w:rPr>
                <w:rFonts w:hint="eastAsia" w:ascii="宋体" w:hAnsi="宋体" w:eastAsia="宋体" w:cs="宋体"/>
                <w:color w:val="auto"/>
                <w:kern w:val="0"/>
                <w:sz w:val="16"/>
                <w:szCs w:val="16"/>
                <w:highlight w:val="none"/>
                <w:lang w:val="en-US" w:eastAsia="zh-CN" w:bidi="ar-SA"/>
              </w:rPr>
            </w:pPr>
          </w:p>
          <w:p>
            <w:pPr>
              <w:spacing w:line="244" w:lineRule="auto"/>
              <w:jc w:val="center"/>
              <w:rPr>
                <w:rFonts w:hint="eastAsia" w:ascii="宋体" w:hAnsi="宋体" w:eastAsia="宋体" w:cs="宋体"/>
                <w:color w:val="auto"/>
                <w:kern w:val="0"/>
                <w:sz w:val="16"/>
                <w:szCs w:val="16"/>
                <w:highlight w:val="none"/>
                <w:lang w:val="en-US" w:eastAsia="zh-CN" w:bidi="ar-SA"/>
              </w:rPr>
            </w:pPr>
          </w:p>
          <w:p>
            <w:pPr>
              <w:spacing w:line="244" w:lineRule="auto"/>
              <w:jc w:val="center"/>
              <w:rPr>
                <w:rFonts w:hint="eastAsia" w:ascii="宋体" w:hAnsi="宋体" w:eastAsia="宋体" w:cs="宋体"/>
                <w:color w:val="auto"/>
                <w:kern w:val="0"/>
                <w:sz w:val="16"/>
                <w:szCs w:val="16"/>
                <w:highlight w:val="none"/>
                <w:lang w:val="en-US" w:eastAsia="zh-CN" w:bidi="ar-SA"/>
              </w:rPr>
            </w:pPr>
          </w:p>
          <w:p>
            <w:pPr>
              <w:pStyle w:val="27"/>
              <w:spacing w:before="52"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产出指标（50）</w:t>
            </w: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23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数量指标</w:t>
            </w:r>
          </w:p>
        </w:tc>
        <w:tc>
          <w:tcPr>
            <w:tcW w:w="1200" w:type="dxa"/>
            <w:gridSpan w:val="2"/>
            <w:tcBorders>
              <w:left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default" w:eastAsia="宋体"/>
                <w:sz w:val="16"/>
                <w:szCs w:val="16"/>
                <w:highlight w:val="none"/>
                <w:lang w:val="en-US" w:eastAsia="zh-CN"/>
              </w:rPr>
              <w:t>“省级妇女之家”</w:t>
            </w:r>
            <w:r>
              <w:rPr>
                <w:rFonts w:hint="eastAsia"/>
                <w:sz w:val="16"/>
                <w:szCs w:val="16"/>
                <w:highlight w:val="none"/>
                <w:lang w:val="en-US" w:eastAsia="zh-CN"/>
              </w:rPr>
              <w:t>创建</w:t>
            </w:r>
            <w:r>
              <w:rPr>
                <w:rFonts w:hint="eastAsia" w:ascii="宋体" w:hAnsi="宋体" w:eastAsia="宋体" w:cs="宋体"/>
                <w:color w:val="auto"/>
                <w:kern w:val="0"/>
                <w:sz w:val="16"/>
                <w:szCs w:val="16"/>
                <w:highlight w:val="none"/>
                <w:lang w:val="en-US" w:eastAsia="zh-CN" w:bidi="ar-SA"/>
              </w:rPr>
              <w:t>数</w:t>
            </w:r>
          </w:p>
        </w:tc>
        <w:tc>
          <w:tcPr>
            <w:tcW w:w="1230" w:type="dxa"/>
            <w:vAlign w:val="top"/>
          </w:tcPr>
          <w:p>
            <w:pPr>
              <w:pStyle w:val="27"/>
              <w:spacing w:before="76" w:line="24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w:t>
            </w:r>
            <w:r>
              <w:rPr>
                <w:rFonts w:hint="eastAsia" w:cs="宋体"/>
                <w:color w:val="auto"/>
                <w:kern w:val="0"/>
                <w:sz w:val="16"/>
                <w:szCs w:val="16"/>
                <w:highlight w:val="none"/>
                <w:lang w:val="en-US" w:eastAsia="zh-CN" w:bidi="ar-SA"/>
              </w:rPr>
              <w:t>个</w:t>
            </w:r>
          </w:p>
        </w:tc>
        <w:tc>
          <w:tcPr>
            <w:tcW w:w="2138" w:type="dxa"/>
            <w:vAlign w:val="top"/>
          </w:tcPr>
          <w:p>
            <w:pPr>
              <w:pStyle w:val="27"/>
              <w:spacing w:before="76" w:line="241" w:lineRule="auto"/>
              <w:ind w:firstLine="480" w:firstLineChars="300"/>
              <w:jc w:val="center"/>
              <w:rPr>
                <w:rFonts w:hint="default" w:ascii="宋体" w:hAnsi="宋体" w:eastAsia="宋体" w:cs="宋体"/>
                <w:color w:val="auto"/>
                <w:kern w:val="0"/>
                <w:sz w:val="16"/>
                <w:szCs w:val="16"/>
                <w:highlight w:val="none"/>
                <w:lang w:val="en-US" w:eastAsia="zh-CN" w:bidi="ar-SA"/>
              </w:rPr>
            </w:pPr>
            <w:r>
              <w:rPr>
                <w:rFonts w:hint="eastAsia" w:cs="宋体"/>
                <w:color w:val="auto"/>
                <w:kern w:val="0"/>
                <w:sz w:val="16"/>
                <w:szCs w:val="16"/>
                <w:highlight w:val="none"/>
                <w:lang w:val="en-US" w:eastAsia="zh-CN" w:bidi="ar-SA"/>
              </w:rPr>
              <w:t>1个</w:t>
            </w:r>
          </w:p>
        </w:tc>
        <w:tc>
          <w:tcPr>
            <w:tcW w:w="1515" w:type="dxa"/>
            <w:vAlign w:val="top"/>
          </w:tcPr>
          <w:p>
            <w:pPr>
              <w:pStyle w:val="27"/>
              <w:spacing w:before="256" w:line="185" w:lineRule="auto"/>
              <w:ind w:left="124"/>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continue"/>
            <w:tcBorders>
              <w:top w:val="nil"/>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239"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质量指标</w:t>
            </w:r>
          </w:p>
        </w:tc>
        <w:tc>
          <w:tcPr>
            <w:tcW w:w="1200" w:type="dxa"/>
            <w:gridSpan w:val="2"/>
            <w:tcBorders>
              <w:left w:val="single" w:color="auto" w:sz="4" w:space="0"/>
            </w:tcBorders>
            <w:vAlign w:val="top"/>
          </w:tcPr>
          <w:p>
            <w:pPr>
              <w:pStyle w:val="27"/>
              <w:spacing w:before="78" w:line="221" w:lineRule="auto"/>
              <w:ind w:left="114"/>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创建标准</w:t>
            </w:r>
          </w:p>
        </w:tc>
        <w:tc>
          <w:tcPr>
            <w:tcW w:w="1230"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符合要求</w:t>
            </w:r>
          </w:p>
        </w:tc>
        <w:tc>
          <w:tcPr>
            <w:tcW w:w="2138"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符合要求</w:t>
            </w:r>
          </w:p>
        </w:tc>
        <w:tc>
          <w:tcPr>
            <w:tcW w:w="1515" w:type="dxa"/>
            <w:vAlign w:val="top"/>
          </w:tcPr>
          <w:p>
            <w:pPr>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continue"/>
            <w:tcBorders>
              <w:top w:val="nil"/>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时效指标</w:t>
            </w:r>
          </w:p>
        </w:tc>
        <w:tc>
          <w:tcPr>
            <w:tcW w:w="1200" w:type="dxa"/>
            <w:gridSpan w:val="2"/>
            <w:tcBorders>
              <w:left w:val="single" w:color="auto" w:sz="4" w:space="0"/>
            </w:tcBorders>
            <w:vAlign w:val="top"/>
          </w:tcPr>
          <w:p>
            <w:pPr>
              <w:pStyle w:val="27"/>
              <w:spacing w:before="77" w:line="220" w:lineRule="auto"/>
              <w:ind w:left="119"/>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完成时限</w:t>
            </w:r>
          </w:p>
        </w:tc>
        <w:tc>
          <w:tcPr>
            <w:tcW w:w="1230" w:type="dxa"/>
            <w:vAlign w:val="top"/>
          </w:tcPr>
          <w:p>
            <w:pPr>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1年</w:t>
            </w:r>
          </w:p>
        </w:tc>
        <w:tc>
          <w:tcPr>
            <w:tcW w:w="2138" w:type="dxa"/>
            <w:vAlign w:val="top"/>
          </w:tcPr>
          <w:p>
            <w:pPr>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1年</w:t>
            </w:r>
          </w:p>
        </w:tc>
        <w:tc>
          <w:tcPr>
            <w:tcW w:w="1515" w:type="dxa"/>
            <w:vAlign w:val="top"/>
          </w:tcPr>
          <w:p>
            <w:pPr>
              <w:spacing w:before="91" w:line="195" w:lineRule="auto"/>
              <w:ind w:firstLine="640" w:firstLineChars="400"/>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76" w:type="dxa"/>
            <w:vMerge w:val="continue"/>
            <w:tcBorders>
              <w:top w:val="nil"/>
              <w:bottom w:val="nil"/>
            </w:tcBorders>
            <w:vAlign w:val="top"/>
          </w:tcPr>
          <w:p>
            <w:pPr>
              <w:jc w:val="center"/>
              <w:rPr>
                <w:rFonts w:ascii="Arial"/>
                <w:sz w:val="21"/>
                <w:highlight w:val="none"/>
              </w:rPr>
            </w:pPr>
          </w:p>
        </w:tc>
        <w:tc>
          <w:tcPr>
            <w:tcW w:w="801" w:type="dxa"/>
            <w:vMerge w:val="continue"/>
            <w:tcBorders>
              <w:top w:val="nil"/>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成本指标</w:t>
            </w:r>
          </w:p>
        </w:tc>
        <w:tc>
          <w:tcPr>
            <w:tcW w:w="1200" w:type="dxa"/>
            <w:gridSpan w:val="2"/>
            <w:tcBorders>
              <w:left w:val="single" w:color="auto" w:sz="4" w:space="0"/>
            </w:tcBorders>
            <w:vAlign w:val="top"/>
          </w:tcPr>
          <w:p>
            <w:pPr>
              <w:pStyle w:val="27"/>
              <w:spacing w:before="78" w:line="221" w:lineRule="auto"/>
              <w:ind w:left="114"/>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投入成本</w:t>
            </w:r>
          </w:p>
        </w:tc>
        <w:tc>
          <w:tcPr>
            <w:tcW w:w="1230"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8.5万元</w:t>
            </w:r>
          </w:p>
        </w:tc>
        <w:tc>
          <w:tcPr>
            <w:tcW w:w="2138" w:type="dxa"/>
            <w:vAlign w:val="top"/>
          </w:tcPr>
          <w:p>
            <w:pPr>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8.5万元</w:t>
            </w:r>
          </w:p>
        </w:tc>
        <w:tc>
          <w:tcPr>
            <w:tcW w:w="1515" w:type="dxa"/>
            <w:vAlign w:val="top"/>
          </w:tcPr>
          <w:p>
            <w:pPr>
              <w:jc w:val="right"/>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exac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restart"/>
            <w:tcBorders>
              <w:top w:val="single" w:color="auto" w:sz="4" w:space="0"/>
              <w:left w:val="single" w:color="auto" w:sz="4" w:space="0"/>
              <w:bottom w:val="nil"/>
              <w:right w:val="single" w:color="auto" w:sz="4" w:space="0"/>
            </w:tcBorders>
            <w:vAlign w:val="top"/>
          </w:tcPr>
          <w:p>
            <w:pPr>
              <w:spacing w:line="244" w:lineRule="auto"/>
              <w:jc w:val="center"/>
              <w:rPr>
                <w:rFonts w:hint="eastAsia" w:ascii="宋体" w:hAnsi="宋体" w:eastAsia="宋体" w:cs="宋体"/>
                <w:color w:val="auto"/>
                <w:kern w:val="0"/>
                <w:sz w:val="16"/>
                <w:szCs w:val="16"/>
                <w:highlight w:val="none"/>
                <w:lang w:val="en-US" w:eastAsia="zh-CN" w:bidi="ar-SA"/>
              </w:rPr>
            </w:pPr>
          </w:p>
          <w:p>
            <w:pPr>
              <w:spacing w:line="244" w:lineRule="auto"/>
              <w:jc w:val="center"/>
              <w:rPr>
                <w:rFonts w:hint="eastAsia" w:ascii="宋体" w:hAnsi="宋体" w:eastAsia="宋体" w:cs="宋体"/>
                <w:color w:val="auto"/>
                <w:kern w:val="0"/>
                <w:sz w:val="16"/>
                <w:szCs w:val="16"/>
                <w:highlight w:val="none"/>
                <w:lang w:val="en-US" w:eastAsia="zh-CN" w:bidi="ar-SA"/>
              </w:rPr>
            </w:pPr>
          </w:p>
          <w:p>
            <w:pPr>
              <w:pStyle w:val="27"/>
              <w:spacing w:before="52" w:line="221"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效益指标（30）</w:t>
            </w: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242" w:line="347"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经济效益指标</w:t>
            </w:r>
          </w:p>
        </w:tc>
        <w:tc>
          <w:tcPr>
            <w:tcW w:w="1200" w:type="dxa"/>
            <w:gridSpan w:val="2"/>
            <w:tcBorders>
              <w:top w:val="single" w:color="auto" w:sz="4" w:space="0"/>
              <w:left w:val="single" w:color="auto" w:sz="4" w:space="0"/>
            </w:tcBorders>
            <w:vAlign w:val="top"/>
          </w:tcPr>
          <w:p>
            <w:pPr>
              <w:pStyle w:val="27"/>
              <w:spacing w:before="77" w:line="221" w:lineRule="auto"/>
              <w:ind w:left="114"/>
              <w:jc w:val="center"/>
              <w:rPr>
                <w:rFonts w:hint="eastAsia" w:ascii="宋体" w:hAnsi="宋体" w:eastAsia="宋体" w:cs="宋体"/>
                <w:color w:val="auto"/>
                <w:kern w:val="0"/>
                <w:sz w:val="16"/>
                <w:szCs w:val="16"/>
                <w:highlight w:val="none"/>
                <w:lang w:val="en-US" w:eastAsia="zh-CN" w:bidi="ar-SA"/>
              </w:rPr>
            </w:pPr>
          </w:p>
        </w:tc>
        <w:tc>
          <w:tcPr>
            <w:tcW w:w="1230" w:type="dxa"/>
            <w:tcBorders>
              <w:top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2138" w:type="dxa"/>
            <w:tcBorders>
              <w:top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1515" w:type="dxa"/>
            <w:tcBorders>
              <w:top w:val="single" w:color="auto" w:sz="4" w:space="0"/>
              <w:right w:val="single" w:color="auto" w:sz="4" w:space="0"/>
            </w:tcBorders>
            <w:vAlign w:val="top"/>
          </w:tcPr>
          <w:p>
            <w:pPr>
              <w:jc w:val="right"/>
              <w:rPr>
                <w:rFonts w:hint="eastAsia" w:ascii="宋体" w:hAnsi="宋体" w:eastAsia="宋体" w:cs="宋体"/>
                <w:color w:val="auto"/>
                <w:kern w:val="0"/>
                <w:sz w:val="16"/>
                <w:szCs w:val="16"/>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continue"/>
            <w:tcBorders>
              <w:top w:val="nil"/>
              <w:left w:val="single" w:color="auto" w:sz="4" w:space="0"/>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347"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社会效益指标</w:t>
            </w:r>
          </w:p>
        </w:tc>
        <w:tc>
          <w:tcPr>
            <w:tcW w:w="1200" w:type="dxa"/>
            <w:gridSpan w:val="2"/>
            <w:tcBorders>
              <w:left w:val="single" w:color="auto" w:sz="4" w:space="0"/>
            </w:tcBorders>
            <w:vAlign w:val="top"/>
          </w:tcPr>
          <w:p>
            <w:pPr>
              <w:pStyle w:val="27"/>
              <w:spacing w:before="79" w:line="220" w:lineRule="auto"/>
              <w:jc w:val="center"/>
              <w:rPr>
                <w:rFonts w:hint="eastAsia" w:ascii="宋体" w:hAnsi="宋体" w:eastAsia="宋体" w:cs="宋体"/>
                <w:color w:val="auto"/>
                <w:kern w:val="0"/>
                <w:sz w:val="16"/>
                <w:szCs w:val="16"/>
                <w:highlight w:val="none"/>
                <w:lang w:val="en-US" w:eastAsia="zh-CN" w:bidi="ar-SA"/>
              </w:rPr>
            </w:pPr>
            <w:r>
              <w:rPr>
                <w:rFonts w:hint="eastAsia" w:cs="宋体"/>
                <w:color w:val="auto"/>
                <w:kern w:val="0"/>
                <w:sz w:val="16"/>
                <w:szCs w:val="16"/>
                <w:highlight w:val="none"/>
                <w:lang w:val="en-US" w:eastAsia="zh-CN" w:bidi="ar-SA"/>
              </w:rPr>
              <w:t>社会价值</w:t>
            </w:r>
          </w:p>
        </w:tc>
        <w:tc>
          <w:tcPr>
            <w:tcW w:w="1230" w:type="dxa"/>
            <w:vAlign w:val="top"/>
          </w:tcPr>
          <w:p>
            <w:pPr>
              <w:spacing w:before="90" w:line="195"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满足妇女儿童的需求</w:t>
            </w:r>
          </w:p>
        </w:tc>
        <w:tc>
          <w:tcPr>
            <w:tcW w:w="2138" w:type="dxa"/>
            <w:vAlign w:val="top"/>
          </w:tcPr>
          <w:p>
            <w:pPr>
              <w:spacing w:before="90" w:line="195"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满足了妇女儿童的学习、成长、交流与娱乐需求</w:t>
            </w:r>
          </w:p>
        </w:tc>
        <w:tc>
          <w:tcPr>
            <w:tcW w:w="1515" w:type="dxa"/>
            <w:tcBorders>
              <w:right w:val="single" w:color="auto" w:sz="4" w:space="0"/>
            </w:tcBorders>
            <w:vAlign w:val="top"/>
          </w:tcPr>
          <w:p>
            <w:pPr>
              <w:spacing w:before="90" w:line="195" w:lineRule="auto"/>
              <w:ind w:left="387" w:firstLine="160" w:firstLineChars="100"/>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continue"/>
            <w:tcBorders>
              <w:top w:val="nil"/>
              <w:left w:val="single" w:color="auto" w:sz="4" w:space="0"/>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83" w:line="315"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生态效益指 标</w:t>
            </w:r>
          </w:p>
        </w:tc>
        <w:tc>
          <w:tcPr>
            <w:tcW w:w="1200" w:type="dxa"/>
            <w:gridSpan w:val="2"/>
            <w:tcBorders>
              <w:left w:val="single" w:color="auto" w:sz="4" w:space="0"/>
            </w:tcBorders>
            <w:vAlign w:val="top"/>
          </w:tcPr>
          <w:p>
            <w:pPr>
              <w:pStyle w:val="27"/>
              <w:spacing w:before="78" w:line="221" w:lineRule="auto"/>
              <w:jc w:val="both"/>
              <w:rPr>
                <w:rFonts w:hint="eastAsia" w:ascii="宋体" w:hAnsi="宋体" w:eastAsia="宋体" w:cs="宋体"/>
                <w:color w:val="auto"/>
                <w:kern w:val="0"/>
                <w:sz w:val="16"/>
                <w:szCs w:val="16"/>
                <w:highlight w:val="none"/>
                <w:lang w:val="en-US" w:eastAsia="zh-CN" w:bidi="ar-SA"/>
              </w:rPr>
            </w:pPr>
          </w:p>
        </w:tc>
        <w:tc>
          <w:tcPr>
            <w:tcW w:w="1230" w:type="dxa"/>
            <w:vAlign w:val="top"/>
          </w:tcPr>
          <w:p>
            <w:pPr>
              <w:jc w:val="center"/>
              <w:rPr>
                <w:rFonts w:hint="eastAsia" w:ascii="宋体" w:hAnsi="宋体" w:eastAsia="宋体" w:cs="宋体"/>
                <w:color w:val="auto"/>
                <w:kern w:val="0"/>
                <w:sz w:val="16"/>
                <w:szCs w:val="16"/>
                <w:highlight w:val="none"/>
                <w:lang w:val="en-US" w:eastAsia="zh-CN" w:bidi="ar-SA"/>
              </w:rPr>
            </w:pPr>
          </w:p>
        </w:tc>
        <w:tc>
          <w:tcPr>
            <w:tcW w:w="2138" w:type="dxa"/>
            <w:vAlign w:val="top"/>
          </w:tcPr>
          <w:p>
            <w:pPr>
              <w:jc w:val="center"/>
              <w:rPr>
                <w:rFonts w:hint="eastAsia" w:ascii="宋体" w:hAnsi="宋体" w:eastAsia="宋体" w:cs="宋体"/>
                <w:color w:val="auto"/>
                <w:kern w:val="0"/>
                <w:sz w:val="16"/>
                <w:szCs w:val="16"/>
                <w:highlight w:val="none"/>
                <w:lang w:val="en-US" w:eastAsia="zh-CN" w:bidi="ar-SA"/>
              </w:rPr>
            </w:pPr>
          </w:p>
        </w:tc>
        <w:tc>
          <w:tcPr>
            <w:tcW w:w="1515" w:type="dxa"/>
            <w:tcBorders>
              <w:right w:val="single" w:color="auto" w:sz="4" w:space="0"/>
            </w:tcBorders>
            <w:vAlign w:val="top"/>
          </w:tcPr>
          <w:p>
            <w:pPr>
              <w:jc w:val="center"/>
              <w:rPr>
                <w:rFonts w:hint="default" w:ascii="宋体" w:hAnsi="宋体" w:eastAsia="宋体" w:cs="宋体"/>
                <w:color w:val="auto"/>
                <w:kern w:val="0"/>
                <w:sz w:val="16"/>
                <w:szCs w:val="16"/>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exac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vMerge w:val="continue"/>
            <w:tcBorders>
              <w:top w:val="nil"/>
              <w:left w:val="single" w:color="auto" w:sz="4" w:space="0"/>
              <w:bottom w:val="nil"/>
              <w:right w:val="single" w:color="auto" w:sz="4" w:space="0"/>
            </w:tcBorders>
            <w:vAlign w:val="top"/>
          </w:tcPr>
          <w:p>
            <w:pPr>
              <w:jc w:val="center"/>
              <w:rPr>
                <w:rFonts w:hint="eastAsia" w:ascii="宋体" w:hAnsi="宋体" w:eastAsia="宋体" w:cs="宋体"/>
                <w:color w:val="auto"/>
                <w:kern w:val="0"/>
                <w:sz w:val="16"/>
                <w:szCs w:val="16"/>
                <w:highlight w:val="none"/>
                <w:lang w:val="en-US" w:eastAsia="zh-CN" w:bidi="ar-SA"/>
              </w:rPr>
            </w:pPr>
          </w:p>
        </w:tc>
        <w:tc>
          <w:tcPr>
            <w:tcW w:w="849" w:type="dxa"/>
            <w:tcBorders>
              <w:top w:val="single" w:color="auto" w:sz="4" w:space="0"/>
              <w:left w:val="single" w:color="auto" w:sz="4" w:space="0"/>
              <w:bottom w:val="single" w:color="auto" w:sz="4" w:space="0"/>
              <w:right w:val="single" w:color="auto" w:sz="4" w:space="0"/>
            </w:tcBorders>
            <w:vAlign w:val="top"/>
          </w:tcPr>
          <w:p>
            <w:pPr>
              <w:pStyle w:val="27"/>
              <w:spacing w:before="52" w:line="347" w:lineRule="auto"/>
              <w:ind w:right="126"/>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可持续影响指标</w:t>
            </w:r>
          </w:p>
        </w:tc>
        <w:tc>
          <w:tcPr>
            <w:tcW w:w="1200" w:type="dxa"/>
            <w:gridSpan w:val="2"/>
            <w:tcBorders>
              <w:left w:val="single" w:color="auto" w:sz="4" w:space="0"/>
            </w:tcBorders>
            <w:vAlign w:val="top"/>
          </w:tcPr>
          <w:p>
            <w:pPr>
              <w:pStyle w:val="27"/>
              <w:spacing w:before="234" w:line="220" w:lineRule="auto"/>
              <w:jc w:val="center"/>
              <w:rPr>
                <w:rFonts w:hint="eastAsia" w:ascii="宋体" w:hAnsi="宋体" w:eastAsia="宋体" w:cs="宋体"/>
                <w:color w:val="auto"/>
                <w:kern w:val="0"/>
                <w:sz w:val="16"/>
                <w:szCs w:val="16"/>
                <w:highlight w:val="none"/>
                <w:lang w:val="en-US" w:eastAsia="zh-CN" w:bidi="ar-SA"/>
              </w:rPr>
            </w:pPr>
            <w:r>
              <w:rPr>
                <w:rFonts w:hint="eastAsia" w:cs="宋体"/>
                <w:color w:val="auto"/>
                <w:kern w:val="0"/>
                <w:sz w:val="16"/>
                <w:szCs w:val="16"/>
                <w:highlight w:val="none"/>
                <w:lang w:val="en-US" w:eastAsia="zh-CN" w:bidi="ar-SA"/>
              </w:rPr>
              <w:t>长期使用性</w:t>
            </w:r>
          </w:p>
        </w:tc>
        <w:tc>
          <w:tcPr>
            <w:tcW w:w="1230" w:type="dxa"/>
            <w:vAlign w:val="top"/>
          </w:tcPr>
          <w:p>
            <w:pPr>
              <w:pStyle w:val="27"/>
              <w:spacing w:before="77" w:line="312" w:lineRule="auto"/>
              <w:ind w:right="133"/>
              <w:jc w:val="both"/>
              <w:rPr>
                <w:rFonts w:hint="eastAsia" w:ascii="宋体" w:hAnsi="宋体" w:eastAsia="宋体" w:cs="宋体"/>
                <w:color w:val="auto"/>
                <w:kern w:val="0"/>
                <w:sz w:val="16"/>
                <w:szCs w:val="16"/>
                <w:highlight w:val="none"/>
                <w:lang w:val="en-US" w:eastAsia="zh-CN" w:bidi="ar-SA"/>
              </w:rPr>
            </w:pPr>
            <w:r>
              <w:rPr>
                <w:rFonts w:hint="eastAsia" w:cs="宋体"/>
                <w:color w:val="auto"/>
                <w:kern w:val="0"/>
                <w:sz w:val="16"/>
                <w:szCs w:val="16"/>
                <w:highlight w:val="none"/>
                <w:lang w:val="en-US" w:eastAsia="zh-CN" w:bidi="ar-SA"/>
              </w:rPr>
              <w:t>长期服务妇女儿童</w:t>
            </w:r>
          </w:p>
        </w:tc>
        <w:tc>
          <w:tcPr>
            <w:tcW w:w="2138" w:type="dxa"/>
            <w:vAlign w:val="top"/>
          </w:tcPr>
          <w:p>
            <w:pPr>
              <w:spacing w:before="247" w:line="195"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通过建成并维护管理，可长期服务妇女儿童</w:t>
            </w:r>
          </w:p>
        </w:tc>
        <w:tc>
          <w:tcPr>
            <w:tcW w:w="1515" w:type="dxa"/>
            <w:tcBorders>
              <w:right w:val="single" w:color="auto" w:sz="4" w:space="0"/>
            </w:tcBorders>
            <w:vAlign w:val="top"/>
          </w:tcPr>
          <w:p>
            <w:pPr>
              <w:spacing w:before="247" w:line="195" w:lineRule="auto"/>
              <w:ind w:left="387" w:firstLine="160" w:firstLineChars="100"/>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tcBorders>
              <w:left w:val="single" w:color="auto" w:sz="4" w:space="0"/>
              <w:bottom w:val="nil"/>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满意度指标（10）</w:t>
            </w:r>
          </w:p>
        </w:tc>
        <w:tc>
          <w:tcPr>
            <w:tcW w:w="849" w:type="dxa"/>
            <w:tcBorders>
              <w:top w:val="single" w:color="auto" w:sz="4" w:space="0"/>
              <w:bottom w:val="nil"/>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满意度指标</w:t>
            </w:r>
          </w:p>
        </w:tc>
        <w:tc>
          <w:tcPr>
            <w:tcW w:w="1200" w:type="dxa"/>
            <w:gridSpan w:val="2"/>
            <w:vAlign w:val="top"/>
          </w:tcPr>
          <w:p>
            <w:pPr>
              <w:pStyle w:val="27"/>
              <w:spacing w:before="77" w:line="220"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w:t>
            </w:r>
          </w:p>
        </w:tc>
        <w:tc>
          <w:tcPr>
            <w:tcW w:w="1230" w:type="dxa"/>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满意度&gt;=90%</w:t>
            </w:r>
          </w:p>
        </w:tc>
        <w:tc>
          <w:tcPr>
            <w:tcW w:w="2138" w:type="dxa"/>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满意度100%</w:t>
            </w:r>
          </w:p>
        </w:tc>
        <w:tc>
          <w:tcPr>
            <w:tcW w:w="1515" w:type="dxa"/>
            <w:tcBorders>
              <w:right w:val="single" w:color="auto" w:sz="4" w:space="0"/>
            </w:tcBorders>
            <w:vAlign w:val="top"/>
          </w:tcPr>
          <w:p>
            <w:pPr>
              <w:pStyle w:val="27"/>
              <w:spacing w:before="77" w:line="220" w:lineRule="auto"/>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6" w:type="dxa"/>
            <w:vMerge w:val="continue"/>
            <w:tcBorders>
              <w:top w:val="nil"/>
              <w:bottom w:val="nil"/>
              <w:right w:val="single" w:color="auto" w:sz="4" w:space="0"/>
            </w:tcBorders>
            <w:vAlign w:val="top"/>
          </w:tcPr>
          <w:p>
            <w:pPr>
              <w:jc w:val="center"/>
              <w:rPr>
                <w:rFonts w:ascii="Arial"/>
                <w:sz w:val="21"/>
                <w:highlight w:val="none"/>
              </w:rPr>
            </w:pPr>
          </w:p>
        </w:tc>
        <w:tc>
          <w:tcPr>
            <w:tcW w:w="801" w:type="dxa"/>
            <w:tcBorders>
              <w:left w:val="single" w:color="auto" w:sz="4" w:space="0"/>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预算执行率（10）</w:t>
            </w:r>
          </w:p>
        </w:tc>
        <w:tc>
          <w:tcPr>
            <w:tcW w:w="849" w:type="dxa"/>
            <w:tcBorders>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预算执行率</w:t>
            </w:r>
          </w:p>
        </w:tc>
        <w:tc>
          <w:tcPr>
            <w:tcW w:w="1200" w:type="dxa"/>
            <w:gridSpan w:val="2"/>
            <w:tcBorders>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执行率</w:t>
            </w:r>
          </w:p>
        </w:tc>
        <w:tc>
          <w:tcPr>
            <w:tcW w:w="1230" w:type="dxa"/>
            <w:tcBorders>
              <w:bottom w:val="single" w:color="auto" w:sz="4" w:space="0"/>
            </w:tcBorders>
            <w:vAlign w:val="top"/>
          </w:tcPr>
          <w:p>
            <w:pPr>
              <w:pStyle w:val="27"/>
              <w:spacing w:before="77" w:line="220" w:lineRule="auto"/>
              <w:jc w:val="center"/>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100%</w:t>
            </w:r>
          </w:p>
        </w:tc>
        <w:tc>
          <w:tcPr>
            <w:tcW w:w="2138" w:type="dxa"/>
            <w:tcBorders>
              <w:bottom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cs="宋体"/>
                <w:color w:val="auto"/>
                <w:kern w:val="0"/>
                <w:sz w:val="16"/>
                <w:szCs w:val="16"/>
                <w:highlight w:val="none"/>
                <w:lang w:val="en-US" w:eastAsia="zh-CN" w:bidi="ar-SA"/>
              </w:rPr>
              <w:t>100</w:t>
            </w:r>
            <w:r>
              <w:rPr>
                <w:rFonts w:hint="default" w:ascii="宋体" w:hAnsi="宋体" w:eastAsia="宋体" w:cs="宋体"/>
                <w:color w:val="auto"/>
                <w:kern w:val="0"/>
                <w:sz w:val="16"/>
                <w:szCs w:val="16"/>
                <w:highlight w:val="none"/>
                <w:lang w:val="zh-CN" w:eastAsia="zh-CN" w:bidi="ar-SA"/>
              </w:rPr>
              <w:t>%</w:t>
            </w:r>
          </w:p>
        </w:tc>
        <w:tc>
          <w:tcPr>
            <w:tcW w:w="1515" w:type="dxa"/>
            <w:tcBorders>
              <w:bottom w:val="single" w:color="auto" w:sz="4" w:space="0"/>
              <w:right w:val="single" w:color="auto" w:sz="4" w:space="0"/>
            </w:tcBorders>
            <w:vAlign w:val="top"/>
          </w:tcPr>
          <w:p>
            <w:pPr>
              <w:pStyle w:val="27"/>
              <w:spacing w:before="77" w:line="220" w:lineRule="auto"/>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76" w:type="dxa"/>
            <w:vMerge w:val="continue"/>
            <w:tcBorders>
              <w:top w:val="nil"/>
            </w:tcBorders>
            <w:vAlign w:val="top"/>
          </w:tcPr>
          <w:p>
            <w:pPr>
              <w:jc w:val="center"/>
              <w:rPr>
                <w:rFonts w:ascii="Arial"/>
                <w:sz w:val="21"/>
                <w:highlight w:val="none"/>
              </w:rPr>
            </w:pPr>
          </w:p>
        </w:tc>
        <w:tc>
          <w:tcPr>
            <w:tcW w:w="6218" w:type="dxa"/>
            <w:gridSpan w:val="6"/>
            <w:tcBorders>
              <w:top w:val="single" w:color="auto" w:sz="4" w:space="0"/>
            </w:tcBorders>
            <w:vAlign w:val="top"/>
          </w:tcPr>
          <w:p>
            <w:pPr>
              <w:pStyle w:val="27"/>
              <w:spacing w:before="77" w:line="220" w:lineRule="auto"/>
              <w:jc w:val="center"/>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总分</w:t>
            </w:r>
          </w:p>
        </w:tc>
        <w:tc>
          <w:tcPr>
            <w:tcW w:w="1515" w:type="dxa"/>
            <w:tcBorders>
              <w:top w:val="single" w:color="auto" w:sz="4" w:space="0"/>
            </w:tcBorders>
            <w:vAlign w:val="top"/>
          </w:tcPr>
          <w:p>
            <w:pPr>
              <w:pStyle w:val="27"/>
              <w:spacing w:before="77" w:line="220" w:lineRule="auto"/>
              <w:jc w:val="right"/>
              <w:rPr>
                <w:rFonts w:hint="default"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val="en-US" w:eastAsia="zh-CN" w:bidi="ar-SA"/>
              </w:rPr>
              <w:t>100</w:t>
            </w:r>
          </w:p>
        </w:tc>
      </w:tr>
    </w:tbl>
    <w:p>
      <w:pPr>
        <w:adjustRightInd w:val="0"/>
        <w:snapToGrid w:val="0"/>
        <w:spacing w:line="580" w:lineRule="exact"/>
        <w:ind w:firstLine="640" w:firstLineChars="200"/>
        <w:rPr>
          <w:rFonts w:hint="default" w:ascii="Times New Roman" w:hAnsi="Times New Roman" w:eastAsia="楷体_GB2312" w:cs="Times New Roman"/>
          <w:b/>
          <w:bCs/>
          <w:sz w:val="32"/>
          <w:szCs w:val="32"/>
        </w:rPr>
      </w:pPr>
      <w:bookmarkStart w:id="0" w:name="_GoBack"/>
      <w:bookmarkEnd w:id="0"/>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 </w:t>
      </w:r>
      <w:r>
        <w:rPr>
          <w:rFonts w:hint="default" w:ascii="Times New Roman" w:hAnsi="Times New Roman" w:eastAsia="仿宋_GB2312" w:cs="Times New Roman"/>
          <w:color w:val="auto"/>
          <w:kern w:val="2"/>
          <w:sz w:val="32"/>
          <w:szCs w:val="32"/>
          <w:highlight w:val="none"/>
          <w:lang w:eastAsia="zh-CN"/>
        </w:rPr>
        <w:t>本部门202</w:t>
      </w:r>
      <w:r>
        <w:rPr>
          <w:rFonts w:hint="eastAsia"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年度未发生政府性基金预算财政拨款收入、国有资本经营预算财政拨款支出及结转结余情况，故政府性基金预算财政拨款收入决算表、国有资本经营预算财政拨款支出决算表以空表列示。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4182B0C-4065-4E31-9A8A-4F7CB10DCF0B}"/>
  </w:font>
  <w:font w:name="黑体">
    <w:panose1 w:val="02010609060101010101"/>
    <w:charset w:val="86"/>
    <w:family w:val="auto"/>
    <w:pitch w:val="default"/>
    <w:sig w:usb0="800002BF" w:usb1="38CF7CFA" w:usb2="00000016" w:usb3="00000000" w:csb0="00040001" w:csb1="00000000"/>
    <w:embedRegular r:id="rId2" w:fontKey="{79E8DF15-E06C-4407-835B-C5D685A68EA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380EBF3-4CFB-4D12-98EF-1133516418C1}"/>
  </w:font>
  <w:font w:name="仿宋">
    <w:panose1 w:val="02010609060101010101"/>
    <w:charset w:val="86"/>
    <w:family w:val="modern"/>
    <w:pitch w:val="default"/>
    <w:sig w:usb0="800002BF" w:usb1="38CF7CFA" w:usb2="00000016" w:usb3="00000000" w:csb0="00040001" w:csb1="00000000"/>
    <w:embedRegular r:id="rId4" w:fontKey="{27E392E5-6EF4-48AA-86B1-4C6C16B76C7F}"/>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方正魏碑简体">
    <w:altName w:val="微软雅黑"/>
    <w:panose1 w:val="00000000000000000000"/>
    <w:charset w:val="86"/>
    <w:family w:val="auto"/>
    <w:pitch w:val="default"/>
    <w:sig w:usb0="00000000" w:usb1="00000000" w:usb2="00000010" w:usb3="00000000" w:csb0="00040000" w:csb1="00000000"/>
    <w:embedRegular r:id="rId5" w:fontKey="{7D891522-322A-44D7-8BB2-C4694D90C394}"/>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6" w:fontKey="{4BBE9F03-C13F-4CF5-BD28-70DC9F90FBAD}"/>
  </w:font>
  <w:font w:name="楷体_GB2312">
    <w:panose1 w:val="02010609030101010101"/>
    <w:charset w:val="86"/>
    <w:family w:val="auto"/>
    <w:pitch w:val="default"/>
    <w:sig w:usb0="00000001" w:usb1="080E0000" w:usb2="00000000" w:usb3="00000000" w:csb0="00040000" w:csb1="00000000"/>
    <w:embedRegular r:id="rId7" w:fontKey="{299F3716-7C79-44FE-9C8A-69869362603D}"/>
  </w:font>
  <w:font w:name="仿宋_GB2312">
    <w:panose1 w:val="02010609030101010101"/>
    <w:charset w:val="86"/>
    <w:family w:val="auto"/>
    <w:pitch w:val="default"/>
    <w:sig w:usb0="00000001" w:usb1="080E0000" w:usb2="00000000" w:usb3="00000000" w:csb0="00040000" w:csb1="00000000"/>
    <w:embedRegular r:id="rId8" w:fontKey="{DB8D98EA-02E8-4E41-A7E5-302AC45C29E6}"/>
  </w:font>
  <w:font w:name="ArialUnicodeMS">
    <w:altName w:val="Malgun Gothic"/>
    <w:panose1 w:val="00000000000000000000"/>
    <w:charset w:val="81"/>
    <w:family w:val="auto"/>
    <w:pitch w:val="default"/>
    <w:sig w:usb0="00000000" w:usb1="00000000" w:usb2="00000010" w:usb3="00000000" w:csb0="00080001" w:csb1="00000000"/>
    <w:embedRegular r:id="rId9" w:fontKey="{B58D540B-2872-446A-AA3D-48EFC16B67A2}"/>
  </w:font>
  <w:font w:name="Malgun Gothic">
    <w:panose1 w:val="020B0503020000020004"/>
    <w:charset w:val="81"/>
    <w:family w:val="auto"/>
    <w:pitch w:val="default"/>
    <w:sig w:usb0="900002AF" w:usb1="01D77CFB" w:usb2="00000012" w:usb3="00000000" w:csb0="00080001" w:csb1="00000000"/>
  </w:font>
  <w:font w:name="FangSong_GB2312">
    <w:altName w:val="仿宋_GB2312"/>
    <w:panose1 w:val="00000000000000000000"/>
    <w:charset w:val="00"/>
    <w:family w:val="auto"/>
    <w:pitch w:val="default"/>
    <w:sig w:usb0="00000000" w:usb1="00000000" w:usb2="00000000" w:usb3="00000000" w:csb0="00000000" w:csb1="00000000"/>
    <w:embedRegular r:id="rId10" w:fontKey="{7A78370E-8668-4055-91EB-6A0D75488D5F}"/>
  </w:font>
  <w:font w:name="方正仿宋_GB2312">
    <w:altName w:val="仿宋"/>
    <w:panose1 w:val="02000000000000000000"/>
    <w:charset w:val="86"/>
    <w:family w:val="auto"/>
    <w:pitch w:val="default"/>
    <w:sig w:usb0="00000000" w:usb1="00000000" w:usb2="00000012" w:usb3="00000000" w:csb0="00040001" w:csb1="00000000"/>
    <w:embedRegular r:id="rId11" w:fontKey="{5C233634-0649-4FFE-8A36-41E807D97B36}"/>
  </w:font>
  <w:font w:name="方正仿宋简体">
    <w:panose1 w:val="02010601030101010101"/>
    <w:charset w:val="86"/>
    <w:family w:val="auto"/>
    <w:pitch w:val="default"/>
    <w:sig w:usb0="00000001" w:usb1="080E0000" w:usb2="00000000" w:usb3="00000000" w:csb0="00040000" w:csb1="00000000"/>
    <w:embedRegular r:id="rId12" w:fontKey="{68624694-DBC1-41F3-AFBA-132F2169C9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ksImhkaWQiOiI5YmQyNmNkYmE1ZDlkNzNkOWQ2ODkzYzliMmE5YzdmMSIsInVzZXJDb3VudCI6MTB9"/>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5451F8"/>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0E0195"/>
    <w:rsid w:val="0B4F5E6D"/>
    <w:rsid w:val="0B753AE2"/>
    <w:rsid w:val="0BB67D0A"/>
    <w:rsid w:val="0BC56230"/>
    <w:rsid w:val="0BCF21BD"/>
    <w:rsid w:val="0C4E53E8"/>
    <w:rsid w:val="0C6712D6"/>
    <w:rsid w:val="0C9F7900"/>
    <w:rsid w:val="0CAA264F"/>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15F9F"/>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967345"/>
    <w:rsid w:val="22AD4B1E"/>
    <w:rsid w:val="22D31DF3"/>
    <w:rsid w:val="22FD3CF7"/>
    <w:rsid w:val="232C221B"/>
    <w:rsid w:val="2356249E"/>
    <w:rsid w:val="236E713A"/>
    <w:rsid w:val="23700968"/>
    <w:rsid w:val="238761A6"/>
    <w:rsid w:val="23920578"/>
    <w:rsid w:val="23BB6F9A"/>
    <w:rsid w:val="23FC3864"/>
    <w:rsid w:val="24857B00"/>
    <w:rsid w:val="24F25212"/>
    <w:rsid w:val="251B0465"/>
    <w:rsid w:val="251B268E"/>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C544B8"/>
    <w:rsid w:val="2E0725DC"/>
    <w:rsid w:val="2E1B4BB8"/>
    <w:rsid w:val="2E256CB6"/>
    <w:rsid w:val="2E5F27E4"/>
    <w:rsid w:val="2EBD223E"/>
    <w:rsid w:val="2EC10AD1"/>
    <w:rsid w:val="2ECB6A5A"/>
    <w:rsid w:val="2EFC0112"/>
    <w:rsid w:val="2F2B730D"/>
    <w:rsid w:val="2F9F3DC1"/>
    <w:rsid w:val="2FFC7AC2"/>
    <w:rsid w:val="301430AF"/>
    <w:rsid w:val="30630612"/>
    <w:rsid w:val="308E59B0"/>
    <w:rsid w:val="309907CF"/>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3C43C8"/>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DDB1FC8"/>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0DB1C28"/>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0651E7"/>
    <w:rsid w:val="503D1C79"/>
    <w:rsid w:val="507A6406"/>
    <w:rsid w:val="50853863"/>
    <w:rsid w:val="508A4590"/>
    <w:rsid w:val="50F1461D"/>
    <w:rsid w:val="50FE5411"/>
    <w:rsid w:val="510B072E"/>
    <w:rsid w:val="511B0BF4"/>
    <w:rsid w:val="51264306"/>
    <w:rsid w:val="516123CE"/>
    <w:rsid w:val="516A3A56"/>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6A5A06"/>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DD0ABA"/>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styleId="26">
    <w:name w:val="No Spacing"/>
    <w:qFormat/>
    <w:uiPriority w:val="1"/>
    <w:pPr>
      <w:adjustRightInd w:val="0"/>
      <w:snapToGrid w:val="0"/>
    </w:pPr>
    <w:rPr>
      <w:rFonts w:ascii="Tahoma" w:hAnsi="Tahoma" w:eastAsia="宋体" w:cs="Times New Roman"/>
      <w:sz w:val="24"/>
      <w:szCs w:val="22"/>
      <w:lang w:val="en-US" w:eastAsia="zh-CN" w:bidi="ar-SA"/>
    </w:rPr>
  </w:style>
  <w:style w:type="paragraph" w:customStyle="1" w:styleId="27">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10095</Words>
  <Characters>11873</Characters>
  <Lines>86</Lines>
  <Paragraphs>24</Paragraphs>
  <TotalTime>9</TotalTime>
  <ScaleCrop>false</ScaleCrop>
  <LinksUpToDate>false</LinksUpToDate>
  <CharactersWithSpaces>12503</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2024-10-09T06:57:00Z</cp:lastPrinted>
  <dcterms:modified xsi:type="dcterms:W3CDTF">2024-10-11T07:49:03Z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30666BE996834736A502322CA6064882</vt:lpwstr>
  </property>
  <property fmtid="{D5CDD505-2E9C-101B-9397-08002B2CF9AE}" pid="4" name="KSOTemplateUUID">
    <vt:lpwstr>v1.0_mb_S7ajbG3IpAnL1wSthNCxfw==</vt:lpwstr>
  </property>
</Properties>
</file>