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方正小标宋_GBK" w:hAnsi="方正小标宋_GBK" w:eastAsia="方正小标宋_GBK" w:cs="方正小标宋_GBK"/>
          <w:color w:val="000000"/>
          <w:sz w:val="44"/>
          <w:lang w:eastAsia="zh-CN"/>
        </w:rPr>
        <w:tab/>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pPr>
        <w:tabs>
          <w:tab w:val="left" w:pos="613"/>
          <w:tab w:val="center" w:pos="7570"/>
        </w:tabs>
        <w:spacing w:before="0" w:after="0" w:line="240" w:lineRule="auto"/>
        <w:ind w:firstLine="0"/>
        <w:jc w:val="left"/>
        <w:outlineLvl w:val="9"/>
      </w:pPr>
      <w:r>
        <w:fldChar w:fldCharType="end"/>
      </w:r>
      <w:r>
        <w:rPr>
          <w:rFonts w:hint="eastAsia" w:ascii="方正小标宋_GBK" w:hAnsi="方正小标宋_GBK" w:eastAsia="方正小标宋_GBK" w:cs="方正小标宋_GBK"/>
          <w:color w:val="000000"/>
          <w:sz w:val="44"/>
          <w:lang w:eastAsia="zh-CN"/>
        </w:rPr>
        <w:tab/>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一、唐山市开平区市场监督管理局本级收支预算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2426.27</w:t>
            </w:r>
          </w:p>
        </w:tc>
        <w:tc>
          <w:tcPr>
            <w:tcW w:w="4535" w:type="dxa"/>
            <w:vAlign w:val="center"/>
          </w:tcPr>
          <w:p>
            <w:pPr>
              <w:pStyle w:val="10"/>
            </w:pPr>
            <w:r>
              <w:t>一、一般公共服务支出</w:t>
            </w:r>
          </w:p>
        </w:tc>
        <w:tc>
          <w:tcPr>
            <w:tcW w:w="2126" w:type="dxa"/>
            <w:vAlign w:val="center"/>
          </w:tcPr>
          <w:p>
            <w:pPr>
              <w:pStyle w:val="11"/>
            </w:pPr>
            <w:r>
              <w:t>2021.60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25.00</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103.17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183.77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117.74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2451.27</w:t>
            </w:r>
          </w:p>
        </w:tc>
        <w:tc>
          <w:tcPr>
            <w:tcW w:w="4535" w:type="dxa"/>
            <w:vAlign w:val="center"/>
          </w:tcPr>
          <w:p>
            <w:pPr>
              <w:pStyle w:val="12"/>
            </w:pPr>
            <w:r>
              <w:t>本年支出合计</w:t>
            </w:r>
          </w:p>
        </w:tc>
        <w:tc>
          <w:tcPr>
            <w:tcW w:w="2126" w:type="dxa"/>
            <w:vAlign w:val="center"/>
          </w:tcPr>
          <w:p>
            <w:pPr>
              <w:pStyle w:val="13"/>
            </w:pPr>
            <w:r>
              <w:t>2451.27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2451.27</w:t>
            </w:r>
          </w:p>
        </w:tc>
        <w:tc>
          <w:tcPr>
            <w:tcW w:w="4535" w:type="dxa"/>
            <w:vAlign w:val="center"/>
          </w:tcPr>
          <w:p>
            <w:pPr>
              <w:pStyle w:val="12"/>
            </w:pPr>
            <w:r>
              <w:t>支出总计</w:t>
            </w:r>
          </w:p>
        </w:tc>
        <w:tc>
          <w:tcPr>
            <w:tcW w:w="2126" w:type="dxa"/>
            <w:vAlign w:val="center"/>
          </w:tcPr>
          <w:p>
            <w:pPr>
              <w:pStyle w:val="13"/>
            </w:pPr>
            <w:r>
              <w:t>2451.27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2451.27</w:t>
            </w:r>
          </w:p>
        </w:tc>
        <w:tc>
          <w:tcPr>
            <w:tcW w:w="1134" w:type="dxa"/>
            <w:vAlign w:val="center"/>
          </w:tcPr>
          <w:p>
            <w:pPr>
              <w:pStyle w:val="13"/>
            </w:pPr>
            <w:r>
              <w:t>2451.27</w:t>
            </w:r>
          </w:p>
        </w:tc>
        <w:tc>
          <w:tcPr>
            <w:tcW w:w="1134" w:type="dxa"/>
            <w:vAlign w:val="center"/>
          </w:tcPr>
          <w:p>
            <w:pPr>
              <w:pStyle w:val="13"/>
            </w:pPr>
            <w:r>
              <w:t>2451.27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2021.60</w:t>
            </w:r>
          </w:p>
        </w:tc>
        <w:tc>
          <w:tcPr>
            <w:tcW w:w="1134" w:type="dxa"/>
            <w:vAlign w:val="center"/>
          </w:tcPr>
          <w:p>
            <w:pPr>
              <w:pStyle w:val="11"/>
            </w:pPr>
            <w:r>
              <w:t>2021.60</w:t>
            </w:r>
          </w:p>
        </w:tc>
        <w:tc>
          <w:tcPr>
            <w:tcW w:w="1134" w:type="dxa"/>
            <w:vAlign w:val="center"/>
          </w:tcPr>
          <w:p>
            <w:pPr>
              <w:pStyle w:val="11"/>
            </w:pPr>
            <w:r>
              <w:t>2021.60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3</w:t>
            </w:r>
          </w:p>
        </w:tc>
        <w:tc>
          <w:tcPr>
            <w:tcW w:w="992" w:type="dxa"/>
            <w:vAlign w:val="center"/>
          </w:tcPr>
          <w:p>
            <w:pPr>
              <w:pStyle w:val="10"/>
            </w:pPr>
            <w:r>
              <w:t>20138</w:t>
            </w:r>
          </w:p>
        </w:tc>
        <w:tc>
          <w:tcPr>
            <w:tcW w:w="1559" w:type="dxa"/>
            <w:vAlign w:val="center"/>
          </w:tcPr>
          <w:p>
            <w:pPr>
              <w:pStyle w:val="10"/>
            </w:pPr>
            <w:r>
              <w:t>市场监督管理事务</w:t>
            </w:r>
          </w:p>
        </w:tc>
        <w:tc>
          <w:tcPr>
            <w:tcW w:w="1134" w:type="dxa"/>
            <w:vAlign w:val="center"/>
          </w:tcPr>
          <w:p>
            <w:pPr>
              <w:pStyle w:val="11"/>
            </w:pPr>
            <w:r>
              <w:t>2021.60</w:t>
            </w:r>
          </w:p>
        </w:tc>
        <w:tc>
          <w:tcPr>
            <w:tcW w:w="1134" w:type="dxa"/>
            <w:vAlign w:val="center"/>
          </w:tcPr>
          <w:p>
            <w:pPr>
              <w:pStyle w:val="11"/>
            </w:pPr>
            <w:r>
              <w:t>2021.60</w:t>
            </w:r>
          </w:p>
        </w:tc>
        <w:tc>
          <w:tcPr>
            <w:tcW w:w="1134" w:type="dxa"/>
            <w:vAlign w:val="center"/>
          </w:tcPr>
          <w:p>
            <w:pPr>
              <w:pStyle w:val="11"/>
            </w:pPr>
            <w:r>
              <w:t>2021.60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4</w:t>
            </w:r>
          </w:p>
        </w:tc>
        <w:tc>
          <w:tcPr>
            <w:tcW w:w="992" w:type="dxa"/>
            <w:vAlign w:val="center"/>
          </w:tcPr>
          <w:p>
            <w:pPr>
              <w:pStyle w:val="10"/>
            </w:pPr>
            <w:r>
              <w:t>2013801</w:t>
            </w:r>
          </w:p>
        </w:tc>
        <w:tc>
          <w:tcPr>
            <w:tcW w:w="1559" w:type="dxa"/>
            <w:vAlign w:val="center"/>
          </w:tcPr>
          <w:p>
            <w:pPr>
              <w:pStyle w:val="10"/>
            </w:pPr>
            <w:r>
              <w:t>行政运行</w:t>
            </w:r>
          </w:p>
        </w:tc>
        <w:tc>
          <w:tcPr>
            <w:tcW w:w="1134" w:type="dxa"/>
            <w:vAlign w:val="center"/>
          </w:tcPr>
          <w:p>
            <w:pPr>
              <w:pStyle w:val="11"/>
            </w:pPr>
            <w:r>
              <w:t>1800.17</w:t>
            </w:r>
          </w:p>
        </w:tc>
        <w:tc>
          <w:tcPr>
            <w:tcW w:w="1134" w:type="dxa"/>
            <w:vAlign w:val="center"/>
          </w:tcPr>
          <w:p>
            <w:pPr>
              <w:pStyle w:val="11"/>
            </w:pPr>
            <w:r>
              <w:t>1800.17</w:t>
            </w:r>
          </w:p>
        </w:tc>
        <w:tc>
          <w:tcPr>
            <w:tcW w:w="1134" w:type="dxa"/>
            <w:vAlign w:val="center"/>
          </w:tcPr>
          <w:p>
            <w:pPr>
              <w:pStyle w:val="11"/>
            </w:pPr>
            <w:r>
              <w:t>1800.17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5</w:t>
            </w:r>
          </w:p>
        </w:tc>
        <w:tc>
          <w:tcPr>
            <w:tcW w:w="992" w:type="dxa"/>
            <w:vAlign w:val="center"/>
          </w:tcPr>
          <w:p>
            <w:pPr>
              <w:pStyle w:val="10"/>
            </w:pPr>
            <w:r>
              <w:t>2013802</w:t>
            </w:r>
          </w:p>
        </w:tc>
        <w:tc>
          <w:tcPr>
            <w:tcW w:w="1559" w:type="dxa"/>
            <w:vAlign w:val="center"/>
          </w:tcPr>
          <w:p>
            <w:pPr>
              <w:pStyle w:val="10"/>
            </w:pPr>
            <w:r>
              <w:t>一般行政管理事务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6</w:t>
            </w:r>
          </w:p>
        </w:tc>
        <w:tc>
          <w:tcPr>
            <w:tcW w:w="992" w:type="dxa"/>
            <w:vAlign w:val="center"/>
          </w:tcPr>
          <w:p>
            <w:pPr>
              <w:pStyle w:val="10"/>
            </w:pPr>
            <w:r>
              <w:t>2013804</w:t>
            </w:r>
          </w:p>
        </w:tc>
        <w:tc>
          <w:tcPr>
            <w:tcW w:w="1559" w:type="dxa"/>
            <w:vAlign w:val="center"/>
          </w:tcPr>
          <w:p>
            <w:pPr>
              <w:pStyle w:val="10"/>
            </w:pPr>
            <w:r>
              <w:t>市场主体管理</w:t>
            </w:r>
          </w:p>
        </w:tc>
        <w:tc>
          <w:tcPr>
            <w:tcW w:w="1134" w:type="dxa"/>
            <w:vAlign w:val="center"/>
          </w:tcPr>
          <w:p>
            <w:pPr>
              <w:pStyle w:val="11"/>
            </w:pPr>
            <w:r>
              <w:t>18.65</w:t>
            </w:r>
          </w:p>
        </w:tc>
        <w:tc>
          <w:tcPr>
            <w:tcW w:w="1134" w:type="dxa"/>
            <w:vAlign w:val="center"/>
          </w:tcPr>
          <w:p>
            <w:pPr>
              <w:pStyle w:val="11"/>
            </w:pPr>
            <w:r>
              <w:t>18.65</w:t>
            </w:r>
          </w:p>
        </w:tc>
        <w:tc>
          <w:tcPr>
            <w:tcW w:w="1134" w:type="dxa"/>
            <w:vAlign w:val="center"/>
          </w:tcPr>
          <w:p>
            <w:pPr>
              <w:pStyle w:val="11"/>
            </w:pPr>
            <w:r>
              <w:t>18.65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7</w:t>
            </w:r>
          </w:p>
        </w:tc>
        <w:tc>
          <w:tcPr>
            <w:tcW w:w="992" w:type="dxa"/>
            <w:vAlign w:val="center"/>
          </w:tcPr>
          <w:p>
            <w:pPr>
              <w:pStyle w:val="10"/>
            </w:pPr>
            <w:r>
              <w:t>2013805</w:t>
            </w:r>
          </w:p>
        </w:tc>
        <w:tc>
          <w:tcPr>
            <w:tcW w:w="1559" w:type="dxa"/>
            <w:vAlign w:val="center"/>
          </w:tcPr>
          <w:p>
            <w:pPr>
              <w:pStyle w:val="10"/>
            </w:pPr>
            <w:r>
              <w:t>市场秩序执法</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8</w:t>
            </w:r>
          </w:p>
        </w:tc>
        <w:tc>
          <w:tcPr>
            <w:tcW w:w="992" w:type="dxa"/>
            <w:vAlign w:val="center"/>
          </w:tcPr>
          <w:p>
            <w:pPr>
              <w:pStyle w:val="10"/>
            </w:pPr>
            <w:r>
              <w:t>2013816</w:t>
            </w:r>
          </w:p>
        </w:tc>
        <w:tc>
          <w:tcPr>
            <w:tcW w:w="1559" w:type="dxa"/>
            <w:vAlign w:val="center"/>
          </w:tcPr>
          <w:p>
            <w:pPr>
              <w:pStyle w:val="10"/>
            </w:pPr>
            <w:r>
              <w:t>食品安全监管</w:t>
            </w:r>
          </w:p>
        </w:tc>
        <w:tc>
          <w:tcPr>
            <w:tcW w:w="1134" w:type="dxa"/>
            <w:vAlign w:val="center"/>
          </w:tcPr>
          <w:p>
            <w:pPr>
              <w:pStyle w:val="11"/>
            </w:pPr>
            <w:r>
              <w:t>187.78</w:t>
            </w:r>
          </w:p>
        </w:tc>
        <w:tc>
          <w:tcPr>
            <w:tcW w:w="1134" w:type="dxa"/>
            <w:vAlign w:val="center"/>
          </w:tcPr>
          <w:p>
            <w:pPr>
              <w:pStyle w:val="11"/>
            </w:pPr>
            <w:r>
              <w:t>187.78</w:t>
            </w:r>
          </w:p>
        </w:tc>
        <w:tc>
          <w:tcPr>
            <w:tcW w:w="1134" w:type="dxa"/>
            <w:vAlign w:val="center"/>
          </w:tcPr>
          <w:p>
            <w:pPr>
              <w:pStyle w:val="11"/>
            </w:pPr>
            <w:r>
              <w:t>187.78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9</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103.17</w:t>
            </w:r>
          </w:p>
        </w:tc>
        <w:tc>
          <w:tcPr>
            <w:tcW w:w="1134" w:type="dxa"/>
            <w:vAlign w:val="center"/>
          </w:tcPr>
          <w:p>
            <w:pPr>
              <w:pStyle w:val="11"/>
            </w:pPr>
            <w:r>
              <w:t>103.17</w:t>
            </w:r>
          </w:p>
        </w:tc>
        <w:tc>
          <w:tcPr>
            <w:tcW w:w="1134" w:type="dxa"/>
            <w:vAlign w:val="center"/>
          </w:tcPr>
          <w:p>
            <w:pPr>
              <w:pStyle w:val="11"/>
            </w:pPr>
            <w:r>
              <w:t>103.17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103.17</w:t>
            </w:r>
          </w:p>
        </w:tc>
        <w:tc>
          <w:tcPr>
            <w:tcW w:w="1134" w:type="dxa"/>
            <w:vAlign w:val="center"/>
          </w:tcPr>
          <w:p>
            <w:pPr>
              <w:pStyle w:val="11"/>
            </w:pPr>
            <w:r>
              <w:t>103.17</w:t>
            </w:r>
          </w:p>
        </w:tc>
        <w:tc>
          <w:tcPr>
            <w:tcW w:w="1134" w:type="dxa"/>
            <w:vAlign w:val="center"/>
          </w:tcPr>
          <w:p>
            <w:pPr>
              <w:pStyle w:val="11"/>
            </w:pPr>
            <w:r>
              <w:t>103.17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11</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103.17</w:t>
            </w:r>
          </w:p>
        </w:tc>
        <w:tc>
          <w:tcPr>
            <w:tcW w:w="1134" w:type="dxa"/>
            <w:vAlign w:val="center"/>
          </w:tcPr>
          <w:p>
            <w:pPr>
              <w:pStyle w:val="11"/>
            </w:pPr>
            <w:r>
              <w:t>103.17</w:t>
            </w:r>
          </w:p>
        </w:tc>
        <w:tc>
          <w:tcPr>
            <w:tcW w:w="1134" w:type="dxa"/>
            <w:vAlign w:val="center"/>
          </w:tcPr>
          <w:p>
            <w:pPr>
              <w:pStyle w:val="11"/>
            </w:pPr>
            <w:r>
              <w:t>103.17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183.77</w:t>
            </w:r>
          </w:p>
        </w:tc>
        <w:tc>
          <w:tcPr>
            <w:tcW w:w="1134" w:type="dxa"/>
            <w:vAlign w:val="center"/>
          </w:tcPr>
          <w:p>
            <w:pPr>
              <w:pStyle w:val="11"/>
            </w:pPr>
            <w:r>
              <w:t>183.77</w:t>
            </w:r>
          </w:p>
        </w:tc>
        <w:tc>
          <w:tcPr>
            <w:tcW w:w="1134" w:type="dxa"/>
            <w:vAlign w:val="center"/>
          </w:tcPr>
          <w:p>
            <w:pPr>
              <w:pStyle w:val="11"/>
            </w:pPr>
            <w:r>
              <w:t>183.77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13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183.77</w:t>
            </w:r>
          </w:p>
        </w:tc>
        <w:tc>
          <w:tcPr>
            <w:tcW w:w="1134" w:type="dxa"/>
            <w:vAlign w:val="center"/>
          </w:tcPr>
          <w:p>
            <w:pPr>
              <w:pStyle w:val="11"/>
            </w:pPr>
            <w:r>
              <w:t>183.77</w:t>
            </w:r>
          </w:p>
        </w:tc>
        <w:tc>
          <w:tcPr>
            <w:tcW w:w="1134" w:type="dxa"/>
            <w:vAlign w:val="center"/>
          </w:tcPr>
          <w:p>
            <w:pPr>
              <w:pStyle w:val="11"/>
            </w:pPr>
            <w:r>
              <w:t>183.77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14</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183.77</w:t>
            </w:r>
          </w:p>
        </w:tc>
        <w:tc>
          <w:tcPr>
            <w:tcW w:w="1134" w:type="dxa"/>
            <w:vAlign w:val="center"/>
          </w:tcPr>
          <w:p>
            <w:pPr>
              <w:pStyle w:val="11"/>
            </w:pPr>
            <w:r>
              <w:t>183.77</w:t>
            </w:r>
          </w:p>
        </w:tc>
        <w:tc>
          <w:tcPr>
            <w:tcW w:w="1134" w:type="dxa"/>
            <w:vAlign w:val="center"/>
          </w:tcPr>
          <w:p>
            <w:pPr>
              <w:pStyle w:val="11"/>
            </w:pPr>
            <w:r>
              <w:t>183.77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15</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16</w:t>
            </w:r>
          </w:p>
        </w:tc>
        <w:tc>
          <w:tcPr>
            <w:tcW w:w="992" w:type="dxa"/>
            <w:vAlign w:val="center"/>
          </w:tcPr>
          <w:p>
            <w:pPr>
              <w:pStyle w:val="10"/>
            </w:pPr>
            <w:r>
              <w:t>21213</w:t>
            </w:r>
          </w:p>
        </w:tc>
        <w:tc>
          <w:tcPr>
            <w:tcW w:w="1559" w:type="dxa"/>
            <w:vAlign w:val="center"/>
          </w:tcPr>
          <w:p>
            <w:pPr>
              <w:pStyle w:val="10"/>
            </w:pPr>
            <w:r>
              <w:t>城市基础设施配套费安排的支出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17</w:t>
            </w:r>
          </w:p>
        </w:tc>
        <w:tc>
          <w:tcPr>
            <w:tcW w:w="992" w:type="dxa"/>
            <w:vAlign w:val="center"/>
          </w:tcPr>
          <w:p>
            <w:pPr>
              <w:pStyle w:val="10"/>
            </w:pPr>
            <w:r>
              <w:t>2121399</w:t>
            </w:r>
          </w:p>
        </w:tc>
        <w:tc>
          <w:tcPr>
            <w:tcW w:w="1559" w:type="dxa"/>
            <w:vAlign w:val="center"/>
          </w:tcPr>
          <w:p>
            <w:pPr>
              <w:pStyle w:val="10"/>
            </w:pPr>
            <w:r>
              <w:t>其他城市基础设施配套费安排的支出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18</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117.74</w:t>
            </w:r>
          </w:p>
        </w:tc>
        <w:tc>
          <w:tcPr>
            <w:tcW w:w="1134" w:type="dxa"/>
            <w:vAlign w:val="center"/>
          </w:tcPr>
          <w:p>
            <w:pPr>
              <w:pStyle w:val="11"/>
            </w:pPr>
            <w:r>
              <w:t>117.74</w:t>
            </w:r>
          </w:p>
        </w:tc>
        <w:tc>
          <w:tcPr>
            <w:tcW w:w="1134" w:type="dxa"/>
            <w:vAlign w:val="center"/>
          </w:tcPr>
          <w:p>
            <w:pPr>
              <w:pStyle w:val="11"/>
            </w:pPr>
            <w:r>
              <w:t>117.74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19</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117.74</w:t>
            </w:r>
          </w:p>
        </w:tc>
        <w:tc>
          <w:tcPr>
            <w:tcW w:w="1134" w:type="dxa"/>
            <w:vAlign w:val="center"/>
          </w:tcPr>
          <w:p>
            <w:pPr>
              <w:pStyle w:val="11"/>
            </w:pPr>
            <w:r>
              <w:t>117.74</w:t>
            </w:r>
          </w:p>
        </w:tc>
        <w:tc>
          <w:tcPr>
            <w:tcW w:w="1134" w:type="dxa"/>
            <w:vAlign w:val="center"/>
          </w:tcPr>
          <w:p>
            <w:pPr>
              <w:pStyle w:val="11"/>
            </w:pPr>
            <w:r>
              <w:t>117.74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9"/>
            </w:pPr>
            <w:r>
              <w:t>20</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117.74</w:t>
            </w:r>
          </w:p>
        </w:tc>
        <w:tc>
          <w:tcPr>
            <w:tcW w:w="1134" w:type="dxa"/>
            <w:vAlign w:val="center"/>
          </w:tcPr>
          <w:p>
            <w:pPr>
              <w:pStyle w:val="11"/>
            </w:pPr>
            <w:r>
              <w:t>117.74</w:t>
            </w:r>
          </w:p>
        </w:tc>
        <w:tc>
          <w:tcPr>
            <w:tcW w:w="1134" w:type="dxa"/>
            <w:vAlign w:val="center"/>
          </w:tcPr>
          <w:p>
            <w:pPr>
              <w:pStyle w:val="11"/>
            </w:pPr>
            <w:r>
              <w:t>117.74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2451.27</w:t>
            </w:r>
          </w:p>
        </w:tc>
        <w:tc>
          <w:tcPr>
            <w:tcW w:w="1361" w:type="dxa"/>
            <w:vAlign w:val="center"/>
          </w:tcPr>
          <w:p>
            <w:pPr>
              <w:pStyle w:val="13"/>
            </w:pPr>
            <w:r>
              <w:t>2187.84</w:t>
            </w:r>
          </w:p>
        </w:tc>
        <w:tc>
          <w:tcPr>
            <w:tcW w:w="1361" w:type="dxa"/>
            <w:vAlign w:val="center"/>
          </w:tcPr>
          <w:p>
            <w:pPr>
              <w:pStyle w:val="13"/>
            </w:pPr>
            <w:r>
              <w:t>263.43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2021.60</w:t>
            </w:r>
          </w:p>
        </w:tc>
        <w:tc>
          <w:tcPr>
            <w:tcW w:w="1361" w:type="dxa"/>
            <w:vAlign w:val="center"/>
          </w:tcPr>
          <w:p>
            <w:pPr>
              <w:pStyle w:val="11"/>
            </w:pPr>
            <w:r>
              <w:t>1783.17</w:t>
            </w:r>
          </w:p>
        </w:tc>
        <w:tc>
          <w:tcPr>
            <w:tcW w:w="1361" w:type="dxa"/>
            <w:vAlign w:val="center"/>
          </w:tcPr>
          <w:p>
            <w:pPr>
              <w:pStyle w:val="11"/>
            </w:pPr>
            <w:r>
              <w:t>238.43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w:t>
            </w:r>
          </w:p>
        </w:tc>
        <w:tc>
          <w:tcPr>
            <w:tcW w:w="992" w:type="dxa"/>
            <w:vAlign w:val="center"/>
          </w:tcPr>
          <w:p>
            <w:pPr>
              <w:pStyle w:val="10"/>
            </w:pPr>
            <w:r>
              <w:t>20138</w:t>
            </w:r>
          </w:p>
        </w:tc>
        <w:tc>
          <w:tcPr>
            <w:tcW w:w="4535" w:type="dxa"/>
            <w:vAlign w:val="center"/>
          </w:tcPr>
          <w:p>
            <w:pPr>
              <w:pStyle w:val="10"/>
            </w:pPr>
            <w:r>
              <w:t>市场监督管理事务</w:t>
            </w:r>
          </w:p>
        </w:tc>
        <w:tc>
          <w:tcPr>
            <w:tcW w:w="1361" w:type="dxa"/>
            <w:vAlign w:val="center"/>
          </w:tcPr>
          <w:p>
            <w:pPr>
              <w:pStyle w:val="11"/>
            </w:pPr>
            <w:r>
              <w:t>2021.60</w:t>
            </w:r>
          </w:p>
        </w:tc>
        <w:tc>
          <w:tcPr>
            <w:tcW w:w="1361" w:type="dxa"/>
            <w:vAlign w:val="center"/>
          </w:tcPr>
          <w:p>
            <w:pPr>
              <w:pStyle w:val="11"/>
            </w:pPr>
            <w:r>
              <w:t>1783.17</w:t>
            </w:r>
          </w:p>
        </w:tc>
        <w:tc>
          <w:tcPr>
            <w:tcW w:w="1361" w:type="dxa"/>
            <w:vAlign w:val="center"/>
          </w:tcPr>
          <w:p>
            <w:pPr>
              <w:pStyle w:val="11"/>
            </w:pPr>
            <w:r>
              <w:t>238.43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4</w:t>
            </w:r>
          </w:p>
        </w:tc>
        <w:tc>
          <w:tcPr>
            <w:tcW w:w="992" w:type="dxa"/>
            <w:vAlign w:val="center"/>
          </w:tcPr>
          <w:p>
            <w:pPr>
              <w:pStyle w:val="10"/>
            </w:pPr>
            <w:r>
              <w:t>2013801</w:t>
            </w:r>
          </w:p>
        </w:tc>
        <w:tc>
          <w:tcPr>
            <w:tcW w:w="4535" w:type="dxa"/>
            <w:vAlign w:val="center"/>
          </w:tcPr>
          <w:p>
            <w:pPr>
              <w:pStyle w:val="10"/>
            </w:pPr>
            <w:r>
              <w:t>行政运行</w:t>
            </w:r>
          </w:p>
        </w:tc>
        <w:tc>
          <w:tcPr>
            <w:tcW w:w="1361" w:type="dxa"/>
            <w:vAlign w:val="center"/>
          </w:tcPr>
          <w:p>
            <w:pPr>
              <w:pStyle w:val="11"/>
            </w:pPr>
            <w:r>
              <w:t>1800.17</w:t>
            </w:r>
          </w:p>
        </w:tc>
        <w:tc>
          <w:tcPr>
            <w:tcW w:w="1361" w:type="dxa"/>
            <w:vAlign w:val="center"/>
          </w:tcPr>
          <w:p>
            <w:pPr>
              <w:pStyle w:val="11"/>
            </w:pPr>
            <w:r>
              <w:t>1783.17</w:t>
            </w:r>
          </w:p>
        </w:tc>
        <w:tc>
          <w:tcPr>
            <w:tcW w:w="1361" w:type="dxa"/>
            <w:vAlign w:val="center"/>
          </w:tcPr>
          <w:p>
            <w:pPr>
              <w:pStyle w:val="11"/>
            </w:pPr>
            <w:r>
              <w:t>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5</w:t>
            </w:r>
          </w:p>
        </w:tc>
        <w:tc>
          <w:tcPr>
            <w:tcW w:w="992" w:type="dxa"/>
            <w:vAlign w:val="center"/>
          </w:tcPr>
          <w:p>
            <w:pPr>
              <w:pStyle w:val="10"/>
            </w:pPr>
            <w:r>
              <w:t>2013802</w:t>
            </w:r>
          </w:p>
        </w:tc>
        <w:tc>
          <w:tcPr>
            <w:tcW w:w="4535" w:type="dxa"/>
            <w:vAlign w:val="center"/>
          </w:tcPr>
          <w:p>
            <w:pPr>
              <w:pStyle w:val="10"/>
            </w:pPr>
            <w:r>
              <w:t>一般行政管理事务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6</w:t>
            </w:r>
          </w:p>
        </w:tc>
        <w:tc>
          <w:tcPr>
            <w:tcW w:w="992" w:type="dxa"/>
            <w:vAlign w:val="center"/>
          </w:tcPr>
          <w:p>
            <w:pPr>
              <w:pStyle w:val="10"/>
            </w:pPr>
            <w:r>
              <w:t>2013804</w:t>
            </w:r>
          </w:p>
        </w:tc>
        <w:tc>
          <w:tcPr>
            <w:tcW w:w="4535" w:type="dxa"/>
            <w:vAlign w:val="center"/>
          </w:tcPr>
          <w:p>
            <w:pPr>
              <w:pStyle w:val="10"/>
            </w:pPr>
            <w:r>
              <w:t>市场主体管理</w:t>
            </w:r>
          </w:p>
        </w:tc>
        <w:tc>
          <w:tcPr>
            <w:tcW w:w="1361" w:type="dxa"/>
            <w:vAlign w:val="center"/>
          </w:tcPr>
          <w:p>
            <w:pPr>
              <w:pStyle w:val="11"/>
            </w:pPr>
            <w:r>
              <w:t>18.65</w:t>
            </w:r>
          </w:p>
        </w:tc>
        <w:tc>
          <w:tcPr>
            <w:tcW w:w="1361" w:type="dxa"/>
            <w:vAlign w:val="center"/>
          </w:tcPr>
          <w:p>
            <w:pPr>
              <w:pStyle w:val="11"/>
            </w:pPr>
          </w:p>
        </w:tc>
        <w:tc>
          <w:tcPr>
            <w:tcW w:w="1361" w:type="dxa"/>
            <w:vAlign w:val="center"/>
          </w:tcPr>
          <w:p>
            <w:pPr>
              <w:pStyle w:val="11"/>
            </w:pPr>
            <w:r>
              <w:t>18.65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7</w:t>
            </w:r>
          </w:p>
        </w:tc>
        <w:tc>
          <w:tcPr>
            <w:tcW w:w="992" w:type="dxa"/>
            <w:vAlign w:val="center"/>
          </w:tcPr>
          <w:p>
            <w:pPr>
              <w:pStyle w:val="10"/>
            </w:pPr>
            <w:r>
              <w:t>2013805</w:t>
            </w:r>
          </w:p>
        </w:tc>
        <w:tc>
          <w:tcPr>
            <w:tcW w:w="4535" w:type="dxa"/>
            <w:vAlign w:val="center"/>
          </w:tcPr>
          <w:p>
            <w:pPr>
              <w:pStyle w:val="10"/>
            </w:pPr>
            <w:r>
              <w:t>市场秩序执法</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8</w:t>
            </w:r>
          </w:p>
        </w:tc>
        <w:tc>
          <w:tcPr>
            <w:tcW w:w="992" w:type="dxa"/>
            <w:vAlign w:val="center"/>
          </w:tcPr>
          <w:p>
            <w:pPr>
              <w:pStyle w:val="10"/>
            </w:pPr>
            <w:r>
              <w:t>2013816</w:t>
            </w:r>
          </w:p>
        </w:tc>
        <w:tc>
          <w:tcPr>
            <w:tcW w:w="4535" w:type="dxa"/>
            <w:vAlign w:val="center"/>
          </w:tcPr>
          <w:p>
            <w:pPr>
              <w:pStyle w:val="10"/>
            </w:pPr>
            <w:r>
              <w:t>食品安全监管</w:t>
            </w:r>
          </w:p>
        </w:tc>
        <w:tc>
          <w:tcPr>
            <w:tcW w:w="1361" w:type="dxa"/>
            <w:vAlign w:val="center"/>
          </w:tcPr>
          <w:p>
            <w:pPr>
              <w:pStyle w:val="11"/>
            </w:pPr>
            <w:r>
              <w:t>187.78</w:t>
            </w:r>
          </w:p>
        </w:tc>
        <w:tc>
          <w:tcPr>
            <w:tcW w:w="1361" w:type="dxa"/>
            <w:vAlign w:val="center"/>
          </w:tcPr>
          <w:p>
            <w:pPr>
              <w:pStyle w:val="11"/>
            </w:pPr>
          </w:p>
        </w:tc>
        <w:tc>
          <w:tcPr>
            <w:tcW w:w="1361" w:type="dxa"/>
            <w:vAlign w:val="center"/>
          </w:tcPr>
          <w:p>
            <w:pPr>
              <w:pStyle w:val="11"/>
            </w:pPr>
            <w:r>
              <w:t>187.78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9</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103.17</w:t>
            </w:r>
          </w:p>
        </w:tc>
        <w:tc>
          <w:tcPr>
            <w:tcW w:w="1361" w:type="dxa"/>
            <w:vAlign w:val="center"/>
          </w:tcPr>
          <w:p>
            <w:pPr>
              <w:pStyle w:val="11"/>
            </w:pPr>
            <w:r>
              <w:t>103.17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10</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103.17</w:t>
            </w:r>
          </w:p>
        </w:tc>
        <w:tc>
          <w:tcPr>
            <w:tcW w:w="1361" w:type="dxa"/>
            <w:vAlign w:val="center"/>
          </w:tcPr>
          <w:p>
            <w:pPr>
              <w:pStyle w:val="11"/>
            </w:pPr>
            <w:r>
              <w:t>103.17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11</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103.17</w:t>
            </w:r>
          </w:p>
        </w:tc>
        <w:tc>
          <w:tcPr>
            <w:tcW w:w="1361" w:type="dxa"/>
            <w:vAlign w:val="center"/>
          </w:tcPr>
          <w:p>
            <w:pPr>
              <w:pStyle w:val="11"/>
            </w:pPr>
            <w:r>
              <w:t>103.17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183.77</w:t>
            </w:r>
          </w:p>
        </w:tc>
        <w:tc>
          <w:tcPr>
            <w:tcW w:w="1361" w:type="dxa"/>
            <w:vAlign w:val="center"/>
          </w:tcPr>
          <w:p>
            <w:pPr>
              <w:pStyle w:val="11"/>
            </w:pPr>
            <w:r>
              <w:t>183.77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183.77</w:t>
            </w:r>
          </w:p>
        </w:tc>
        <w:tc>
          <w:tcPr>
            <w:tcW w:w="1361" w:type="dxa"/>
            <w:vAlign w:val="center"/>
          </w:tcPr>
          <w:p>
            <w:pPr>
              <w:pStyle w:val="11"/>
            </w:pPr>
            <w:r>
              <w:t>183.77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14</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183.77</w:t>
            </w:r>
          </w:p>
        </w:tc>
        <w:tc>
          <w:tcPr>
            <w:tcW w:w="1361" w:type="dxa"/>
            <w:vAlign w:val="center"/>
          </w:tcPr>
          <w:p>
            <w:pPr>
              <w:pStyle w:val="11"/>
            </w:pPr>
            <w:r>
              <w:t>183.77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15</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16</w:t>
            </w:r>
          </w:p>
        </w:tc>
        <w:tc>
          <w:tcPr>
            <w:tcW w:w="992" w:type="dxa"/>
            <w:vAlign w:val="center"/>
          </w:tcPr>
          <w:p>
            <w:pPr>
              <w:pStyle w:val="10"/>
            </w:pPr>
            <w:r>
              <w:t>21213</w:t>
            </w:r>
          </w:p>
        </w:tc>
        <w:tc>
          <w:tcPr>
            <w:tcW w:w="4535" w:type="dxa"/>
            <w:vAlign w:val="center"/>
          </w:tcPr>
          <w:p>
            <w:pPr>
              <w:pStyle w:val="10"/>
            </w:pPr>
            <w:r>
              <w:t>城市基础设施配套费安排的支出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17</w:t>
            </w:r>
          </w:p>
        </w:tc>
        <w:tc>
          <w:tcPr>
            <w:tcW w:w="992" w:type="dxa"/>
            <w:vAlign w:val="center"/>
          </w:tcPr>
          <w:p>
            <w:pPr>
              <w:pStyle w:val="10"/>
            </w:pPr>
            <w:r>
              <w:t>2121399</w:t>
            </w:r>
          </w:p>
        </w:tc>
        <w:tc>
          <w:tcPr>
            <w:tcW w:w="4535" w:type="dxa"/>
            <w:vAlign w:val="center"/>
          </w:tcPr>
          <w:p>
            <w:pPr>
              <w:pStyle w:val="10"/>
            </w:pPr>
            <w:r>
              <w:t>其他城市基础设施配套费安排的支出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18</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117.74</w:t>
            </w:r>
          </w:p>
        </w:tc>
        <w:tc>
          <w:tcPr>
            <w:tcW w:w="1361" w:type="dxa"/>
            <w:vAlign w:val="center"/>
          </w:tcPr>
          <w:p>
            <w:pPr>
              <w:pStyle w:val="11"/>
            </w:pPr>
            <w:r>
              <w:t>117.74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19</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117.74</w:t>
            </w:r>
          </w:p>
        </w:tc>
        <w:tc>
          <w:tcPr>
            <w:tcW w:w="1361" w:type="dxa"/>
            <w:vAlign w:val="center"/>
          </w:tcPr>
          <w:p>
            <w:pPr>
              <w:pStyle w:val="11"/>
            </w:pPr>
            <w:r>
              <w:t>117.74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20</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117.74</w:t>
            </w:r>
          </w:p>
        </w:tc>
        <w:tc>
          <w:tcPr>
            <w:tcW w:w="1361" w:type="dxa"/>
            <w:vAlign w:val="center"/>
          </w:tcPr>
          <w:p>
            <w:pPr>
              <w:pStyle w:val="11"/>
            </w:pPr>
            <w:r>
              <w:t>117.74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2426.27</w:t>
            </w:r>
          </w:p>
        </w:tc>
        <w:tc>
          <w:tcPr>
            <w:tcW w:w="3402" w:type="dxa"/>
            <w:vAlign w:val="center"/>
          </w:tcPr>
          <w:p>
            <w:pPr>
              <w:pStyle w:val="10"/>
            </w:pPr>
            <w:r>
              <w:t>一、一般公共服务支出</w:t>
            </w:r>
          </w:p>
        </w:tc>
        <w:tc>
          <w:tcPr>
            <w:tcW w:w="1474" w:type="dxa"/>
            <w:vAlign w:val="center"/>
          </w:tcPr>
          <w:p>
            <w:pPr>
              <w:pStyle w:val="11"/>
            </w:pPr>
            <w:r>
              <w:t>2021.60</w:t>
            </w:r>
          </w:p>
        </w:tc>
        <w:tc>
          <w:tcPr>
            <w:tcW w:w="1474" w:type="dxa"/>
            <w:vAlign w:val="center"/>
          </w:tcPr>
          <w:p>
            <w:pPr>
              <w:pStyle w:val="11"/>
            </w:pPr>
            <w:r>
              <w:t>2021.60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r>
              <w:t>25.00</w:t>
            </w: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103.17</w:t>
            </w:r>
          </w:p>
        </w:tc>
        <w:tc>
          <w:tcPr>
            <w:tcW w:w="1474" w:type="dxa"/>
            <w:vAlign w:val="center"/>
          </w:tcPr>
          <w:p>
            <w:pPr>
              <w:pStyle w:val="11"/>
            </w:pPr>
            <w:r>
              <w:t>103.17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183.77</w:t>
            </w:r>
          </w:p>
        </w:tc>
        <w:tc>
          <w:tcPr>
            <w:tcW w:w="1474" w:type="dxa"/>
            <w:vAlign w:val="center"/>
          </w:tcPr>
          <w:p>
            <w:pPr>
              <w:pStyle w:val="11"/>
            </w:pPr>
            <w:r>
              <w:t>183.77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25.00</w:t>
            </w:r>
          </w:p>
        </w:tc>
        <w:tc>
          <w:tcPr>
            <w:tcW w:w="1474" w:type="dxa"/>
            <w:vAlign w:val="center"/>
          </w:tcPr>
          <w:p>
            <w:pPr>
              <w:pStyle w:val="11"/>
            </w:pPr>
          </w:p>
        </w:tc>
        <w:tc>
          <w:tcPr>
            <w:tcW w:w="1474" w:type="dxa"/>
            <w:vAlign w:val="center"/>
          </w:tcPr>
          <w:p>
            <w:pPr>
              <w:pStyle w:val="11"/>
            </w:pPr>
            <w:r>
              <w:t>25.00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117.74</w:t>
            </w:r>
          </w:p>
        </w:tc>
        <w:tc>
          <w:tcPr>
            <w:tcW w:w="1474" w:type="dxa"/>
            <w:vAlign w:val="center"/>
          </w:tcPr>
          <w:p>
            <w:pPr>
              <w:pStyle w:val="11"/>
            </w:pPr>
            <w:r>
              <w:t>117.74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2451.27</w:t>
            </w:r>
          </w:p>
        </w:tc>
        <w:tc>
          <w:tcPr>
            <w:tcW w:w="3402" w:type="dxa"/>
            <w:vAlign w:val="center"/>
          </w:tcPr>
          <w:p>
            <w:pPr>
              <w:pStyle w:val="12"/>
            </w:pPr>
            <w:r>
              <w:t>本年支出合计</w:t>
            </w:r>
          </w:p>
        </w:tc>
        <w:tc>
          <w:tcPr>
            <w:tcW w:w="1474" w:type="dxa"/>
            <w:vAlign w:val="center"/>
          </w:tcPr>
          <w:p>
            <w:pPr>
              <w:pStyle w:val="13"/>
            </w:pPr>
            <w:r>
              <w:t>2451.27</w:t>
            </w:r>
          </w:p>
        </w:tc>
        <w:tc>
          <w:tcPr>
            <w:tcW w:w="1474" w:type="dxa"/>
            <w:vAlign w:val="center"/>
          </w:tcPr>
          <w:p>
            <w:pPr>
              <w:pStyle w:val="13"/>
            </w:pPr>
            <w:r>
              <w:t>2426.27</w:t>
            </w:r>
          </w:p>
        </w:tc>
        <w:tc>
          <w:tcPr>
            <w:tcW w:w="1474" w:type="dxa"/>
            <w:vAlign w:val="center"/>
          </w:tcPr>
          <w:p>
            <w:pPr>
              <w:pStyle w:val="13"/>
            </w:pPr>
            <w:r>
              <w:t>25.00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2451.27</w:t>
            </w:r>
          </w:p>
        </w:tc>
        <w:tc>
          <w:tcPr>
            <w:tcW w:w="3402" w:type="dxa"/>
            <w:vAlign w:val="center"/>
          </w:tcPr>
          <w:p>
            <w:pPr>
              <w:pStyle w:val="12"/>
            </w:pPr>
            <w:r>
              <w:t>支出总计</w:t>
            </w:r>
          </w:p>
        </w:tc>
        <w:tc>
          <w:tcPr>
            <w:tcW w:w="1474" w:type="dxa"/>
            <w:vAlign w:val="center"/>
          </w:tcPr>
          <w:p>
            <w:pPr>
              <w:pStyle w:val="13"/>
            </w:pPr>
            <w:r>
              <w:t>2451.27</w:t>
            </w:r>
          </w:p>
        </w:tc>
        <w:tc>
          <w:tcPr>
            <w:tcW w:w="1474" w:type="dxa"/>
            <w:vAlign w:val="center"/>
          </w:tcPr>
          <w:p>
            <w:pPr>
              <w:pStyle w:val="13"/>
            </w:pPr>
            <w:r>
              <w:t>2426.27</w:t>
            </w:r>
          </w:p>
        </w:tc>
        <w:tc>
          <w:tcPr>
            <w:tcW w:w="1474" w:type="dxa"/>
            <w:vAlign w:val="center"/>
          </w:tcPr>
          <w:p>
            <w:pPr>
              <w:pStyle w:val="13"/>
            </w:pPr>
            <w:r>
              <w:t>25.00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2426.27</w:t>
            </w:r>
          </w:p>
        </w:tc>
        <w:tc>
          <w:tcPr>
            <w:tcW w:w="2551" w:type="dxa"/>
            <w:vAlign w:val="center"/>
          </w:tcPr>
          <w:p>
            <w:pPr>
              <w:pStyle w:val="13"/>
            </w:pPr>
            <w:r>
              <w:t>2187.84</w:t>
            </w:r>
          </w:p>
        </w:tc>
        <w:tc>
          <w:tcPr>
            <w:tcW w:w="2551" w:type="dxa"/>
            <w:vAlign w:val="center"/>
          </w:tcPr>
          <w:p>
            <w:pPr>
              <w:pStyle w:val="13"/>
            </w:pPr>
            <w:r>
              <w:t>238.43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2021.60</w:t>
            </w:r>
          </w:p>
        </w:tc>
        <w:tc>
          <w:tcPr>
            <w:tcW w:w="2551" w:type="dxa"/>
            <w:vAlign w:val="center"/>
          </w:tcPr>
          <w:p>
            <w:pPr>
              <w:pStyle w:val="11"/>
            </w:pPr>
            <w:r>
              <w:t>1783.17</w:t>
            </w:r>
          </w:p>
        </w:tc>
        <w:tc>
          <w:tcPr>
            <w:tcW w:w="2551" w:type="dxa"/>
            <w:vAlign w:val="center"/>
          </w:tcPr>
          <w:p>
            <w:pPr>
              <w:pStyle w:val="11"/>
            </w:pPr>
            <w:r>
              <w:t>238.43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w:t>
            </w:r>
          </w:p>
        </w:tc>
        <w:tc>
          <w:tcPr>
            <w:tcW w:w="1191" w:type="dxa"/>
            <w:vAlign w:val="center"/>
          </w:tcPr>
          <w:p>
            <w:pPr>
              <w:pStyle w:val="10"/>
            </w:pPr>
            <w:r>
              <w:t>20138</w:t>
            </w:r>
          </w:p>
        </w:tc>
        <w:tc>
          <w:tcPr>
            <w:tcW w:w="4535" w:type="dxa"/>
            <w:vAlign w:val="center"/>
          </w:tcPr>
          <w:p>
            <w:pPr>
              <w:pStyle w:val="10"/>
            </w:pPr>
            <w:r>
              <w:t>市场监督管理事务</w:t>
            </w:r>
          </w:p>
        </w:tc>
        <w:tc>
          <w:tcPr>
            <w:tcW w:w="2551" w:type="dxa"/>
            <w:vAlign w:val="center"/>
          </w:tcPr>
          <w:p>
            <w:pPr>
              <w:pStyle w:val="11"/>
            </w:pPr>
            <w:r>
              <w:t>2021.60</w:t>
            </w:r>
          </w:p>
        </w:tc>
        <w:tc>
          <w:tcPr>
            <w:tcW w:w="2551" w:type="dxa"/>
            <w:vAlign w:val="center"/>
          </w:tcPr>
          <w:p>
            <w:pPr>
              <w:pStyle w:val="11"/>
            </w:pPr>
            <w:r>
              <w:t>1783.17</w:t>
            </w:r>
          </w:p>
        </w:tc>
        <w:tc>
          <w:tcPr>
            <w:tcW w:w="2551" w:type="dxa"/>
            <w:vAlign w:val="center"/>
          </w:tcPr>
          <w:p>
            <w:pPr>
              <w:pStyle w:val="11"/>
            </w:pPr>
            <w:r>
              <w:t>238.43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4</w:t>
            </w:r>
          </w:p>
        </w:tc>
        <w:tc>
          <w:tcPr>
            <w:tcW w:w="1191" w:type="dxa"/>
            <w:vAlign w:val="center"/>
          </w:tcPr>
          <w:p>
            <w:pPr>
              <w:pStyle w:val="10"/>
            </w:pPr>
            <w:r>
              <w:t>2013801</w:t>
            </w:r>
          </w:p>
        </w:tc>
        <w:tc>
          <w:tcPr>
            <w:tcW w:w="4535" w:type="dxa"/>
            <w:vAlign w:val="center"/>
          </w:tcPr>
          <w:p>
            <w:pPr>
              <w:pStyle w:val="10"/>
            </w:pPr>
            <w:r>
              <w:t>行政运行</w:t>
            </w:r>
          </w:p>
        </w:tc>
        <w:tc>
          <w:tcPr>
            <w:tcW w:w="2551" w:type="dxa"/>
            <w:vAlign w:val="center"/>
          </w:tcPr>
          <w:p>
            <w:pPr>
              <w:pStyle w:val="11"/>
            </w:pPr>
            <w:r>
              <w:t>1800.17</w:t>
            </w:r>
          </w:p>
        </w:tc>
        <w:tc>
          <w:tcPr>
            <w:tcW w:w="2551" w:type="dxa"/>
            <w:vAlign w:val="center"/>
          </w:tcPr>
          <w:p>
            <w:pPr>
              <w:pStyle w:val="11"/>
            </w:pPr>
            <w:r>
              <w:t>1783.17</w:t>
            </w:r>
          </w:p>
        </w:tc>
        <w:tc>
          <w:tcPr>
            <w:tcW w:w="2551"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5</w:t>
            </w:r>
          </w:p>
        </w:tc>
        <w:tc>
          <w:tcPr>
            <w:tcW w:w="1191" w:type="dxa"/>
            <w:vAlign w:val="center"/>
          </w:tcPr>
          <w:p>
            <w:pPr>
              <w:pStyle w:val="10"/>
            </w:pPr>
            <w:r>
              <w:t>2013802</w:t>
            </w:r>
          </w:p>
        </w:tc>
        <w:tc>
          <w:tcPr>
            <w:tcW w:w="4535" w:type="dxa"/>
            <w:vAlign w:val="center"/>
          </w:tcPr>
          <w:p>
            <w:pPr>
              <w:pStyle w:val="10"/>
            </w:pPr>
            <w:r>
              <w:t>一般行政管理事务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6</w:t>
            </w:r>
          </w:p>
        </w:tc>
        <w:tc>
          <w:tcPr>
            <w:tcW w:w="1191" w:type="dxa"/>
            <w:vAlign w:val="center"/>
          </w:tcPr>
          <w:p>
            <w:pPr>
              <w:pStyle w:val="10"/>
            </w:pPr>
            <w:r>
              <w:t>2013804</w:t>
            </w:r>
          </w:p>
        </w:tc>
        <w:tc>
          <w:tcPr>
            <w:tcW w:w="4535" w:type="dxa"/>
            <w:vAlign w:val="center"/>
          </w:tcPr>
          <w:p>
            <w:pPr>
              <w:pStyle w:val="10"/>
            </w:pPr>
            <w:r>
              <w:t>市场主体管理</w:t>
            </w:r>
          </w:p>
        </w:tc>
        <w:tc>
          <w:tcPr>
            <w:tcW w:w="2551" w:type="dxa"/>
            <w:vAlign w:val="center"/>
          </w:tcPr>
          <w:p>
            <w:pPr>
              <w:pStyle w:val="11"/>
            </w:pPr>
            <w:r>
              <w:t>18.65</w:t>
            </w:r>
          </w:p>
        </w:tc>
        <w:tc>
          <w:tcPr>
            <w:tcW w:w="2551" w:type="dxa"/>
            <w:vAlign w:val="center"/>
          </w:tcPr>
          <w:p>
            <w:pPr>
              <w:pStyle w:val="11"/>
            </w:pPr>
          </w:p>
        </w:tc>
        <w:tc>
          <w:tcPr>
            <w:tcW w:w="2551" w:type="dxa"/>
            <w:vAlign w:val="center"/>
          </w:tcPr>
          <w:p>
            <w:pPr>
              <w:pStyle w:val="11"/>
            </w:pPr>
            <w:r>
              <w:t>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7</w:t>
            </w:r>
          </w:p>
        </w:tc>
        <w:tc>
          <w:tcPr>
            <w:tcW w:w="1191" w:type="dxa"/>
            <w:vAlign w:val="center"/>
          </w:tcPr>
          <w:p>
            <w:pPr>
              <w:pStyle w:val="10"/>
            </w:pPr>
            <w:r>
              <w:t>2013805</w:t>
            </w:r>
          </w:p>
        </w:tc>
        <w:tc>
          <w:tcPr>
            <w:tcW w:w="4535" w:type="dxa"/>
            <w:vAlign w:val="center"/>
          </w:tcPr>
          <w:p>
            <w:pPr>
              <w:pStyle w:val="10"/>
            </w:pPr>
            <w:r>
              <w:t>市场秩序执法</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8</w:t>
            </w:r>
          </w:p>
        </w:tc>
        <w:tc>
          <w:tcPr>
            <w:tcW w:w="1191" w:type="dxa"/>
            <w:vAlign w:val="center"/>
          </w:tcPr>
          <w:p>
            <w:pPr>
              <w:pStyle w:val="10"/>
            </w:pPr>
            <w:r>
              <w:t>2013816</w:t>
            </w:r>
          </w:p>
        </w:tc>
        <w:tc>
          <w:tcPr>
            <w:tcW w:w="4535" w:type="dxa"/>
            <w:vAlign w:val="center"/>
          </w:tcPr>
          <w:p>
            <w:pPr>
              <w:pStyle w:val="10"/>
            </w:pPr>
            <w:r>
              <w:t>食品安全监管</w:t>
            </w:r>
          </w:p>
        </w:tc>
        <w:tc>
          <w:tcPr>
            <w:tcW w:w="2551" w:type="dxa"/>
            <w:vAlign w:val="center"/>
          </w:tcPr>
          <w:p>
            <w:pPr>
              <w:pStyle w:val="11"/>
            </w:pPr>
            <w:r>
              <w:t>187.78</w:t>
            </w:r>
          </w:p>
        </w:tc>
        <w:tc>
          <w:tcPr>
            <w:tcW w:w="2551" w:type="dxa"/>
            <w:vAlign w:val="center"/>
          </w:tcPr>
          <w:p>
            <w:pPr>
              <w:pStyle w:val="11"/>
            </w:pPr>
          </w:p>
        </w:tc>
        <w:tc>
          <w:tcPr>
            <w:tcW w:w="2551" w:type="dxa"/>
            <w:vAlign w:val="center"/>
          </w:tcPr>
          <w:p>
            <w:pPr>
              <w:pStyle w:val="11"/>
            </w:pPr>
            <w:r>
              <w:t>187.78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9</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103.17</w:t>
            </w:r>
          </w:p>
        </w:tc>
        <w:tc>
          <w:tcPr>
            <w:tcW w:w="2551" w:type="dxa"/>
            <w:vAlign w:val="center"/>
          </w:tcPr>
          <w:p>
            <w:pPr>
              <w:pStyle w:val="11"/>
            </w:pPr>
            <w:r>
              <w:t>103.17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10</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103.17</w:t>
            </w:r>
          </w:p>
        </w:tc>
        <w:tc>
          <w:tcPr>
            <w:tcW w:w="2551" w:type="dxa"/>
            <w:vAlign w:val="center"/>
          </w:tcPr>
          <w:p>
            <w:pPr>
              <w:pStyle w:val="11"/>
            </w:pPr>
            <w:r>
              <w:t>103.17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11</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103.17</w:t>
            </w:r>
          </w:p>
        </w:tc>
        <w:tc>
          <w:tcPr>
            <w:tcW w:w="2551" w:type="dxa"/>
            <w:vAlign w:val="center"/>
          </w:tcPr>
          <w:p>
            <w:pPr>
              <w:pStyle w:val="11"/>
            </w:pPr>
            <w:r>
              <w:t>103.17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183.77</w:t>
            </w:r>
          </w:p>
        </w:tc>
        <w:tc>
          <w:tcPr>
            <w:tcW w:w="2551" w:type="dxa"/>
            <w:vAlign w:val="center"/>
          </w:tcPr>
          <w:p>
            <w:pPr>
              <w:pStyle w:val="11"/>
            </w:pPr>
            <w:r>
              <w:t>183.77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183.77</w:t>
            </w:r>
          </w:p>
        </w:tc>
        <w:tc>
          <w:tcPr>
            <w:tcW w:w="2551" w:type="dxa"/>
            <w:vAlign w:val="center"/>
          </w:tcPr>
          <w:p>
            <w:pPr>
              <w:pStyle w:val="11"/>
            </w:pPr>
            <w:r>
              <w:t>183.77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14</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183.77</w:t>
            </w:r>
          </w:p>
        </w:tc>
        <w:tc>
          <w:tcPr>
            <w:tcW w:w="2551" w:type="dxa"/>
            <w:vAlign w:val="center"/>
          </w:tcPr>
          <w:p>
            <w:pPr>
              <w:pStyle w:val="11"/>
            </w:pPr>
            <w:r>
              <w:t>183.77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117.74</w:t>
            </w:r>
          </w:p>
        </w:tc>
        <w:tc>
          <w:tcPr>
            <w:tcW w:w="2551" w:type="dxa"/>
            <w:vAlign w:val="center"/>
          </w:tcPr>
          <w:p>
            <w:pPr>
              <w:pStyle w:val="11"/>
            </w:pPr>
            <w:r>
              <w:t>117.74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117.74</w:t>
            </w:r>
          </w:p>
        </w:tc>
        <w:tc>
          <w:tcPr>
            <w:tcW w:w="2551" w:type="dxa"/>
            <w:vAlign w:val="center"/>
          </w:tcPr>
          <w:p>
            <w:pPr>
              <w:pStyle w:val="11"/>
            </w:pPr>
            <w:r>
              <w:t>117.74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117.74</w:t>
            </w:r>
          </w:p>
        </w:tc>
        <w:tc>
          <w:tcPr>
            <w:tcW w:w="2551" w:type="dxa"/>
            <w:vAlign w:val="center"/>
          </w:tcPr>
          <w:p>
            <w:pPr>
              <w:pStyle w:val="11"/>
            </w:pPr>
            <w:r>
              <w:t>117.74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2187.84</w:t>
            </w:r>
          </w:p>
        </w:tc>
        <w:tc>
          <w:tcPr>
            <w:tcW w:w="2551" w:type="dxa"/>
            <w:vAlign w:val="center"/>
          </w:tcPr>
          <w:p>
            <w:pPr>
              <w:pStyle w:val="13"/>
            </w:pPr>
            <w:r>
              <w:t>2033.65</w:t>
            </w:r>
          </w:p>
        </w:tc>
        <w:tc>
          <w:tcPr>
            <w:tcW w:w="2551" w:type="dxa"/>
            <w:vAlign w:val="center"/>
          </w:tcPr>
          <w:p>
            <w:pPr>
              <w:pStyle w:val="13"/>
            </w:pPr>
            <w:r>
              <w:t>154.19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1935.97</w:t>
            </w:r>
          </w:p>
        </w:tc>
        <w:tc>
          <w:tcPr>
            <w:tcW w:w="2551" w:type="dxa"/>
            <w:vAlign w:val="center"/>
          </w:tcPr>
          <w:p>
            <w:pPr>
              <w:pStyle w:val="11"/>
            </w:pPr>
            <w:r>
              <w:t>1935.97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488.84</w:t>
            </w:r>
          </w:p>
        </w:tc>
        <w:tc>
          <w:tcPr>
            <w:tcW w:w="2551" w:type="dxa"/>
            <w:vAlign w:val="center"/>
          </w:tcPr>
          <w:p>
            <w:pPr>
              <w:pStyle w:val="11"/>
            </w:pPr>
            <w:r>
              <w:t>488.84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327.83</w:t>
            </w:r>
          </w:p>
        </w:tc>
        <w:tc>
          <w:tcPr>
            <w:tcW w:w="2551" w:type="dxa"/>
            <w:vAlign w:val="center"/>
          </w:tcPr>
          <w:p>
            <w:pPr>
              <w:pStyle w:val="11"/>
            </w:pPr>
            <w:r>
              <w:t>327.83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114.21</w:t>
            </w:r>
          </w:p>
        </w:tc>
        <w:tc>
          <w:tcPr>
            <w:tcW w:w="2551" w:type="dxa"/>
            <w:vAlign w:val="center"/>
          </w:tcPr>
          <w:p>
            <w:pPr>
              <w:pStyle w:val="11"/>
            </w:pPr>
            <w:r>
              <w:t>114.21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184.67</w:t>
            </w:r>
          </w:p>
        </w:tc>
        <w:tc>
          <w:tcPr>
            <w:tcW w:w="2551" w:type="dxa"/>
            <w:vAlign w:val="center"/>
          </w:tcPr>
          <w:p>
            <w:pPr>
              <w:pStyle w:val="11"/>
            </w:pPr>
            <w:r>
              <w:t>184.67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151.91</w:t>
            </w:r>
          </w:p>
        </w:tc>
        <w:tc>
          <w:tcPr>
            <w:tcW w:w="2551" w:type="dxa"/>
            <w:vAlign w:val="center"/>
          </w:tcPr>
          <w:p>
            <w:pPr>
              <w:pStyle w:val="11"/>
            </w:pPr>
            <w:r>
              <w:t>151.91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72.14</w:t>
            </w:r>
          </w:p>
        </w:tc>
        <w:tc>
          <w:tcPr>
            <w:tcW w:w="2551" w:type="dxa"/>
            <w:vAlign w:val="center"/>
          </w:tcPr>
          <w:p>
            <w:pPr>
              <w:pStyle w:val="11"/>
            </w:pPr>
            <w:r>
              <w:t>72.14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182.16</w:t>
            </w:r>
          </w:p>
        </w:tc>
        <w:tc>
          <w:tcPr>
            <w:tcW w:w="2551" w:type="dxa"/>
            <w:vAlign w:val="center"/>
          </w:tcPr>
          <w:p>
            <w:pPr>
              <w:pStyle w:val="11"/>
            </w:pPr>
            <w:r>
              <w:t>182.16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76.26</w:t>
            </w:r>
          </w:p>
        </w:tc>
        <w:tc>
          <w:tcPr>
            <w:tcW w:w="2551" w:type="dxa"/>
            <w:vAlign w:val="center"/>
          </w:tcPr>
          <w:p>
            <w:pPr>
              <w:pStyle w:val="11"/>
            </w:pPr>
            <w:r>
              <w:t>76.26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116.94</w:t>
            </w:r>
          </w:p>
        </w:tc>
        <w:tc>
          <w:tcPr>
            <w:tcW w:w="2551" w:type="dxa"/>
            <w:vAlign w:val="center"/>
          </w:tcPr>
          <w:p>
            <w:pPr>
              <w:pStyle w:val="11"/>
            </w:pPr>
            <w:r>
              <w:t>116.94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221.03</w:t>
            </w:r>
          </w:p>
        </w:tc>
        <w:tc>
          <w:tcPr>
            <w:tcW w:w="2551" w:type="dxa"/>
            <w:vAlign w:val="center"/>
          </w:tcPr>
          <w:p>
            <w:pPr>
              <w:pStyle w:val="11"/>
            </w:pPr>
            <w:r>
              <w:t>221.03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149.69</w:t>
            </w:r>
          </w:p>
        </w:tc>
        <w:tc>
          <w:tcPr>
            <w:tcW w:w="2551" w:type="dxa"/>
            <w:vAlign w:val="center"/>
          </w:tcPr>
          <w:p>
            <w:pPr>
              <w:pStyle w:val="11"/>
            </w:pPr>
          </w:p>
        </w:tc>
        <w:tc>
          <w:tcPr>
            <w:tcW w:w="2551" w:type="dxa"/>
            <w:vAlign w:val="center"/>
          </w:tcPr>
          <w:p>
            <w:pPr>
              <w:pStyle w:val="11"/>
            </w:pPr>
            <w:r>
              <w:t>149.69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15</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16</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34.75</w:t>
            </w:r>
          </w:p>
        </w:tc>
        <w:tc>
          <w:tcPr>
            <w:tcW w:w="2551" w:type="dxa"/>
            <w:vAlign w:val="center"/>
          </w:tcPr>
          <w:p>
            <w:pPr>
              <w:pStyle w:val="11"/>
            </w:pPr>
          </w:p>
        </w:tc>
        <w:tc>
          <w:tcPr>
            <w:tcW w:w="2551" w:type="dxa"/>
            <w:vAlign w:val="center"/>
          </w:tcPr>
          <w:p>
            <w:pPr>
              <w:pStyle w:val="11"/>
            </w:pPr>
            <w:r>
              <w:t>34.75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18</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11"/>
            </w:pPr>
            <w:r>
              <w:t>10.50</w:t>
            </w:r>
          </w:p>
        </w:tc>
        <w:tc>
          <w:tcPr>
            <w:tcW w:w="2551" w:type="dxa"/>
            <w:vAlign w:val="center"/>
          </w:tcPr>
          <w:p>
            <w:pPr>
              <w:pStyle w:val="11"/>
            </w:pPr>
          </w:p>
        </w:tc>
        <w:tc>
          <w:tcPr>
            <w:tcW w:w="2551"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9.78</w:t>
            </w:r>
          </w:p>
        </w:tc>
        <w:tc>
          <w:tcPr>
            <w:tcW w:w="2551" w:type="dxa"/>
            <w:vAlign w:val="center"/>
          </w:tcPr>
          <w:p>
            <w:pPr>
              <w:pStyle w:val="11"/>
            </w:pPr>
          </w:p>
        </w:tc>
        <w:tc>
          <w:tcPr>
            <w:tcW w:w="2551" w:type="dxa"/>
            <w:vAlign w:val="center"/>
          </w:tcPr>
          <w:p>
            <w:pPr>
              <w:pStyle w:val="11"/>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12.22</w:t>
            </w:r>
          </w:p>
        </w:tc>
        <w:tc>
          <w:tcPr>
            <w:tcW w:w="2551" w:type="dxa"/>
            <w:vAlign w:val="center"/>
          </w:tcPr>
          <w:p>
            <w:pPr>
              <w:pStyle w:val="11"/>
            </w:pPr>
          </w:p>
        </w:tc>
        <w:tc>
          <w:tcPr>
            <w:tcW w:w="2551" w:type="dxa"/>
            <w:vAlign w:val="center"/>
          </w:tcPr>
          <w:p>
            <w:pPr>
              <w:pStyle w:val="11"/>
            </w:pPr>
            <w:r>
              <w:t>12.22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33.54</w:t>
            </w:r>
          </w:p>
        </w:tc>
        <w:tc>
          <w:tcPr>
            <w:tcW w:w="2551" w:type="dxa"/>
            <w:vAlign w:val="center"/>
          </w:tcPr>
          <w:p>
            <w:pPr>
              <w:pStyle w:val="11"/>
            </w:pPr>
          </w:p>
        </w:tc>
        <w:tc>
          <w:tcPr>
            <w:tcW w:w="2551" w:type="dxa"/>
            <w:vAlign w:val="center"/>
          </w:tcPr>
          <w:p>
            <w:pPr>
              <w:pStyle w:val="11"/>
            </w:pPr>
            <w:r>
              <w:t>33.54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24</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97.68</w:t>
            </w:r>
          </w:p>
        </w:tc>
        <w:tc>
          <w:tcPr>
            <w:tcW w:w="2551" w:type="dxa"/>
            <w:vAlign w:val="center"/>
          </w:tcPr>
          <w:p>
            <w:pPr>
              <w:pStyle w:val="11"/>
            </w:pPr>
            <w:r>
              <w:t>97.68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95.37</w:t>
            </w:r>
          </w:p>
        </w:tc>
        <w:tc>
          <w:tcPr>
            <w:tcW w:w="2551" w:type="dxa"/>
            <w:vAlign w:val="center"/>
          </w:tcPr>
          <w:p>
            <w:pPr>
              <w:pStyle w:val="11"/>
            </w:pPr>
            <w:r>
              <w:t>95.37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27</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2.31</w:t>
            </w:r>
          </w:p>
        </w:tc>
        <w:tc>
          <w:tcPr>
            <w:tcW w:w="2551" w:type="dxa"/>
            <w:vAlign w:val="center"/>
          </w:tcPr>
          <w:p>
            <w:pPr>
              <w:pStyle w:val="11"/>
            </w:pPr>
            <w:r>
              <w:t>2.31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28</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29</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w:t>
            </w:r>
          </w:p>
        </w:tc>
        <w:tc>
          <w:tcPr>
            <w:tcW w:w="1191" w:type="dxa"/>
            <w:vAlign w:val="center"/>
          </w:tcPr>
          <w:p>
            <w:pPr>
              <w:pStyle w:val="10"/>
            </w:pPr>
            <w:r>
              <w:t>21213</w:t>
            </w:r>
          </w:p>
        </w:tc>
        <w:tc>
          <w:tcPr>
            <w:tcW w:w="4535" w:type="dxa"/>
            <w:vAlign w:val="center"/>
          </w:tcPr>
          <w:p>
            <w:pPr>
              <w:pStyle w:val="10"/>
            </w:pPr>
            <w:r>
              <w:t>城市基础设施配套费安排的支出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4</w:t>
            </w:r>
          </w:p>
        </w:tc>
        <w:tc>
          <w:tcPr>
            <w:tcW w:w="1191" w:type="dxa"/>
            <w:vAlign w:val="center"/>
          </w:tcPr>
          <w:p>
            <w:pPr>
              <w:pStyle w:val="10"/>
            </w:pPr>
            <w:r>
              <w:t>2121399</w:t>
            </w:r>
          </w:p>
        </w:tc>
        <w:tc>
          <w:tcPr>
            <w:tcW w:w="4535" w:type="dxa"/>
            <w:vAlign w:val="center"/>
          </w:tcPr>
          <w:p>
            <w:pPr>
              <w:pStyle w:val="10"/>
            </w:pPr>
            <w:r>
              <w:t>其他城市基础设施配套费安排的支出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30.00</w:t>
            </w:r>
          </w:p>
        </w:tc>
        <w:tc>
          <w:tcPr>
            <w:tcW w:w="2381" w:type="dxa"/>
            <w:vAlign w:val="center"/>
          </w:tcPr>
          <w:p>
            <w:pPr>
              <w:pStyle w:val="13"/>
            </w:pPr>
            <w:r>
              <w:t>30.00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30.00</w:t>
            </w:r>
          </w:p>
        </w:tc>
        <w:tc>
          <w:tcPr>
            <w:tcW w:w="2381" w:type="dxa"/>
            <w:vAlign w:val="center"/>
          </w:tcPr>
          <w:p>
            <w:pPr>
              <w:pStyle w:val="11"/>
            </w:pPr>
            <w:r>
              <w:t>30.00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r>
              <w:t>30.00</w:t>
            </w:r>
          </w:p>
        </w:tc>
        <w:tc>
          <w:tcPr>
            <w:tcW w:w="2381" w:type="dxa"/>
            <w:vAlign w:val="center"/>
          </w:tcPr>
          <w:p>
            <w:pPr>
              <w:pStyle w:val="11"/>
            </w:pPr>
            <w:r>
              <w:t>30.00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30.00</w:t>
            </w:r>
          </w:p>
        </w:tc>
        <w:tc>
          <w:tcPr>
            <w:tcW w:w="2381" w:type="dxa"/>
            <w:vAlign w:val="center"/>
          </w:tcPr>
          <w:p>
            <w:pPr>
              <w:pStyle w:val="11"/>
            </w:pPr>
            <w:r>
              <w:t>30.00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9"/>
            </w:pPr>
            <w:r>
              <w:t>11</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唐山市开平区市场监督管理局本级2023年单位预算信息公开情况说明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按照《预算法》、《地方预决算公开操作规程》和《关于进一步推进预算公开工作的实施意见》规定，现将唐山市开平区市场监督管理局本级2023年单位预算公开如下：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根据《唐山市开平区市场监督管理局职能配置、内设机构和人员编制规定》， 唐山市开平区市场监督管理局的主要职责是：</w:t>
      </w:r>
    </w:p>
    <w:p>
      <w:pPr>
        <w:pStyle w:val="15"/>
      </w:pPr>
      <w:r>
        <w:t>在辖区政府领导下，负责全区市场综合监督管理。起草全区市场监督管理有关政府规章草案，制定有关政策、标准，组织实施质量强区战略、食品安全战略、标准化战略、知识产权战略，拟订并组织实施有关规划，规范和维护市场秩序，营造诚实守信、公平竞争的市场环境。</w:t>
      </w:r>
    </w:p>
    <w:p>
      <w:pPr>
        <w:pStyle w:val="15"/>
      </w:pPr>
      <w:r>
        <w:t>在辖区政府领导下，建立市场主体信息公示和共享机制，依法公示和共享有关信息，加强信用监管，推动市场主体信用体系建设。</w:t>
      </w:r>
    </w:p>
    <w:p>
      <w:pPr>
        <w:pStyle w:val="15"/>
      </w:pPr>
      <w:r>
        <w:t>组织和指导全区市场监管综合执法工作。指导全区市场监管综合执法队伍整合和建设，推动实行统一的市场监管。组织查处违法案件。规范市场监管行政执法行为。</w:t>
      </w:r>
    </w:p>
    <w:p>
      <w:pPr>
        <w:pStyle w:val="15"/>
      </w:pPr>
      <w:r>
        <w:t>反垄断统一执法。组织推进竞争政策实施，指导实施公平竞争审查制度。依法对经营者集中行为进行反垄断审查，负责垄断协议、滥用市场支配地位和滥用行政权力排除、限制竞争等反垄断执法工作。</w:t>
      </w:r>
    </w:p>
    <w:p>
      <w:pPr>
        <w:pStyle w:val="15"/>
      </w:pPr>
      <w:r>
        <w:t>监督管理市场秩序。依法监督管理全区市场交易、网络商品交易及有关服务的行为。组织指导查处价格收费违法违规、不正当竞争、违法直销、传销、侵犯知识产权和制售假冒伪劣行为。指导全区广告业发展，监督管理广告活动。按照职责分工依法查处无照生产经营和相关无证生产经营行为。指导区消费者协会开展消费维权工作。</w:t>
      </w:r>
    </w:p>
    <w:p>
      <w:pPr>
        <w:pStyle w:val="15"/>
      </w:pPr>
      <w:r>
        <w:t>全区宏观质量管理。拟订并实施质量发展的制度措施。统筹全区质量基础设施建设与应用，会同有关部门组织实施重大工程设备质量监管制度，组织重大质量事故调查，实施缺陷产品召回制度，监督管理产品防伪工作。</w:t>
      </w:r>
    </w:p>
    <w:p>
      <w:pPr>
        <w:pStyle w:val="15"/>
      </w:pPr>
      <w:r>
        <w:t>全区产品质量安全监督管理。承担区级产品质量安全风险监控，监督抽查工作，组织实施质量分级制度、质量安全追溯制度。实施工业产品生产许可管理。负责棉花等纤维质量监督工作。</w:t>
      </w:r>
    </w:p>
    <w:p>
      <w:pPr>
        <w:pStyle w:val="15"/>
      </w:pPr>
      <w:r>
        <w:t>全区特种设备安全监督管理。综合管理特种设备安全监察、监督工作，监督检查高耗能特种设备节能标准和锅炉环境保护标准的执行情况。</w:t>
      </w:r>
    </w:p>
    <w:p>
      <w:pPr>
        <w:pStyle w:val="15"/>
      </w:pPr>
      <w:r>
        <w:t>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pPr>
        <w:pStyle w:val="15"/>
      </w:pPr>
      <w:r>
        <w:t>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拟定酒类流通发展规划、政策。</w:t>
      </w:r>
    </w:p>
    <w:p>
      <w:pPr>
        <w:pStyle w:val="15"/>
      </w:pPr>
      <w:r>
        <w:t>统一管理区计量工作。推行法定计量单位和国家计量制度，管理计量器具及量值传递和比对工作。规范、监督商品量和市场计量行为。</w:t>
      </w:r>
    </w:p>
    <w:p>
      <w:pPr>
        <w:pStyle w:val="15"/>
      </w:pPr>
      <w:r>
        <w:t>统一管理全区标准化工作。依法承担组织制定辖区内地方标准。宣传贯彻强制性、推荐性国家标准和行业标准、地方标准。依法协调指导和监督团体标准、企业标准制定工作。参与制定、采用国际标准工作。</w:t>
      </w:r>
    </w:p>
    <w:p>
      <w:pPr>
        <w:pStyle w:val="15"/>
      </w:pPr>
      <w:r>
        <w:t>统一管理全区检验检测工作。推进检验检测机构整合和改革，规范检验检测市场，完善检验检测体系，指导协调检验检测行业发展。</w:t>
      </w:r>
    </w:p>
    <w:p>
      <w:pPr>
        <w:pStyle w:val="15"/>
      </w:pPr>
      <w:r>
        <w:t>统一管理、监督和综合协调全区认证认可工作。组织实施贯彻国家统一的认证认可和合格评定监督管理制度。</w:t>
      </w:r>
    </w:p>
    <w:p>
      <w:pPr>
        <w:pStyle w:val="15"/>
      </w:pPr>
      <w:r>
        <w:t>推进全区知识产权管理工作。拟订加强知识产权强区建设的重大方针政策和发展规划。拟订和实施强化知识产权创造、保护和运用的政策。</w:t>
      </w:r>
    </w:p>
    <w:p>
      <w:pPr>
        <w:pStyle w:val="15"/>
      </w:pPr>
      <w:r>
        <w:t>建立知识产权公共服务体系。建设便企利民、互联互通的全区知识产权信息公共服务平台，推动商标、专利等知识产权信息的传播利用。加强知识产权服务机构培育。指导辖区知识产权信息服务工作。</w:t>
      </w:r>
    </w:p>
    <w:p>
      <w:pPr>
        <w:pStyle w:val="15"/>
      </w:pPr>
      <w:r>
        <w:t>全区市场监督管理科技和信息化建设、新闻宣传、对外交流与合作。按规定承担技术性贸易措施有关工作。</w:t>
      </w:r>
    </w:p>
    <w:p>
      <w:pPr>
        <w:pStyle w:val="15"/>
      </w:pPr>
      <w:r>
        <w:t>研究拟定药品流通行业发展规划、政策和相关标准，推进药品流通行业结构调整，指导药品流通企业改革，推动现代化药品流通方式的发展。</w:t>
      </w:r>
    </w:p>
    <w:p>
      <w:pPr>
        <w:pStyle w:val="15"/>
      </w:pPr>
      <w:r>
        <w:t>药品（含中药、民族药，下同）、医疗器械和化妆品监督管理。贯彻执行国家、省药品、医疗器械和化妆品法律法规，监督实施经营、使用质量管理规范。推动落实药品、医疗器械和化妆品安全企业主体责任。依职责负责组织指导药品、医疗器械和化妆品监督检查，依法查处药品零售、医疗器械经营、化妆品经营和药品、医疗器械使用环节的违法行为。贯彻鼓励药品、医疗器械和化妆品新技术新产品的管理与服务政策。依权限承担省药品监督管理局和市市场监督管理局关于药品、医疗器械和化妆品委托和下放的职责。</w:t>
      </w:r>
    </w:p>
    <w:p>
      <w:pPr>
        <w:pStyle w:val="15"/>
      </w:pPr>
      <w:r>
        <w:t>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0"/>
            </w:pPr>
            <w:r>
              <w:t>唐山市开平区市场监督管理局本级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p>
    <w:p>
      <w:pPr>
        <w:pStyle w:val="20"/>
      </w:pPr>
      <w:r>
        <w:t>1、收入说明</w:t>
      </w:r>
    </w:p>
    <w:p>
      <w:pPr>
        <w:pStyle w:val="20"/>
      </w:pPr>
      <w:r>
        <w:t>2023年收入预算共计2451.27万元。其中：一般公共预算收入2394.27万元，上级一般公共预算安排转移支付32.00，基金预算收入25.00万元，财政专户核拨收入0万元，其他来源收入0万元。</w:t>
      </w:r>
    </w:p>
    <w:p>
      <w:pPr>
        <w:pStyle w:val="20"/>
      </w:pPr>
      <w:r>
        <w:t>2、支出说明</w:t>
      </w:r>
    </w:p>
    <w:p>
      <w:pPr>
        <w:pStyle w:val="20"/>
      </w:pPr>
      <w:r>
        <w:t>2023年支出预算共计2451.27万元，基本支出预算共2187.84万元：其中人员经费支出预算2033.65万元，日常公用经费支出预算154.19万元；项目支出263.43万元。</w:t>
      </w:r>
    </w:p>
    <w:p>
      <w:pPr>
        <w:pStyle w:val="20"/>
      </w:pPr>
      <w:r>
        <w:t>3、比上年增减情况及原因</w:t>
      </w:r>
    </w:p>
    <w:p>
      <w:pPr>
        <w:pStyle w:val="20"/>
      </w:pPr>
      <w:r>
        <w:t>相比2022年，</w:t>
      </w:r>
      <w:r>
        <w:rPr>
          <w:rFonts w:hint="eastAsia"/>
          <w:lang w:eastAsia="zh-CN"/>
        </w:rPr>
        <w:t>单位</w:t>
      </w:r>
      <w:r>
        <w:t>预算收支安排2297.83万元，经过对比测算，2023年财政拨款预算比2022年增加153.44万元，主要是：人员经费增加165.55万元，日常公用经费增加2.35万元，项目经费减少14.46万元,因2023年度有人员调入，相应津贴和补贴有增加，导致人员经费增加，同时增加了相对应的日常公用经费，项目经费为了缩减开支，压缩了日常监管、执法办案、风险监测等经费的开支。</w:t>
      </w:r>
    </w:p>
    <w:p>
      <w:pPr>
        <w:pStyle w:val="16"/>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我</w:t>
      </w:r>
      <w:r>
        <w:rPr>
          <w:rFonts w:hint="eastAsia"/>
          <w:lang w:eastAsia="zh-CN"/>
        </w:rPr>
        <w:t>单位</w:t>
      </w:r>
      <w:r>
        <w:t>机关运行经费共计安排154.19万元，主要用于保证正常办公的基本需要和维持单位日常业务运转，包括：办公费、水电费、邮电费、取暖费、交通费、差旅费、公务用车运行维护费、工会经费、福利费和其他费。</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(一)公务用车购置及运行费。共计安排30万元，与上年持平。①公务用车购置安排0元。与上年持平。②公车运行维护经费安排30万元，与上年持平。</w:t>
      </w:r>
    </w:p>
    <w:p>
      <w:pPr>
        <w:pStyle w:val="18"/>
      </w:pPr>
      <w:r>
        <w:t>（二）公务接待费。安排0万元，与上年持平，无增减变化。</w:t>
      </w:r>
    </w:p>
    <w:p>
      <w:pPr>
        <w:pStyle w:val="18"/>
      </w:pPr>
      <w:r>
        <w:t>（三）因公出国（境）费安排0万元，与上年持平，无增减变化。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1、本级”双随机、一公开“监管经费绩效目标表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1.聘请会计师事务所对辖区市场主体相关事宜开展抽查工作。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调查企业户数</w:t>
            </w:r>
          </w:p>
        </w:tc>
        <w:tc>
          <w:tcPr>
            <w:tcW w:w="2835" w:type="dxa"/>
            <w:vAlign w:val="center"/>
          </w:tcPr>
          <w:p>
            <w:pPr>
              <w:pStyle w:val="10"/>
            </w:pPr>
            <w:r>
              <w:t>调查企业户数</w:t>
            </w:r>
          </w:p>
        </w:tc>
        <w:tc>
          <w:tcPr>
            <w:tcW w:w="2551" w:type="dxa"/>
            <w:vAlign w:val="center"/>
          </w:tcPr>
          <w:p>
            <w:pPr>
              <w:pStyle w:val="10"/>
            </w:pPr>
            <w:r>
              <w:t>373户</w:t>
            </w:r>
          </w:p>
        </w:tc>
        <w:tc>
          <w:tcPr>
            <w:tcW w:w="2268" w:type="dxa"/>
            <w:vAlign w:val="center"/>
          </w:tcPr>
          <w:p>
            <w:pPr>
              <w:pStyle w:val="10"/>
            </w:pPr>
            <w:r>
              <w:t>根据我域内市场主体总数百分比确定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执法评估报告完成数量</w:t>
            </w:r>
          </w:p>
        </w:tc>
        <w:tc>
          <w:tcPr>
            <w:tcW w:w="2835" w:type="dxa"/>
            <w:vAlign w:val="center"/>
          </w:tcPr>
          <w:p>
            <w:pPr>
              <w:pStyle w:val="10"/>
            </w:pPr>
            <w:r>
              <w:t>执法评估报告完成数量</w:t>
            </w:r>
          </w:p>
        </w:tc>
        <w:tc>
          <w:tcPr>
            <w:tcW w:w="2551" w:type="dxa"/>
            <w:vAlign w:val="center"/>
          </w:tcPr>
          <w:p>
            <w:pPr>
              <w:pStyle w:val="10"/>
            </w:pPr>
            <w:r>
              <w:t>373份</w:t>
            </w:r>
          </w:p>
        </w:tc>
        <w:tc>
          <w:tcPr>
            <w:tcW w:w="2268" w:type="dxa"/>
            <w:vAlign w:val="center"/>
          </w:tcPr>
          <w:p>
            <w:pPr>
              <w:pStyle w:val="10"/>
            </w:pPr>
            <w:r>
              <w:t>每户检查完成后形成评估报告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成本控制率(%)</w:t>
            </w:r>
          </w:p>
        </w:tc>
        <w:tc>
          <w:tcPr>
            <w:tcW w:w="2835" w:type="dxa"/>
            <w:vAlign w:val="center"/>
          </w:tcPr>
          <w:p>
            <w:pPr>
              <w:pStyle w:val="10"/>
            </w:pPr>
            <w:r>
              <w:t>成本控制率(%)</w:t>
            </w:r>
          </w:p>
        </w:tc>
        <w:tc>
          <w:tcPr>
            <w:tcW w:w="2551" w:type="dxa"/>
            <w:vAlign w:val="center"/>
          </w:tcPr>
          <w:p>
            <w:pPr>
              <w:pStyle w:val="10"/>
            </w:pPr>
            <w:r>
              <w:t>≥90%</w:t>
            </w:r>
          </w:p>
        </w:tc>
        <w:tc>
          <w:tcPr>
            <w:tcW w:w="2268" w:type="dxa"/>
            <w:vAlign w:val="center"/>
          </w:tcPr>
          <w:p>
            <w:pPr>
              <w:pStyle w:val="10"/>
            </w:pPr>
            <w:r>
              <w:t>成本控制率大于等于90%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≥95%</w:t>
            </w:r>
          </w:p>
        </w:tc>
        <w:tc>
          <w:tcPr>
            <w:tcW w:w="2268" w:type="dxa"/>
            <w:vAlign w:val="center"/>
          </w:tcPr>
          <w:p>
            <w:pPr>
              <w:pStyle w:val="10"/>
            </w:pPr>
            <w:r>
              <w:t>市场主体抽查户数完成率高于90%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≥95%</w:t>
            </w:r>
          </w:p>
        </w:tc>
        <w:tc>
          <w:tcPr>
            <w:tcW w:w="2268" w:type="dxa"/>
            <w:vAlign w:val="center"/>
          </w:tcPr>
          <w:p>
            <w:pPr>
              <w:pStyle w:val="10"/>
            </w:pPr>
            <w:r>
              <w:t>完成至少90%以上检查户数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≥95%</w:t>
            </w:r>
          </w:p>
        </w:tc>
        <w:tc>
          <w:tcPr>
            <w:tcW w:w="2268" w:type="dxa"/>
            <w:vAlign w:val="center"/>
          </w:tcPr>
          <w:p>
            <w:pPr>
              <w:pStyle w:val="10"/>
            </w:pPr>
            <w:r>
              <w:t>资金使用效率完成90%以上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监测、评价完成率</w:t>
            </w:r>
          </w:p>
        </w:tc>
        <w:tc>
          <w:tcPr>
            <w:tcW w:w="2835" w:type="dxa"/>
            <w:vAlign w:val="center"/>
          </w:tcPr>
          <w:p>
            <w:pPr>
              <w:pStyle w:val="10"/>
            </w:pPr>
            <w:r>
              <w:t>监测、评价完成率</w:t>
            </w:r>
          </w:p>
        </w:tc>
        <w:tc>
          <w:tcPr>
            <w:tcW w:w="2551" w:type="dxa"/>
            <w:vAlign w:val="center"/>
          </w:tcPr>
          <w:p>
            <w:pPr>
              <w:pStyle w:val="10"/>
            </w:pPr>
            <w:r>
              <w:t>≥95%</w:t>
            </w:r>
          </w:p>
        </w:tc>
        <w:tc>
          <w:tcPr>
            <w:tcW w:w="2268" w:type="dxa"/>
            <w:vAlign w:val="center"/>
          </w:tcPr>
          <w:p>
            <w:pPr>
              <w:pStyle w:val="10"/>
            </w:pPr>
            <w:r>
              <w:t>监测、评价完成率达到90%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群众满意度大于等于95%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2、本级创文明城、食安城经费绩效目标表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1.在创建文明城、食安城过程中制作监管公示牌宣传单、宣传册、条幅等，保证执法基础装备满足创建标准。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印制计划完成量</w:t>
            </w:r>
          </w:p>
        </w:tc>
        <w:tc>
          <w:tcPr>
            <w:tcW w:w="2835" w:type="dxa"/>
            <w:vAlign w:val="center"/>
          </w:tcPr>
          <w:p>
            <w:pPr>
              <w:pStyle w:val="10"/>
            </w:pPr>
            <w:r>
              <w:t>印制计划完成量</w:t>
            </w:r>
          </w:p>
        </w:tc>
        <w:tc>
          <w:tcPr>
            <w:tcW w:w="2551" w:type="dxa"/>
            <w:vAlign w:val="center"/>
          </w:tcPr>
          <w:p>
            <w:pPr>
              <w:pStyle w:val="10"/>
            </w:pPr>
            <w:r>
              <w:t>≥500份</w:t>
            </w:r>
          </w:p>
        </w:tc>
        <w:tc>
          <w:tcPr>
            <w:tcW w:w="2268" w:type="dxa"/>
            <w:vAlign w:val="center"/>
          </w:tcPr>
          <w:p>
            <w:pPr>
              <w:pStyle w:val="10"/>
            </w:pPr>
            <w:r>
              <w:t>食安城创建细则要求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正常使用率</w:t>
            </w:r>
          </w:p>
        </w:tc>
        <w:tc>
          <w:tcPr>
            <w:tcW w:w="2835" w:type="dxa"/>
            <w:vAlign w:val="center"/>
          </w:tcPr>
          <w:p>
            <w:pPr>
              <w:pStyle w:val="10"/>
            </w:pPr>
            <w:r>
              <w:t>正常使用率</w:t>
            </w:r>
          </w:p>
        </w:tc>
        <w:tc>
          <w:tcPr>
            <w:tcW w:w="2551" w:type="dxa"/>
            <w:vAlign w:val="center"/>
          </w:tcPr>
          <w:p>
            <w:pPr>
              <w:pStyle w:val="10"/>
            </w:pPr>
            <w:r>
              <w:t>≥90%</w:t>
            </w:r>
          </w:p>
        </w:tc>
        <w:tc>
          <w:tcPr>
            <w:tcW w:w="2268" w:type="dxa"/>
            <w:vAlign w:val="center"/>
          </w:tcPr>
          <w:p>
            <w:pPr>
              <w:pStyle w:val="10"/>
            </w:pPr>
            <w:r>
              <w:t>正常使用率高于90%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发放率</w:t>
            </w:r>
          </w:p>
        </w:tc>
        <w:tc>
          <w:tcPr>
            <w:tcW w:w="2835" w:type="dxa"/>
            <w:vAlign w:val="center"/>
          </w:tcPr>
          <w:p>
            <w:pPr>
              <w:pStyle w:val="10"/>
            </w:pPr>
            <w:r>
              <w:t>发放率</w:t>
            </w:r>
          </w:p>
        </w:tc>
        <w:tc>
          <w:tcPr>
            <w:tcW w:w="2551" w:type="dxa"/>
            <w:vAlign w:val="center"/>
          </w:tcPr>
          <w:p>
            <w:pPr>
              <w:pStyle w:val="10"/>
            </w:pPr>
            <w:r>
              <w:t>≥90%</w:t>
            </w:r>
          </w:p>
        </w:tc>
        <w:tc>
          <w:tcPr>
            <w:tcW w:w="2268" w:type="dxa"/>
            <w:vAlign w:val="center"/>
          </w:tcPr>
          <w:p>
            <w:pPr>
              <w:pStyle w:val="10"/>
            </w:pPr>
            <w:r>
              <w:t>监管公示牌等发放率高于90%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采购成本控制率</w:t>
            </w:r>
          </w:p>
        </w:tc>
        <w:tc>
          <w:tcPr>
            <w:tcW w:w="2835" w:type="dxa"/>
            <w:vAlign w:val="center"/>
          </w:tcPr>
          <w:p>
            <w:pPr>
              <w:pStyle w:val="10"/>
            </w:pPr>
            <w:r>
              <w:t>采购成本控制率</w:t>
            </w:r>
          </w:p>
        </w:tc>
        <w:tc>
          <w:tcPr>
            <w:tcW w:w="2551" w:type="dxa"/>
            <w:vAlign w:val="center"/>
          </w:tcPr>
          <w:p>
            <w:pPr>
              <w:pStyle w:val="10"/>
            </w:pPr>
            <w:r>
              <w:t>≥90%</w:t>
            </w:r>
          </w:p>
        </w:tc>
        <w:tc>
          <w:tcPr>
            <w:tcW w:w="2268" w:type="dxa"/>
            <w:vAlign w:val="center"/>
          </w:tcPr>
          <w:p>
            <w:pPr>
              <w:pStyle w:val="10"/>
            </w:pPr>
            <w:r>
              <w:t>采购成本控制率高于90%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覆盖范围扩大效果</w:t>
            </w:r>
          </w:p>
        </w:tc>
        <w:tc>
          <w:tcPr>
            <w:tcW w:w="2835" w:type="dxa"/>
            <w:vAlign w:val="center"/>
          </w:tcPr>
          <w:p>
            <w:pPr>
              <w:pStyle w:val="10"/>
            </w:pPr>
            <w:r>
              <w:t>覆盖范围扩大效果</w:t>
            </w:r>
          </w:p>
        </w:tc>
        <w:tc>
          <w:tcPr>
            <w:tcW w:w="2551" w:type="dxa"/>
            <w:vAlign w:val="center"/>
          </w:tcPr>
          <w:p>
            <w:pPr>
              <w:pStyle w:val="10"/>
            </w:pPr>
            <w:r>
              <w:t>≥90%</w:t>
            </w:r>
          </w:p>
        </w:tc>
        <w:tc>
          <w:tcPr>
            <w:tcW w:w="2268" w:type="dxa"/>
            <w:vAlign w:val="center"/>
          </w:tcPr>
          <w:p>
            <w:pPr>
              <w:pStyle w:val="10"/>
            </w:pPr>
            <w:r>
              <w:t>覆盖范围扩大效果增加90%以上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成本利用率</w:t>
            </w:r>
          </w:p>
        </w:tc>
        <w:tc>
          <w:tcPr>
            <w:tcW w:w="2835" w:type="dxa"/>
            <w:vAlign w:val="center"/>
          </w:tcPr>
          <w:p>
            <w:pPr>
              <w:pStyle w:val="10"/>
            </w:pPr>
            <w:r>
              <w:t>成本利用率</w:t>
            </w:r>
          </w:p>
        </w:tc>
        <w:tc>
          <w:tcPr>
            <w:tcW w:w="2551" w:type="dxa"/>
            <w:vAlign w:val="center"/>
          </w:tcPr>
          <w:p>
            <w:pPr>
              <w:pStyle w:val="10"/>
            </w:pPr>
            <w:r>
              <w:t>≥90%</w:t>
            </w:r>
          </w:p>
        </w:tc>
        <w:tc>
          <w:tcPr>
            <w:tcW w:w="2268" w:type="dxa"/>
            <w:vAlign w:val="center"/>
          </w:tcPr>
          <w:p>
            <w:pPr>
              <w:pStyle w:val="10"/>
            </w:pPr>
            <w:r>
              <w:t>成本利用率高于90%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提升行业管理水平</w:t>
            </w:r>
          </w:p>
        </w:tc>
        <w:tc>
          <w:tcPr>
            <w:tcW w:w="2835" w:type="dxa"/>
            <w:vAlign w:val="center"/>
          </w:tcPr>
          <w:p>
            <w:pPr>
              <w:pStyle w:val="10"/>
            </w:pPr>
            <w:r>
              <w:t>提升行业管理水平</w:t>
            </w:r>
          </w:p>
        </w:tc>
        <w:tc>
          <w:tcPr>
            <w:tcW w:w="2551" w:type="dxa"/>
            <w:vAlign w:val="center"/>
          </w:tcPr>
          <w:p>
            <w:pPr>
              <w:pStyle w:val="10"/>
            </w:pPr>
            <w:r>
              <w:t>≥90%</w:t>
            </w:r>
          </w:p>
        </w:tc>
        <w:tc>
          <w:tcPr>
            <w:tcW w:w="2268" w:type="dxa"/>
            <w:vAlign w:val="center"/>
          </w:tcPr>
          <w:p>
            <w:pPr>
              <w:pStyle w:val="10"/>
            </w:pPr>
            <w:r>
              <w:t>提升行业管理水平高于90%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群众满意度高于95%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3、本级日常监管、执法办案、风险监测、监督抽检、疫情防控等经费绩效目标表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1.1.加强日常监管、执法办案、风险监测、监督抽检等能力.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季度农产品抽检数量</w:t>
            </w:r>
          </w:p>
        </w:tc>
        <w:tc>
          <w:tcPr>
            <w:tcW w:w="2835" w:type="dxa"/>
            <w:vAlign w:val="center"/>
          </w:tcPr>
          <w:p>
            <w:pPr>
              <w:pStyle w:val="10"/>
            </w:pPr>
            <w:r>
              <w:t>季度农产品抽检数量</w:t>
            </w:r>
          </w:p>
        </w:tc>
        <w:tc>
          <w:tcPr>
            <w:tcW w:w="2551" w:type="dxa"/>
            <w:vAlign w:val="center"/>
          </w:tcPr>
          <w:p>
            <w:pPr>
              <w:pStyle w:val="10"/>
            </w:pPr>
            <w:r>
              <w:t>≥8000次</w:t>
            </w:r>
          </w:p>
        </w:tc>
        <w:tc>
          <w:tcPr>
            <w:tcW w:w="2268" w:type="dxa"/>
            <w:vAlign w:val="center"/>
          </w:tcPr>
          <w:p>
            <w:pPr>
              <w:pStyle w:val="10"/>
            </w:pPr>
            <w:r>
              <w:t>每季度农产品抽检批次大于等于30批次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抽检项目、频率</w:t>
            </w:r>
          </w:p>
        </w:tc>
        <w:tc>
          <w:tcPr>
            <w:tcW w:w="2835" w:type="dxa"/>
            <w:vAlign w:val="center"/>
          </w:tcPr>
          <w:p>
            <w:pPr>
              <w:pStyle w:val="10"/>
            </w:pPr>
            <w:r>
              <w:t>抽检项目、频率</w:t>
            </w:r>
          </w:p>
        </w:tc>
        <w:tc>
          <w:tcPr>
            <w:tcW w:w="2551" w:type="dxa"/>
            <w:vAlign w:val="center"/>
          </w:tcPr>
          <w:p>
            <w:pPr>
              <w:pStyle w:val="10"/>
            </w:pPr>
            <w:r>
              <w:t>≥1000次</w:t>
            </w:r>
          </w:p>
        </w:tc>
        <w:tc>
          <w:tcPr>
            <w:tcW w:w="2268" w:type="dxa"/>
            <w:vAlign w:val="center"/>
          </w:tcPr>
          <w:p>
            <w:pPr>
              <w:pStyle w:val="10"/>
            </w:pPr>
            <w:r>
              <w:t>抽检项目、频率大于等于90%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w:t>
            </w:r>
          </w:p>
        </w:tc>
        <w:tc>
          <w:tcPr>
            <w:tcW w:w="2835" w:type="dxa"/>
            <w:vAlign w:val="center"/>
          </w:tcPr>
          <w:p>
            <w:pPr>
              <w:pStyle w:val="10"/>
            </w:pPr>
            <w:r>
              <w:t>监督抽检信息公布</w:t>
            </w:r>
          </w:p>
        </w:tc>
        <w:tc>
          <w:tcPr>
            <w:tcW w:w="2551" w:type="dxa"/>
            <w:vAlign w:val="center"/>
          </w:tcPr>
          <w:p>
            <w:pPr>
              <w:pStyle w:val="10"/>
            </w:pPr>
            <w:r>
              <w:t>≥100次</w:t>
            </w:r>
          </w:p>
        </w:tc>
        <w:tc>
          <w:tcPr>
            <w:tcW w:w="2268" w:type="dxa"/>
            <w:vAlign w:val="center"/>
          </w:tcPr>
          <w:p>
            <w:pPr>
              <w:pStyle w:val="10"/>
            </w:pPr>
            <w:r>
              <w:t>监督抽检信息公布及时性在90%以上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w:t>
            </w:r>
          </w:p>
        </w:tc>
        <w:tc>
          <w:tcPr>
            <w:tcW w:w="2268" w:type="dxa"/>
            <w:vAlign w:val="center"/>
          </w:tcPr>
          <w:p>
            <w:pPr>
              <w:pStyle w:val="10"/>
            </w:pPr>
            <w:r>
              <w:t>按照预算资金完成90%以上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专项资金投入产出效益</w:t>
            </w:r>
          </w:p>
        </w:tc>
        <w:tc>
          <w:tcPr>
            <w:tcW w:w="2835" w:type="dxa"/>
            <w:vAlign w:val="center"/>
          </w:tcPr>
          <w:p>
            <w:pPr>
              <w:pStyle w:val="10"/>
            </w:pPr>
            <w:r>
              <w:t>专项资金投入产出效益</w:t>
            </w:r>
          </w:p>
        </w:tc>
        <w:tc>
          <w:tcPr>
            <w:tcW w:w="2551" w:type="dxa"/>
            <w:vAlign w:val="center"/>
          </w:tcPr>
          <w:p>
            <w:pPr>
              <w:pStyle w:val="10"/>
            </w:pPr>
            <w:r>
              <w:t>≥90%</w:t>
            </w:r>
          </w:p>
        </w:tc>
        <w:tc>
          <w:tcPr>
            <w:tcW w:w="2268" w:type="dxa"/>
            <w:vAlign w:val="center"/>
          </w:tcPr>
          <w:p>
            <w:pPr>
              <w:pStyle w:val="10"/>
            </w:pPr>
            <w:r>
              <w:t>专项资金投入产出效益达到90%以上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群众投诉下降率（%）</w:t>
            </w:r>
          </w:p>
        </w:tc>
        <w:tc>
          <w:tcPr>
            <w:tcW w:w="2835" w:type="dxa"/>
            <w:vAlign w:val="center"/>
          </w:tcPr>
          <w:p>
            <w:pPr>
              <w:pStyle w:val="10"/>
            </w:pPr>
            <w:r>
              <w:t>群众投诉下降率（%）</w:t>
            </w:r>
          </w:p>
        </w:tc>
        <w:tc>
          <w:tcPr>
            <w:tcW w:w="2551" w:type="dxa"/>
            <w:vAlign w:val="center"/>
          </w:tcPr>
          <w:p>
            <w:pPr>
              <w:pStyle w:val="10"/>
            </w:pPr>
            <w:r>
              <w:t>≥10%</w:t>
            </w:r>
          </w:p>
        </w:tc>
        <w:tc>
          <w:tcPr>
            <w:tcW w:w="2268" w:type="dxa"/>
            <w:vAlign w:val="center"/>
          </w:tcPr>
          <w:p>
            <w:pPr>
              <w:pStyle w:val="10"/>
            </w:pPr>
            <w:r>
              <w:t>群众投诉下降率下降10%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检测能力</w:t>
            </w:r>
          </w:p>
        </w:tc>
        <w:tc>
          <w:tcPr>
            <w:tcW w:w="2835" w:type="dxa"/>
            <w:vAlign w:val="center"/>
          </w:tcPr>
          <w:p>
            <w:pPr>
              <w:pStyle w:val="10"/>
            </w:pPr>
            <w:r>
              <w:t>检测能力</w:t>
            </w:r>
          </w:p>
        </w:tc>
        <w:tc>
          <w:tcPr>
            <w:tcW w:w="2551" w:type="dxa"/>
            <w:vAlign w:val="center"/>
          </w:tcPr>
          <w:p>
            <w:pPr>
              <w:pStyle w:val="10"/>
            </w:pPr>
            <w:r>
              <w:t>≥90%</w:t>
            </w:r>
          </w:p>
        </w:tc>
        <w:tc>
          <w:tcPr>
            <w:tcW w:w="2268" w:type="dxa"/>
            <w:vAlign w:val="center"/>
          </w:tcPr>
          <w:p>
            <w:pPr>
              <w:pStyle w:val="10"/>
            </w:pPr>
            <w:r>
              <w:t>《食品安全考核细则》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群众满意率</w:t>
            </w:r>
          </w:p>
        </w:tc>
        <w:tc>
          <w:tcPr>
            <w:tcW w:w="2551" w:type="dxa"/>
            <w:vAlign w:val="center"/>
          </w:tcPr>
          <w:p>
            <w:pPr>
              <w:pStyle w:val="10"/>
            </w:pPr>
            <w:r>
              <w:t>≥95%</w:t>
            </w:r>
          </w:p>
        </w:tc>
        <w:tc>
          <w:tcPr>
            <w:tcW w:w="2268" w:type="dxa"/>
            <w:vAlign w:val="center"/>
          </w:tcPr>
          <w:p>
            <w:pPr>
              <w:pStyle w:val="10"/>
            </w:pPr>
            <w:r>
              <w:t>群众满意度达到95%以上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4、本级食品安全协管员补贴绩效目标表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1.对食品安全协管员按照以奖代补的形式给与补助。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补贴的人数</w:t>
            </w:r>
          </w:p>
        </w:tc>
        <w:tc>
          <w:tcPr>
            <w:tcW w:w="2835" w:type="dxa"/>
            <w:vAlign w:val="center"/>
          </w:tcPr>
          <w:p>
            <w:pPr>
              <w:pStyle w:val="10"/>
            </w:pPr>
            <w:r>
              <w:t>符合补贴政策，给与补贴的人员数</w:t>
            </w:r>
          </w:p>
        </w:tc>
        <w:tc>
          <w:tcPr>
            <w:tcW w:w="2551" w:type="dxa"/>
            <w:vAlign w:val="center"/>
          </w:tcPr>
          <w:p>
            <w:pPr>
              <w:pStyle w:val="10"/>
            </w:pPr>
            <w:r>
              <w:t>263人</w:t>
            </w:r>
          </w:p>
        </w:tc>
        <w:tc>
          <w:tcPr>
            <w:tcW w:w="2268" w:type="dxa"/>
            <w:vAlign w:val="center"/>
          </w:tcPr>
          <w:p>
            <w:pPr>
              <w:pStyle w:val="10"/>
            </w:pPr>
            <w:r>
              <w:t>符合补贴政策，给与补贴的人员数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食品安全协管员补贴发放标准</w:t>
            </w:r>
          </w:p>
        </w:tc>
        <w:tc>
          <w:tcPr>
            <w:tcW w:w="2835" w:type="dxa"/>
            <w:vAlign w:val="center"/>
          </w:tcPr>
          <w:p>
            <w:pPr>
              <w:pStyle w:val="10"/>
            </w:pPr>
            <w:r>
              <w:t>符合补贴政策，给与补贴的人员标准数（元/年）</w:t>
            </w:r>
          </w:p>
        </w:tc>
        <w:tc>
          <w:tcPr>
            <w:tcW w:w="2551" w:type="dxa"/>
            <w:vAlign w:val="center"/>
          </w:tcPr>
          <w:p>
            <w:pPr>
              <w:pStyle w:val="10"/>
            </w:pPr>
            <w:r>
              <w:t>600元</w:t>
            </w:r>
          </w:p>
        </w:tc>
        <w:tc>
          <w:tcPr>
            <w:tcW w:w="2268" w:type="dxa"/>
            <w:vAlign w:val="center"/>
          </w:tcPr>
          <w:p>
            <w:pPr>
              <w:pStyle w:val="10"/>
            </w:pPr>
            <w:r>
              <w:t>符合补贴政策，给予补贴的人员标准数（元/年）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开展宣传方式的品种或数量（次或种）</w:t>
            </w:r>
          </w:p>
        </w:tc>
        <w:tc>
          <w:tcPr>
            <w:tcW w:w="2835" w:type="dxa"/>
            <w:vAlign w:val="center"/>
          </w:tcPr>
          <w:p>
            <w:pPr>
              <w:pStyle w:val="10"/>
            </w:pPr>
            <w:r>
              <w:t>开展宣传方式的品种或数量（次或种）</w:t>
            </w:r>
          </w:p>
        </w:tc>
        <w:tc>
          <w:tcPr>
            <w:tcW w:w="2551" w:type="dxa"/>
            <w:vAlign w:val="center"/>
          </w:tcPr>
          <w:p>
            <w:pPr>
              <w:pStyle w:val="10"/>
            </w:pPr>
            <w:r>
              <w:t>≥50次</w:t>
            </w:r>
          </w:p>
        </w:tc>
        <w:tc>
          <w:tcPr>
            <w:tcW w:w="2268" w:type="dxa"/>
            <w:vAlign w:val="center"/>
          </w:tcPr>
          <w:p>
            <w:pPr>
              <w:pStyle w:val="10"/>
            </w:pPr>
            <w:r>
              <w:t>开展宣传方式的品种或数量（次或种）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纠正意见或建议的采纳率</w:t>
            </w:r>
          </w:p>
        </w:tc>
        <w:tc>
          <w:tcPr>
            <w:tcW w:w="2835" w:type="dxa"/>
            <w:vAlign w:val="center"/>
          </w:tcPr>
          <w:p>
            <w:pPr>
              <w:pStyle w:val="10"/>
            </w:pPr>
            <w:r>
              <w:t>纠正意见或建议的采纳率</w:t>
            </w:r>
          </w:p>
        </w:tc>
        <w:tc>
          <w:tcPr>
            <w:tcW w:w="2551" w:type="dxa"/>
            <w:vAlign w:val="center"/>
          </w:tcPr>
          <w:p>
            <w:pPr>
              <w:pStyle w:val="10"/>
            </w:pPr>
            <w:r>
              <w:t>≥3次</w:t>
            </w:r>
          </w:p>
        </w:tc>
        <w:tc>
          <w:tcPr>
            <w:tcW w:w="2268" w:type="dxa"/>
            <w:vAlign w:val="center"/>
          </w:tcPr>
          <w:p>
            <w:pPr>
              <w:pStyle w:val="10"/>
            </w:pPr>
            <w:r>
              <w:t>纠正意见或建议的采纳率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带动社会资金投资比率</w:t>
            </w:r>
          </w:p>
        </w:tc>
        <w:tc>
          <w:tcPr>
            <w:tcW w:w="2835" w:type="dxa"/>
            <w:vAlign w:val="center"/>
          </w:tcPr>
          <w:p>
            <w:pPr>
              <w:pStyle w:val="10"/>
            </w:pPr>
            <w:r>
              <w:t>带动社会资金投入增长比率（%）</w:t>
            </w:r>
          </w:p>
        </w:tc>
        <w:tc>
          <w:tcPr>
            <w:tcW w:w="2551" w:type="dxa"/>
            <w:vAlign w:val="center"/>
          </w:tcPr>
          <w:p>
            <w:pPr>
              <w:pStyle w:val="10"/>
            </w:pPr>
            <w:r>
              <w:t>≥20%</w:t>
            </w:r>
          </w:p>
        </w:tc>
        <w:tc>
          <w:tcPr>
            <w:tcW w:w="2268" w:type="dxa"/>
            <w:vAlign w:val="center"/>
          </w:tcPr>
          <w:p>
            <w:pPr>
              <w:pStyle w:val="10"/>
            </w:pPr>
            <w:r>
              <w:t>带动社会资金投入增长比率（%）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意见建议采纳率</w:t>
            </w:r>
          </w:p>
        </w:tc>
        <w:tc>
          <w:tcPr>
            <w:tcW w:w="2835" w:type="dxa"/>
            <w:vAlign w:val="center"/>
          </w:tcPr>
          <w:p>
            <w:pPr>
              <w:pStyle w:val="10"/>
            </w:pPr>
            <w:r>
              <w:t>被采纳的意见数量占总数量的比率（%）</w:t>
            </w:r>
          </w:p>
        </w:tc>
        <w:tc>
          <w:tcPr>
            <w:tcW w:w="2551" w:type="dxa"/>
            <w:vAlign w:val="center"/>
          </w:tcPr>
          <w:p>
            <w:pPr>
              <w:pStyle w:val="10"/>
            </w:pPr>
            <w:r>
              <w:t>≥90%</w:t>
            </w:r>
          </w:p>
        </w:tc>
        <w:tc>
          <w:tcPr>
            <w:tcW w:w="2268" w:type="dxa"/>
            <w:vAlign w:val="center"/>
          </w:tcPr>
          <w:p>
            <w:pPr>
              <w:pStyle w:val="10"/>
            </w:pPr>
            <w:r>
              <w:t>被采纳的意见数量占总数量的比率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群众认可比率</w:t>
            </w:r>
          </w:p>
        </w:tc>
        <w:tc>
          <w:tcPr>
            <w:tcW w:w="2835" w:type="dxa"/>
            <w:vAlign w:val="center"/>
          </w:tcPr>
          <w:p>
            <w:pPr>
              <w:pStyle w:val="10"/>
            </w:pPr>
            <w:r>
              <w:t>在全区产生的重要影响，得到广大受众的充分认可。群众认可占全部人口的比率(%)</w:t>
            </w:r>
          </w:p>
        </w:tc>
        <w:tc>
          <w:tcPr>
            <w:tcW w:w="2551" w:type="dxa"/>
            <w:vAlign w:val="center"/>
          </w:tcPr>
          <w:p>
            <w:pPr>
              <w:pStyle w:val="10"/>
            </w:pPr>
            <w:r>
              <w:t>≥95%</w:t>
            </w:r>
          </w:p>
        </w:tc>
        <w:tc>
          <w:tcPr>
            <w:tcW w:w="2268" w:type="dxa"/>
            <w:vAlign w:val="center"/>
          </w:tcPr>
          <w:p>
            <w:pPr>
              <w:pStyle w:val="10"/>
            </w:pPr>
            <w:r>
              <w:t>在全区产生的重要影响，得到广大受众的充分认可。群众认可占全部人口的比率(%)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5、本级食品快检室试剂补贴经费绩效目标表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1.用于辖区内设立的食品快检室试剂补贴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资金足额率</w:t>
            </w:r>
          </w:p>
        </w:tc>
        <w:tc>
          <w:tcPr>
            <w:tcW w:w="2835" w:type="dxa"/>
            <w:vAlign w:val="center"/>
          </w:tcPr>
          <w:p>
            <w:pPr>
              <w:pStyle w:val="10"/>
            </w:pPr>
            <w:r>
              <w:t>实际拨付资金占应付资金比率</w:t>
            </w:r>
          </w:p>
        </w:tc>
        <w:tc>
          <w:tcPr>
            <w:tcW w:w="2551" w:type="dxa"/>
            <w:vAlign w:val="center"/>
          </w:tcPr>
          <w:p>
            <w:pPr>
              <w:pStyle w:val="10"/>
            </w:pPr>
            <w:r>
              <w:t>100%</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资金支付合规率（%）</w:t>
            </w:r>
          </w:p>
        </w:tc>
        <w:tc>
          <w:tcPr>
            <w:tcW w:w="2835" w:type="dxa"/>
            <w:vAlign w:val="center"/>
          </w:tcPr>
          <w:p>
            <w:pPr>
              <w:pStyle w:val="10"/>
            </w:pPr>
            <w:r>
              <w:t>支付方式是否合规</w:t>
            </w:r>
          </w:p>
        </w:tc>
        <w:tc>
          <w:tcPr>
            <w:tcW w:w="2551" w:type="dxa"/>
            <w:vAlign w:val="center"/>
          </w:tcPr>
          <w:p>
            <w:pPr>
              <w:pStyle w:val="10"/>
            </w:pPr>
            <w:r>
              <w:t>100%</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2835" w:type="dxa"/>
            <w:vAlign w:val="center"/>
          </w:tcPr>
          <w:p>
            <w:pPr>
              <w:pStyle w:val="10"/>
            </w:pPr>
            <w:r>
              <w:t>是否按时拨付</w:t>
            </w:r>
          </w:p>
        </w:tc>
        <w:tc>
          <w:tcPr>
            <w:tcW w:w="2551" w:type="dxa"/>
            <w:vAlign w:val="center"/>
          </w:tcPr>
          <w:p>
            <w:pPr>
              <w:pStyle w:val="10"/>
            </w:pPr>
            <w:r>
              <w:t>100%</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经费发放率</w:t>
            </w:r>
          </w:p>
        </w:tc>
        <w:tc>
          <w:tcPr>
            <w:tcW w:w="2835" w:type="dxa"/>
            <w:vAlign w:val="center"/>
          </w:tcPr>
          <w:p>
            <w:pPr>
              <w:pStyle w:val="10"/>
            </w:pPr>
            <w:r>
              <w:t>按照预算标准足额发放</w:t>
            </w:r>
          </w:p>
        </w:tc>
        <w:tc>
          <w:tcPr>
            <w:tcW w:w="2551" w:type="dxa"/>
            <w:vAlign w:val="center"/>
          </w:tcPr>
          <w:p>
            <w:pPr>
              <w:pStyle w:val="10"/>
            </w:pPr>
            <w:r>
              <w:t>100%</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≥95%</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保障相关业务、工作等开展的情况</w:t>
            </w:r>
          </w:p>
        </w:tc>
        <w:tc>
          <w:tcPr>
            <w:tcW w:w="2551" w:type="dxa"/>
            <w:vAlign w:val="center"/>
          </w:tcPr>
          <w:p>
            <w:pPr>
              <w:pStyle w:val="10"/>
            </w:pPr>
            <w:r>
              <w:t>≥95%</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检测能力</w:t>
            </w:r>
          </w:p>
        </w:tc>
        <w:tc>
          <w:tcPr>
            <w:tcW w:w="2835" w:type="dxa"/>
            <w:vAlign w:val="center"/>
          </w:tcPr>
          <w:p>
            <w:pPr>
              <w:pStyle w:val="10"/>
            </w:pPr>
            <w:r>
              <w:t>检测能力</w:t>
            </w:r>
          </w:p>
        </w:tc>
        <w:tc>
          <w:tcPr>
            <w:tcW w:w="2551" w:type="dxa"/>
            <w:vAlign w:val="center"/>
          </w:tcPr>
          <w:p>
            <w:pPr>
              <w:pStyle w:val="10"/>
            </w:pPr>
            <w:r>
              <w:t>≥95%</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《关于在食品销售企业设立食品快检室和开展“公众开放日”活动的通知》工作的统一部署</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6、本级专利奖补经费绩效目标表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1.及时、足额的对企事业单位及个人获得授权国内发明专利的，按照其获得专利授权所缴纳官方费用的50%进行资助。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100%</w:t>
            </w:r>
          </w:p>
        </w:tc>
        <w:tc>
          <w:tcPr>
            <w:tcW w:w="2268" w:type="dxa"/>
            <w:vAlign w:val="center"/>
          </w:tcPr>
          <w:p>
            <w:pPr>
              <w:pStyle w:val="10"/>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资金支付率</w:t>
            </w:r>
          </w:p>
        </w:tc>
        <w:tc>
          <w:tcPr>
            <w:tcW w:w="2835" w:type="dxa"/>
            <w:vAlign w:val="center"/>
          </w:tcPr>
          <w:p>
            <w:pPr>
              <w:pStyle w:val="10"/>
            </w:pPr>
            <w:r>
              <w:t>资金支付率</w:t>
            </w:r>
          </w:p>
        </w:tc>
        <w:tc>
          <w:tcPr>
            <w:tcW w:w="2551" w:type="dxa"/>
            <w:vAlign w:val="center"/>
          </w:tcPr>
          <w:p>
            <w:pPr>
              <w:pStyle w:val="10"/>
            </w:pPr>
            <w:r>
              <w:t>100%</w:t>
            </w:r>
          </w:p>
        </w:tc>
        <w:tc>
          <w:tcPr>
            <w:tcW w:w="2268" w:type="dxa"/>
            <w:vAlign w:val="center"/>
          </w:tcPr>
          <w:p>
            <w:pPr>
              <w:pStyle w:val="10"/>
            </w:pPr>
            <w:r>
              <w:t>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支付完成率</w:t>
            </w:r>
          </w:p>
        </w:tc>
        <w:tc>
          <w:tcPr>
            <w:tcW w:w="2835" w:type="dxa"/>
            <w:vAlign w:val="center"/>
          </w:tcPr>
          <w:p>
            <w:pPr>
              <w:pStyle w:val="10"/>
            </w:pPr>
            <w:r>
              <w:t>按时有序支付</w:t>
            </w:r>
          </w:p>
        </w:tc>
        <w:tc>
          <w:tcPr>
            <w:tcW w:w="2551" w:type="dxa"/>
            <w:vAlign w:val="center"/>
          </w:tcPr>
          <w:p>
            <w:pPr>
              <w:pStyle w:val="10"/>
            </w:pPr>
            <w:r>
              <w:t>100%</w:t>
            </w:r>
          </w:p>
        </w:tc>
        <w:tc>
          <w:tcPr>
            <w:tcW w:w="2268" w:type="dxa"/>
            <w:vAlign w:val="center"/>
          </w:tcPr>
          <w:p>
            <w:pPr>
              <w:pStyle w:val="10"/>
            </w:pPr>
            <w:r>
              <w:t>按时有序支付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2835" w:type="dxa"/>
            <w:vAlign w:val="center"/>
          </w:tcPr>
          <w:p>
            <w:pPr>
              <w:pStyle w:val="10"/>
            </w:pPr>
            <w:r>
              <w:t>补助金额</w:t>
            </w:r>
          </w:p>
        </w:tc>
        <w:tc>
          <w:tcPr>
            <w:tcW w:w="2551" w:type="dxa"/>
            <w:vAlign w:val="center"/>
          </w:tcPr>
          <w:p>
            <w:pPr>
              <w:pStyle w:val="10"/>
            </w:pPr>
            <w:r>
              <w:t>≥1000元</w:t>
            </w:r>
          </w:p>
        </w:tc>
        <w:tc>
          <w:tcPr>
            <w:tcW w:w="2268" w:type="dxa"/>
            <w:vAlign w:val="center"/>
          </w:tcPr>
          <w:p>
            <w:pPr>
              <w:pStyle w:val="10"/>
            </w:pPr>
            <w:r>
              <w:t>补助金额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≥95%</w:t>
            </w:r>
          </w:p>
        </w:tc>
        <w:tc>
          <w:tcPr>
            <w:tcW w:w="2268" w:type="dxa"/>
            <w:vAlign w:val="center"/>
          </w:tcPr>
          <w:p>
            <w:pPr>
              <w:pStyle w:val="10"/>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政策建议采纳率</w:t>
            </w:r>
          </w:p>
        </w:tc>
        <w:tc>
          <w:tcPr>
            <w:tcW w:w="2835" w:type="dxa"/>
            <w:vAlign w:val="center"/>
          </w:tcPr>
          <w:p>
            <w:pPr>
              <w:pStyle w:val="10"/>
            </w:pPr>
            <w:r>
              <w:t>政策建议采纳率</w:t>
            </w:r>
          </w:p>
        </w:tc>
        <w:tc>
          <w:tcPr>
            <w:tcW w:w="2551" w:type="dxa"/>
            <w:vAlign w:val="center"/>
          </w:tcPr>
          <w:p>
            <w:pPr>
              <w:pStyle w:val="10"/>
            </w:pPr>
            <w:r>
              <w:t>≥3次</w:t>
            </w:r>
          </w:p>
        </w:tc>
        <w:tc>
          <w:tcPr>
            <w:tcW w:w="2268" w:type="dxa"/>
            <w:vAlign w:val="center"/>
          </w:tcPr>
          <w:p>
            <w:pPr>
              <w:pStyle w:val="10"/>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增强影响力</w:t>
            </w:r>
          </w:p>
        </w:tc>
        <w:tc>
          <w:tcPr>
            <w:tcW w:w="2551" w:type="dxa"/>
            <w:vAlign w:val="center"/>
          </w:tcPr>
          <w:p>
            <w:pPr>
              <w:pStyle w:val="10"/>
            </w:pPr>
            <w:r>
              <w:t>≥90%</w:t>
            </w:r>
          </w:p>
        </w:tc>
        <w:tc>
          <w:tcPr>
            <w:tcW w:w="2268" w:type="dxa"/>
            <w:vAlign w:val="center"/>
          </w:tcPr>
          <w:p>
            <w:pPr>
              <w:pStyle w:val="10"/>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7、唐财行[2022]28号关于提前下达2023年市场监管专项补助经费的通知绩效目标表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1.唐财行[2022]28号关于提前下达2023年市场监管专项补助经费的通知，用于我局2023年市场监管工作。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监督检查次数</w:t>
            </w:r>
          </w:p>
        </w:tc>
        <w:tc>
          <w:tcPr>
            <w:tcW w:w="2835" w:type="dxa"/>
            <w:vAlign w:val="center"/>
          </w:tcPr>
          <w:p>
            <w:pPr>
              <w:pStyle w:val="10"/>
            </w:pPr>
            <w:r>
              <w:t>监督检查次数</w:t>
            </w:r>
          </w:p>
        </w:tc>
        <w:tc>
          <w:tcPr>
            <w:tcW w:w="2551" w:type="dxa"/>
            <w:vAlign w:val="center"/>
          </w:tcPr>
          <w:p>
            <w:pPr>
              <w:pStyle w:val="10"/>
            </w:pPr>
            <w:r>
              <w:t>≥50件</w:t>
            </w:r>
          </w:p>
        </w:tc>
        <w:tc>
          <w:tcPr>
            <w:tcW w:w="2268" w:type="dxa"/>
            <w:vAlign w:val="center"/>
          </w:tcPr>
          <w:p>
            <w:pPr>
              <w:pStyle w:val="10"/>
            </w:pPr>
            <w:r>
              <w:t>市场监管工作要求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案件办结率</w:t>
            </w:r>
          </w:p>
        </w:tc>
        <w:tc>
          <w:tcPr>
            <w:tcW w:w="2835" w:type="dxa"/>
            <w:vAlign w:val="center"/>
          </w:tcPr>
          <w:p>
            <w:pPr>
              <w:pStyle w:val="10"/>
            </w:pPr>
            <w:r>
              <w:t>案件办理数量</w:t>
            </w:r>
          </w:p>
        </w:tc>
        <w:tc>
          <w:tcPr>
            <w:tcW w:w="2551" w:type="dxa"/>
            <w:vAlign w:val="center"/>
          </w:tcPr>
          <w:p>
            <w:pPr>
              <w:pStyle w:val="10"/>
            </w:pPr>
            <w:r>
              <w:t>≥50件</w:t>
            </w:r>
          </w:p>
        </w:tc>
        <w:tc>
          <w:tcPr>
            <w:tcW w:w="2268" w:type="dxa"/>
            <w:vAlign w:val="center"/>
          </w:tcPr>
          <w:p>
            <w:pPr>
              <w:pStyle w:val="10"/>
            </w:pPr>
            <w:r>
              <w:t>市场监管工作要求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监管执法假话完成率</w:t>
            </w:r>
          </w:p>
        </w:tc>
        <w:tc>
          <w:tcPr>
            <w:tcW w:w="2835" w:type="dxa"/>
            <w:vAlign w:val="center"/>
          </w:tcPr>
          <w:p>
            <w:pPr>
              <w:pStyle w:val="10"/>
            </w:pPr>
            <w:r>
              <w:t>监管执法假话完成率</w:t>
            </w:r>
          </w:p>
        </w:tc>
        <w:tc>
          <w:tcPr>
            <w:tcW w:w="2551" w:type="dxa"/>
            <w:vAlign w:val="center"/>
          </w:tcPr>
          <w:p>
            <w:pPr>
              <w:pStyle w:val="10"/>
            </w:pPr>
            <w:r>
              <w:t>≥95%</w:t>
            </w:r>
          </w:p>
        </w:tc>
        <w:tc>
          <w:tcPr>
            <w:tcW w:w="2268" w:type="dxa"/>
            <w:vAlign w:val="center"/>
          </w:tcPr>
          <w:p>
            <w:pPr>
              <w:pStyle w:val="10"/>
            </w:pPr>
            <w:r>
              <w:t>市场监管工作要求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案件合规</w:t>
            </w:r>
          </w:p>
        </w:tc>
        <w:tc>
          <w:tcPr>
            <w:tcW w:w="2835" w:type="dxa"/>
            <w:vAlign w:val="center"/>
          </w:tcPr>
          <w:p>
            <w:pPr>
              <w:pStyle w:val="10"/>
            </w:pPr>
            <w:r>
              <w:t>正确案件信息数占全部案件信息数的比例</w:t>
            </w:r>
          </w:p>
        </w:tc>
        <w:tc>
          <w:tcPr>
            <w:tcW w:w="2551" w:type="dxa"/>
            <w:vAlign w:val="center"/>
          </w:tcPr>
          <w:p>
            <w:pPr>
              <w:pStyle w:val="10"/>
            </w:pPr>
            <w:r>
              <w:t>≥95%</w:t>
            </w:r>
          </w:p>
        </w:tc>
        <w:tc>
          <w:tcPr>
            <w:tcW w:w="2268" w:type="dxa"/>
            <w:vAlign w:val="center"/>
          </w:tcPr>
          <w:p>
            <w:pPr>
              <w:pStyle w:val="10"/>
            </w:pPr>
            <w:r>
              <w:t>市场监管工作要求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提升参训人员综合能力</w:t>
            </w:r>
          </w:p>
        </w:tc>
        <w:tc>
          <w:tcPr>
            <w:tcW w:w="2835" w:type="dxa"/>
            <w:vAlign w:val="center"/>
          </w:tcPr>
          <w:p>
            <w:pPr>
              <w:pStyle w:val="10"/>
            </w:pPr>
            <w:r>
              <w:t>通过培训提高参训人员素质，为经济社会和行业发展提供人才保证</w:t>
            </w:r>
          </w:p>
        </w:tc>
        <w:tc>
          <w:tcPr>
            <w:tcW w:w="2551" w:type="dxa"/>
            <w:vAlign w:val="center"/>
          </w:tcPr>
          <w:p>
            <w:pPr>
              <w:pStyle w:val="10"/>
            </w:pPr>
            <w:r>
              <w:t>≥20次</w:t>
            </w:r>
          </w:p>
        </w:tc>
        <w:tc>
          <w:tcPr>
            <w:tcW w:w="2268" w:type="dxa"/>
            <w:vAlign w:val="center"/>
          </w:tcPr>
          <w:p>
            <w:pPr>
              <w:pStyle w:val="10"/>
            </w:pPr>
            <w:r>
              <w:t>市场监管工作要求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配套相关宣传活动</w:t>
            </w:r>
          </w:p>
        </w:tc>
        <w:tc>
          <w:tcPr>
            <w:tcW w:w="2835" w:type="dxa"/>
            <w:vAlign w:val="center"/>
          </w:tcPr>
          <w:p>
            <w:pPr>
              <w:pStyle w:val="10"/>
            </w:pPr>
            <w:r>
              <w:t>提高群众食品药品安全意识的宣传品发放次数</w:t>
            </w:r>
          </w:p>
        </w:tc>
        <w:tc>
          <w:tcPr>
            <w:tcW w:w="2551" w:type="dxa"/>
            <w:vAlign w:val="center"/>
          </w:tcPr>
          <w:p>
            <w:pPr>
              <w:pStyle w:val="10"/>
            </w:pPr>
            <w:r>
              <w:t>≥20次</w:t>
            </w:r>
          </w:p>
        </w:tc>
        <w:tc>
          <w:tcPr>
            <w:tcW w:w="2268" w:type="dxa"/>
            <w:vAlign w:val="center"/>
          </w:tcPr>
          <w:p>
            <w:pPr>
              <w:pStyle w:val="10"/>
            </w:pPr>
            <w:r>
              <w:t>市场监管工作要求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在全区产生的重要影响，得到广大群众的充分认可</w:t>
            </w:r>
          </w:p>
        </w:tc>
        <w:tc>
          <w:tcPr>
            <w:tcW w:w="2551" w:type="dxa"/>
            <w:vAlign w:val="center"/>
          </w:tcPr>
          <w:p>
            <w:pPr>
              <w:pStyle w:val="10"/>
            </w:pPr>
            <w:r>
              <w:t>≥95%</w:t>
            </w:r>
          </w:p>
        </w:tc>
        <w:tc>
          <w:tcPr>
            <w:tcW w:w="2268" w:type="dxa"/>
            <w:vAlign w:val="center"/>
          </w:tcPr>
          <w:p>
            <w:pPr>
              <w:pStyle w:val="10"/>
            </w:pPr>
            <w:r>
              <w:t>市场监管工作要求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监测、评价完成率</w:t>
            </w:r>
          </w:p>
        </w:tc>
        <w:tc>
          <w:tcPr>
            <w:tcW w:w="2835" w:type="dxa"/>
            <w:vAlign w:val="center"/>
          </w:tcPr>
          <w:p>
            <w:pPr>
              <w:pStyle w:val="10"/>
            </w:pPr>
            <w:r>
              <w:t>监测、评价完成率</w:t>
            </w:r>
          </w:p>
        </w:tc>
        <w:tc>
          <w:tcPr>
            <w:tcW w:w="2551" w:type="dxa"/>
            <w:vAlign w:val="center"/>
          </w:tcPr>
          <w:p>
            <w:pPr>
              <w:pStyle w:val="10"/>
            </w:pPr>
            <w:r>
              <w:t>≥95%</w:t>
            </w:r>
          </w:p>
        </w:tc>
        <w:tc>
          <w:tcPr>
            <w:tcW w:w="2268" w:type="dxa"/>
            <w:vAlign w:val="center"/>
          </w:tcPr>
          <w:p>
            <w:pPr>
              <w:pStyle w:val="10"/>
            </w:pPr>
            <w:r>
              <w:t>市场监管工作要求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市场监管工作要求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2023年，唐山市开平区市场监督管理局本级安排政府采购预算124.50万元。具体内容见下表。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124.50</w:t>
            </w:r>
          </w:p>
        </w:tc>
        <w:tc>
          <w:tcPr>
            <w:tcW w:w="964" w:type="dxa"/>
            <w:vAlign w:val="center"/>
          </w:tcPr>
          <w:p>
            <w:pPr>
              <w:pStyle w:val="13"/>
            </w:pPr>
            <w:r>
              <w:t>124.50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唐山市开平区市场监督管理局本级小计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124.50</w:t>
            </w:r>
          </w:p>
        </w:tc>
        <w:tc>
          <w:tcPr>
            <w:tcW w:w="964" w:type="dxa"/>
            <w:vAlign w:val="center"/>
          </w:tcPr>
          <w:p>
            <w:pPr>
              <w:pStyle w:val="13"/>
            </w:pPr>
            <w:r>
              <w:t>124.50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r>
              <w:t>公用经费（三保）</w:t>
            </w:r>
          </w:p>
        </w:tc>
        <w:tc>
          <w:tcPr>
            <w:tcW w:w="964" w:type="dxa"/>
            <w:vAlign w:val="center"/>
          </w:tcPr>
          <w:p>
            <w:pPr>
              <w:pStyle w:val="11"/>
            </w:pPr>
            <w:r>
              <w:t>85.90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9"/>
            </w:pPr>
            <w:r>
              <w:t>台</w:t>
            </w:r>
          </w:p>
        </w:tc>
        <w:tc>
          <w:tcPr>
            <w:tcW w:w="850" w:type="dxa"/>
            <w:vAlign w:val="center"/>
          </w:tcPr>
          <w:p>
            <w:pPr>
              <w:pStyle w:val="11"/>
            </w:pPr>
            <w:r>
              <w:t>4</w:t>
            </w:r>
          </w:p>
        </w:tc>
        <w:tc>
          <w:tcPr>
            <w:tcW w:w="850" w:type="dxa"/>
            <w:vAlign w:val="center"/>
          </w:tcPr>
          <w:p>
            <w:pPr>
              <w:pStyle w:val="11"/>
            </w:pPr>
            <w:r>
              <w:t>1.00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bookmarkStart w:id="1" w:name="_GoBack"/>
            <w:bookmarkEnd w:id="1"/>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r>
              <w:t>公用经费（三保）</w:t>
            </w:r>
          </w:p>
        </w:tc>
        <w:tc>
          <w:tcPr>
            <w:tcW w:w="964" w:type="dxa"/>
            <w:vAlign w:val="center"/>
          </w:tcPr>
          <w:p>
            <w:pPr>
              <w:pStyle w:val="11"/>
            </w:pPr>
            <w:r>
              <w:t>85.90</w:t>
            </w:r>
          </w:p>
        </w:tc>
        <w:tc>
          <w:tcPr>
            <w:tcW w:w="1134" w:type="dxa"/>
            <w:vAlign w:val="center"/>
          </w:tcPr>
          <w:p>
            <w:pPr>
              <w:pStyle w:val="10"/>
            </w:pPr>
            <w:r>
              <w:t>空调机组</w:t>
            </w:r>
          </w:p>
        </w:tc>
        <w:tc>
          <w:tcPr>
            <w:tcW w:w="1134" w:type="dxa"/>
            <w:vAlign w:val="center"/>
          </w:tcPr>
          <w:p>
            <w:pPr>
              <w:pStyle w:val="10"/>
            </w:pPr>
            <w:r>
              <w:t>A02052305</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r>
              <w:t>本级日常监管、执法办案、风险监测、监督抽检、疫情防控等经费</w:t>
            </w:r>
          </w:p>
        </w:tc>
        <w:tc>
          <w:tcPr>
            <w:tcW w:w="964" w:type="dxa"/>
            <w:vAlign w:val="center"/>
          </w:tcPr>
          <w:p>
            <w:pPr>
              <w:pStyle w:val="11"/>
            </w:pPr>
            <w:r>
              <w:t>160.00</w:t>
            </w:r>
          </w:p>
        </w:tc>
        <w:tc>
          <w:tcPr>
            <w:tcW w:w="1134" w:type="dxa"/>
            <w:vAlign w:val="center"/>
          </w:tcPr>
          <w:p>
            <w:pPr>
              <w:pStyle w:val="10"/>
            </w:pPr>
            <w:r>
              <w:t>其他专业技术服务</w:t>
            </w:r>
          </w:p>
        </w:tc>
        <w:tc>
          <w:tcPr>
            <w:tcW w:w="1134" w:type="dxa"/>
            <w:vAlign w:val="center"/>
          </w:tcPr>
          <w:p>
            <w:pPr>
              <w:pStyle w:val="10"/>
            </w:pPr>
            <w:r>
              <w:t>C19990000</w:t>
            </w:r>
          </w:p>
        </w:tc>
        <w:tc>
          <w:tcPr>
            <w:tcW w:w="709" w:type="dxa"/>
            <w:vAlign w:val="center"/>
          </w:tcPr>
          <w:p>
            <w:pPr>
              <w:pStyle w:val="9"/>
            </w:pPr>
            <w:r>
              <w:t>批次</w:t>
            </w:r>
          </w:p>
        </w:tc>
        <w:tc>
          <w:tcPr>
            <w:tcW w:w="850" w:type="dxa"/>
            <w:vAlign w:val="center"/>
          </w:tcPr>
          <w:p>
            <w:pPr>
              <w:pStyle w:val="11"/>
            </w:pPr>
            <w:r>
              <w:t>1200</w:t>
            </w:r>
          </w:p>
        </w:tc>
        <w:tc>
          <w:tcPr>
            <w:tcW w:w="850" w:type="dxa"/>
            <w:vAlign w:val="center"/>
          </w:tcPr>
          <w:p>
            <w:pPr>
              <w:pStyle w:val="11"/>
            </w:pPr>
            <w:r>
              <w:t>0.10</w:t>
            </w:r>
          </w:p>
        </w:tc>
        <w:tc>
          <w:tcPr>
            <w:tcW w:w="964" w:type="dxa"/>
            <w:vAlign w:val="center"/>
          </w:tcPr>
          <w:p>
            <w:pPr>
              <w:pStyle w:val="11"/>
            </w:pPr>
            <w:r>
              <w:t>120.00</w:t>
            </w:r>
          </w:p>
        </w:tc>
        <w:tc>
          <w:tcPr>
            <w:tcW w:w="964" w:type="dxa"/>
            <w:vAlign w:val="center"/>
          </w:tcPr>
          <w:p>
            <w:pPr>
              <w:pStyle w:val="11"/>
            </w:pPr>
            <w:r>
              <w:t>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唐山市开平区市场监督管理局本级上年末固定资产金额为1322.34万元（详见下表）。本年度拟购置固定资产总额为6.00万元，已按要求列入政府采购预算，详见政府采购预算表。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1322.34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9"/>
            </w:pPr>
            <w:r>
              <w:t>7280</w:t>
            </w:r>
          </w:p>
        </w:tc>
        <w:tc>
          <w:tcPr>
            <w:tcW w:w="2835" w:type="dxa"/>
            <w:vAlign w:val="center"/>
          </w:tcPr>
          <w:p>
            <w:pPr>
              <w:pStyle w:val="11"/>
            </w:pPr>
            <w:r>
              <w:t>586.89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　　其中：办公用房（平方米）</w:t>
            </w:r>
          </w:p>
        </w:tc>
        <w:tc>
          <w:tcPr>
            <w:tcW w:w="2835" w:type="dxa"/>
            <w:vAlign w:val="center"/>
          </w:tcPr>
          <w:p>
            <w:pPr>
              <w:pStyle w:val="9"/>
            </w:pPr>
            <w:r>
              <w:t>7280</w:t>
            </w:r>
          </w:p>
        </w:tc>
        <w:tc>
          <w:tcPr>
            <w:tcW w:w="2835" w:type="dxa"/>
            <w:vAlign w:val="center"/>
          </w:tcPr>
          <w:p>
            <w:pPr>
              <w:pStyle w:val="11"/>
            </w:pPr>
            <w:r>
              <w:t>586.89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2、车辆（台、辆）</w:t>
            </w:r>
          </w:p>
        </w:tc>
        <w:tc>
          <w:tcPr>
            <w:tcW w:w="2835" w:type="dxa"/>
            <w:vAlign w:val="center"/>
          </w:tcPr>
          <w:p>
            <w:pPr>
              <w:pStyle w:val="9"/>
            </w:pPr>
            <w:r>
              <w:t>15</w:t>
            </w:r>
          </w:p>
        </w:tc>
        <w:tc>
          <w:tcPr>
            <w:tcW w:w="2835" w:type="dxa"/>
            <w:vAlign w:val="center"/>
          </w:tcPr>
          <w:p>
            <w:pPr>
              <w:pStyle w:val="11"/>
            </w:pPr>
            <w:r>
              <w:t>182.21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553.24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2613B"/>
    <w:rsid w:val="0A8D4B25"/>
    <w:rsid w:val="2782613B"/>
    <w:rsid w:val="5FAC06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2023-09-03T02:02:00Z</dcterms:created>
  <dc:creator>Administrator</dc:creator>
  <cp:lastModifiedBy>Administrator</cp:lastModifiedBy>
  <dcterms:modified xsi:type="dcterms:W3CDTF">2023-09-03T02:23:32Z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BA983C965E254BA1ACE9DC8D0DABBF33</vt:lpwstr>
  </property>
</Properties>
</file>