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2</w:t>
      </w:r>
      <w:bookmarkStart w:id="1" w:name="_GoBack"/>
      <w:bookmarkEnd w:id="1"/>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26</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26</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26</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27</w:t>
      </w:r>
      <w:r>
        <w:fldChar w:fldCharType="end"/>
      </w:r>
      <w:r>
        <w:fldChar w:fldCharType="end"/>
      </w:r>
    </w:p>
    <w:p>
      <w:pPr>
        <w:spacing w:before="0" w:after="0" w:line="240" w:lineRule="auto"/>
        <w:ind w:firstLine="0"/>
        <w:jc w:val="both"/>
        <w:outlineLvl w:val="0"/>
        <w:sectPr>
          <w:pgSz w:w="16840" w:h="11900" w:orient="landscape"/>
          <w:pgMar w:top="1361" w:right="1020" w:bottom="1134" w:left="1020" w:header="720" w:footer="720" w:gutter="0"/>
          <w:cols w:space="720" w:num="1"/>
        </w:sectPr>
      </w:pPr>
      <w:r>
        <w:fldChar w:fldCharType="end"/>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一、唐山市开平区市场监督管理局本级收支预算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414001唐山市开平区市场监督管理局本级</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2297.83</w:t>
            </w:r>
          </w:p>
        </w:tc>
        <w:tc>
          <w:tcPr>
            <w:tcW w:w="4535" w:type="dxa"/>
            <w:vAlign w:val="center"/>
          </w:tcPr>
          <w:p>
            <w:pPr>
              <w:pStyle w:val="10"/>
            </w:pPr>
            <w:r>
              <w:t>一、一般公共服务支出</w:t>
            </w:r>
          </w:p>
        </w:tc>
        <w:tc>
          <w:tcPr>
            <w:tcW w:w="2126" w:type="dxa"/>
            <w:vAlign w:val="center"/>
          </w:tcPr>
          <w:p>
            <w:pPr>
              <w:pStyle w:val="11"/>
            </w:pPr>
            <w:r>
              <w:t>1881.11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71.34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188.49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114.89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2"/>
            </w:pPr>
            <w:r>
              <w:t>本年收入合计</w:t>
            </w:r>
          </w:p>
        </w:tc>
        <w:tc>
          <w:tcPr>
            <w:tcW w:w="2126" w:type="dxa"/>
            <w:vAlign w:val="center"/>
          </w:tcPr>
          <w:p>
            <w:pPr>
              <w:pStyle w:val="13"/>
            </w:pPr>
            <w:r>
              <w:t>2297.83</w:t>
            </w:r>
          </w:p>
        </w:tc>
        <w:tc>
          <w:tcPr>
            <w:tcW w:w="4535" w:type="dxa"/>
            <w:vAlign w:val="center"/>
          </w:tcPr>
          <w:p>
            <w:pPr>
              <w:pStyle w:val="12"/>
            </w:pPr>
            <w:r>
              <w:t>本年支出合计</w:t>
            </w:r>
          </w:p>
        </w:tc>
        <w:tc>
          <w:tcPr>
            <w:tcW w:w="2126" w:type="dxa"/>
            <w:vAlign w:val="center"/>
          </w:tcPr>
          <w:p>
            <w:pPr>
              <w:pStyle w:val="13"/>
            </w:pPr>
            <w:r>
              <w:t>2297.83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2"/>
            </w:pPr>
            <w:r>
              <w:t>收入总计</w:t>
            </w:r>
          </w:p>
        </w:tc>
        <w:tc>
          <w:tcPr>
            <w:tcW w:w="2126" w:type="dxa"/>
            <w:vAlign w:val="center"/>
          </w:tcPr>
          <w:p>
            <w:pPr>
              <w:pStyle w:val="13"/>
            </w:pPr>
            <w:r>
              <w:t>2297.83</w:t>
            </w:r>
          </w:p>
        </w:tc>
        <w:tc>
          <w:tcPr>
            <w:tcW w:w="4535" w:type="dxa"/>
            <w:vAlign w:val="center"/>
          </w:tcPr>
          <w:p>
            <w:pPr>
              <w:pStyle w:val="12"/>
            </w:pPr>
            <w:r>
              <w:t>支出总计</w:t>
            </w:r>
          </w:p>
        </w:tc>
        <w:tc>
          <w:tcPr>
            <w:tcW w:w="2126" w:type="dxa"/>
            <w:vAlign w:val="center"/>
          </w:tcPr>
          <w:p>
            <w:pPr>
              <w:pStyle w:val="13"/>
            </w:pPr>
            <w:r>
              <w:t>2297.83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414001唐山市开平区市场监督管理局本级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2297.83</w:t>
            </w:r>
          </w:p>
        </w:tc>
        <w:tc>
          <w:tcPr>
            <w:tcW w:w="1134" w:type="dxa"/>
            <w:vAlign w:val="center"/>
          </w:tcPr>
          <w:p>
            <w:pPr>
              <w:pStyle w:val="13"/>
            </w:pPr>
            <w:r>
              <w:t>2297.83</w:t>
            </w:r>
          </w:p>
        </w:tc>
        <w:tc>
          <w:tcPr>
            <w:tcW w:w="1134" w:type="dxa"/>
            <w:vAlign w:val="center"/>
          </w:tcPr>
          <w:p>
            <w:pPr>
              <w:pStyle w:val="13"/>
            </w:pPr>
            <w:r>
              <w:t>2297.83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11"/>
            </w:pPr>
            <w:r>
              <w:t>1881.11</w:t>
            </w:r>
          </w:p>
        </w:tc>
        <w:tc>
          <w:tcPr>
            <w:tcW w:w="1134" w:type="dxa"/>
            <w:vAlign w:val="center"/>
          </w:tcPr>
          <w:p>
            <w:pPr>
              <w:pStyle w:val="11"/>
            </w:pPr>
            <w:r>
              <w:t>1881.11</w:t>
            </w:r>
          </w:p>
        </w:tc>
        <w:tc>
          <w:tcPr>
            <w:tcW w:w="1134" w:type="dxa"/>
            <w:vAlign w:val="center"/>
          </w:tcPr>
          <w:p>
            <w:pPr>
              <w:pStyle w:val="11"/>
            </w:pPr>
            <w:r>
              <w:t>1881.11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20138</w:t>
            </w:r>
          </w:p>
        </w:tc>
        <w:tc>
          <w:tcPr>
            <w:tcW w:w="1559" w:type="dxa"/>
            <w:vAlign w:val="center"/>
          </w:tcPr>
          <w:p>
            <w:pPr>
              <w:pStyle w:val="10"/>
            </w:pPr>
            <w:r>
              <w:t>市场监督管理事务</w:t>
            </w:r>
          </w:p>
        </w:tc>
        <w:tc>
          <w:tcPr>
            <w:tcW w:w="1134" w:type="dxa"/>
            <w:vAlign w:val="center"/>
          </w:tcPr>
          <w:p>
            <w:pPr>
              <w:pStyle w:val="11"/>
            </w:pPr>
            <w:r>
              <w:t>1881.11</w:t>
            </w:r>
          </w:p>
        </w:tc>
        <w:tc>
          <w:tcPr>
            <w:tcW w:w="1134" w:type="dxa"/>
            <w:vAlign w:val="center"/>
          </w:tcPr>
          <w:p>
            <w:pPr>
              <w:pStyle w:val="11"/>
            </w:pPr>
            <w:r>
              <w:t>1881.11</w:t>
            </w:r>
          </w:p>
        </w:tc>
        <w:tc>
          <w:tcPr>
            <w:tcW w:w="1134" w:type="dxa"/>
            <w:vAlign w:val="center"/>
          </w:tcPr>
          <w:p>
            <w:pPr>
              <w:pStyle w:val="11"/>
            </w:pPr>
            <w:r>
              <w:t>1881.11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2013801</w:t>
            </w:r>
          </w:p>
        </w:tc>
        <w:tc>
          <w:tcPr>
            <w:tcW w:w="1559" w:type="dxa"/>
            <w:vAlign w:val="center"/>
          </w:tcPr>
          <w:p>
            <w:pPr>
              <w:pStyle w:val="10"/>
            </w:pPr>
            <w:r>
              <w:t>行政运行</w:t>
            </w:r>
          </w:p>
        </w:tc>
        <w:tc>
          <w:tcPr>
            <w:tcW w:w="1134" w:type="dxa"/>
            <w:vAlign w:val="center"/>
          </w:tcPr>
          <w:p>
            <w:pPr>
              <w:pStyle w:val="11"/>
            </w:pPr>
            <w:r>
              <w:t>1645.22</w:t>
            </w:r>
          </w:p>
        </w:tc>
        <w:tc>
          <w:tcPr>
            <w:tcW w:w="1134" w:type="dxa"/>
            <w:vAlign w:val="center"/>
          </w:tcPr>
          <w:p>
            <w:pPr>
              <w:pStyle w:val="11"/>
            </w:pPr>
            <w:r>
              <w:t>1645.22</w:t>
            </w:r>
          </w:p>
        </w:tc>
        <w:tc>
          <w:tcPr>
            <w:tcW w:w="1134" w:type="dxa"/>
            <w:vAlign w:val="center"/>
          </w:tcPr>
          <w:p>
            <w:pPr>
              <w:pStyle w:val="11"/>
            </w:pPr>
            <w:r>
              <w:t>1645.22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2013802</w:t>
            </w:r>
          </w:p>
        </w:tc>
        <w:tc>
          <w:tcPr>
            <w:tcW w:w="1559" w:type="dxa"/>
            <w:vAlign w:val="center"/>
          </w:tcPr>
          <w:p>
            <w:pPr>
              <w:pStyle w:val="10"/>
            </w:pPr>
            <w:r>
              <w:t>一般行政管理事务</w:t>
            </w:r>
          </w:p>
        </w:tc>
        <w:tc>
          <w:tcPr>
            <w:tcW w:w="1134" w:type="dxa"/>
            <w:vAlign w:val="center"/>
          </w:tcPr>
          <w:p>
            <w:pPr>
              <w:pStyle w:val="11"/>
            </w:pPr>
            <w:r>
              <w:t>37.00</w:t>
            </w:r>
          </w:p>
        </w:tc>
        <w:tc>
          <w:tcPr>
            <w:tcW w:w="1134" w:type="dxa"/>
            <w:vAlign w:val="center"/>
          </w:tcPr>
          <w:p>
            <w:pPr>
              <w:pStyle w:val="11"/>
            </w:pPr>
            <w:r>
              <w:t>37.00</w:t>
            </w:r>
          </w:p>
        </w:tc>
        <w:tc>
          <w:tcPr>
            <w:tcW w:w="1134" w:type="dxa"/>
            <w:vAlign w:val="center"/>
          </w:tcPr>
          <w:p>
            <w:pPr>
              <w:pStyle w:val="11"/>
            </w:pPr>
            <w:r>
              <w:t>37.00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2013804</w:t>
            </w:r>
          </w:p>
        </w:tc>
        <w:tc>
          <w:tcPr>
            <w:tcW w:w="1559" w:type="dxa"/>
            <w:vAlign w:val="center"/>
          </w:tcPr>
          <w:p>
            <w:pPr>
              <w:pStyle w:val="10"/>
            </w:pPr>
            <w:r>
              <w:t>市场主体管理</w:t>
            </w:r>
          </w:p>
        </w:tc>
        <w:tc>
          <w:tcPr>
            <w:tcW w:w="1134" w:type="dxa"/>
            <w:vAlign w:val="center"/>
          </w:tcPr>
          <w:p>
            <w:pPr>
              <w:pStyle w:val="11"/>
            </w:pPr>
            <w:r>
              <w:t>18.65</w:t>
            </w:r>
          </w:p>
        </w:tc>
        <w:tc>
          <w:tcPr>
            <w:tcW w:w="1134" w:type="dxa"/>
            <w:vAlign w:val="center"/>
          </w:tcPr>
          <w:p>
            <w:pPr>
              <w:pStyle w:val="11"/>
            </w:pPr>
            <w:r>
              <w:t>18.65</w:t>
            </w:r>
          </w:p>
        </w:tc>
        <w:tc>
          <w:tcPr>
            <w:tcW w:w="1134" w:type="dxa"/>
            <w:vAlign w:val="center"/>
          </w:tcPr>
          <w:p>
            <w:pPr>
              <w:pStyle w:val="11"/>
            </w:pPr>
            <w:r>
              <w:t>18.65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2013805</w:t>
            </w:r>
          </w:p>
        </w:tc>
        <w:tc>
          <w:tcPr>
            <w:tcW w:w="1559" w:type="dxa"/>
            <w:vAlign w:val="center"/>
          </w:tcPr>
          <w:p>
            <w:pPr>
              <w:pStyle w:val="10"/>
            </w:pPr>
            <w:r>
              <w:t>市场秩序执法</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2013815</w:t>
            </w:r>
          </w:p>
        </w:tc>
        <w:tc>
          <w:tcPr>
            <w:tcW w:w="1559" w:type="dxa"/>
            <w:vAlign w:val="center"/>
          </w:tcPr>
          <w:p>
            <w:pPr>
              <w:pStyle w:val="10"/>
            </w:pPr>
            <w:r>
              <w:t>质量安全监管</w:t>
            </w:r>
          </w:p>
        </w:tc>
        <w:tc>
          <w:tcPr>
            <w:tcW w:w="1134" w:type="dxa"/>
            <w:vAlign w:val="center"/>
          </w:tcPr>
          <w:p>
            <w:pPr>
              <w:pStyle w:val="11"/>
            </w:pPr>
            <w:r>
              <w:t>23.00</w:t>
            </w:r>
          </w:p>
        </w:tc>
        <w:tc>
          <w:tcPr>
            <w:tcW w:w="1134" w:type="dxa"/>
            <w:vAlign w:val="center"/>
          </w:tcPr>
          <w:p>
            <w:pPr>
              <w:pStyle w:val="11"/>
            </w:pPr>
            <w:r>
              <w:t>23.00</w:t>
            </w:r>
          </w:p>
        </w:tc>
        <w:tc>
          <w:tcPr>
            <w:tcW w:w="1134" w:type="dxa"/>
            <w:vAlign w:val="center"/>
          </w:tcPr>
          <w:p>
            <w:pPr>
              <w:pStyle w:val="11"/>
            </w:pPr>
            <w:r>
              <w:t>23.00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2013816</w:t>
            </w:r>
          </w:p>
        </w:tc>
        <w:tc>
          <w:tcPr>
            <w:tcW w:w="1559" w:type="dxa"/>
            <w:vAlign w:val="center"/>
          </w:tcPr>
          <w:p>
            <w:pPr>
              <w:pStyle w:val="10"/>
            </w:pPr>
            <w:r>
              <w:t>食品安全监管</w:t>
            </w:r>
          </w:p>
        </w:tc>
        <w:tc>
          <w:tcPr>
            <w:tcW w:w="1134" w:type="dxa"/>
            <w:vAlign w:val="center"/>
          </w:tcPr>
          <w:p>
            <w:pPr>
              <w:pStyle w:val="11"/>
            </w:pPr>
            <w:r>
              <w:t>140.24</w:t>
            </w:r>
          </w:p>
        </w:tc>
        <w:tc>
          <w:tcPr>
            <w:tcW w:w="1134" w:type="dxa"/>
            <w:vAlign w:val="center"/>
          </w:tcPr>
          <w:p>
            <w:pPr>
              <w:pStyle w:val="11"/>
            </w:pPr>
            <w:r>
              <w:t>140.24</w:t>
            </w:r>
          </w:p>
        </w:tc>
        <w:tc>
          <w:tcPr>
            <w:tcW w:w="1134" w:type="dxa"/>
            <w:vAlign w:val="center"/>
          </w:tcPr>
          <w:p>
            <w:pPr>
              <w:pStyle w:val="11"/>
            </w:pPr>
            <w:r>
              <w:t>140.24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2013899</w:t>
            </w:r>
          </w:p>
        </w:tc>
        <w:tc>
          <w:tcPr>
            <w:tcW w:w="1559" w:type="dxa"/>
            <w:vAlign w:val="center"/>
          </w:tcPr>
          <w:p>
            <w:pPr>
              <w:pStyle w:val="10"/>
            </w:pPr>
            <w:r>
              <w:t>其他市场监督管理事务</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206</w:t>
            </w:r>
          </w:p>
        </w:tc>
        <w:tc>
          <w:tcPr>
            <w:tcW w:w="1559" w:type="dxa"/>
            <w:vAlign w:val="center"/>
          </w:tcPr>
          <w:p>
            <w:pPr>
              <w:pStyle w:val="10"/>
            </w:pPr>
            <w:r>
              <w:t>科学技术支出</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20604</w:t>
            </w:r>
          </w:p>
        </w:tc>
        <w:tc>
          <w:tcPr>
            <w:tcW w:w="1559" w:type="dxa"/>
            <w:vAlign w:val="center"/>
          </w:tcPr>
          <w:p>
            <w:pPr>
              <w:pStyle w:val="10"/>
            </w:pPr>
            <w:r>
              <w:t>技术研究与开发</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2060404</w:t>
            </w:r>
          </w:p>
        </w:tc>
        <w:tc>
          <w:tcPr>
            <w:tcW w:w="1559" w:type="dxa"/>
            <w:vAlign w:val="center"/>
          </w:tcPr>
          <w:p>
            <w:pPr>
              <w:pStyle w:val="10"/>
            </w:pPr>
            <w:r>
              <w:t>科技成果转化与扩散</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71.34</w:t>
            </w:r>
          </w:p>
        </w:tc>
        <w:tc>
          <w:tcPr>
            <w:tcW w:w="1134" w:type="dxa"/>
            <w:vAlign w:val="center"/>
          </w:tcPr>
          <w:p>
            <w:pPr>
              <w:pStyle w:val="11"/>
            </w:pPr>
            <w:r>
              <w:t>71.34</w:t>
            </w:r>
          </w:p>
        </w:tc>
        <w:tc>
          <w:tcPr>
            <w:tcW w:w="1134" w:type="dxa"/>
            <w:vAlign w:val="center"/>
          </w:tcPr>
          <w:p>
            <w:pPr>
              <w:pStyle w:val="11"/>
            </w:pPr>
            <w:r>
              <w:t>71.34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71.34</w:t>
            </w:r>
          </w:p>
        </w:tc>
        <w:tc>
          <w:tcPr>
            <w:tcW w:w="1134" w:type="dxa"/>
            <w:vAlign w:val="center"/>
          </w:tcPr>
          <w:p>
            <w:pPr>
              <w:pStyle w:val="11"/>
            </w:pPr>
            <w:r>
              <w:t>71.34</w:t>
            </w:r>
          </w:p>
        </w:tc>
        <w:tc>
          <w:tcPr>
            <w:tcW w:w="1134" w:type="dxa"/>
            <w:vAlign w:val="center"/>
          </w:tcPr>
          <w:p>
            <w:pPr>
              <w:pStyle w:val="11"/>
            </w:pPr>
            <w:r>
              <w:t>71.34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11"/>
            </w:pPr>
            <w:r>
              <w:t>71.34</w:t>
            </w:r>
          </w:p>
        </w:tc>
        <w:tc>
          <w:tcPr>
            <w:tcW w:w="1134" w:type="dxa"/>
            <w:vAlign w:val="center"/>
          </w:tcPr>
          <w:p>
            <w:pPr>
              <w:pStyle w:val="11"/>
            </w:pPr>
            <w:r>
              <w:t>71.34</w:t>
            </w:r>
          </w:p>
        </w:tc>
        <w:tc>
          <w:tcPr>
            <w:tcW w:w="1134" w:type="dxa"/>
            <w:vAlign w:val="center"/>
          </w:tcPr>
          <w:p>
            <w:pPr>
              <w:pStyle w:val="11"/>
            </w:pPr>
            <w:r>
              <w:t>71.34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188.49</w:t>
            </w:r>
          </w:p>
        </w:tc>
        <w:tc>
          <w:tcPr>
            <w:tcW w:w="1134" w:type="dxa"/>
            <w:vAlign w:val="center"/>
          </w:tcPr>
          <w:p>
            <w:pPr>
              <w:pStyle w:val="11"/>
            </w:pPr>
            <w:r>
              <w:t>188.49</w:t>
            </w:r>
          </w:p>
        </w:tc>
        <w:tc>
          <w:tcPr>
            <w:tcW w:w="1134" w:type="dxa"/>
            <w:vAlign w:val="center"/>
          </w:tcPr>
          <w:p>
            <w:pPr>
              <w:pStyle w:val="11"/>
            </w:pPr>
            <w:r>
              <w:t>188.49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188.49</w:t>
            </w:r>
          </w:p>
        </w:tc>
        <w:tc>
          <w:tcPr>
            <w:tcW w:w="1134" w:type="dxa"/>
            <w:vAlign w:val="center"/>
          </w:tcPr>
          <w:p>
            <w:pPr>
              <w:pStyle w:val="11"/>
            </w:pPr>
            <w:r>
              <w:t>188.49</w:t>
            </w:r>
          </w:p>
        </w:tc>
        <w:tc>
          <w:tcPr>
            <w:tcW w:w="1134" w:type="dxa"/>
            <w:vAlign w:val="center"/>
          </w:tcPr>
          <w:p>
            <w:pPr>
              <w:pStyle w:val="11"/>
            </w:pPr>
            <w:r>
              <w:t>188.49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11"/>
            </w:pPr>
            <w:r>
              <w:t>188.49</w:t>
            </w:r>
          </w:p>
        </w:tc>
        <w:tc>
          <w:tcPr>
            <w:tcW w:w="1134" w:type="dxa"/>
            <w:vAlign w:val="center"/>
          </w:tcPr>
          <w:p>
            <w:pPr>
              <w:pStyle w:val="11"/>
            </w:pPr>
            <w:r>
              <w:t>188.49</w:t>
            </w:r>
          </w:p>
        </w:tc>
        <w:tc>
          <w:tcPr>
            <w:tcW w:w="1134" w:type="dxa"/>
            <w:vAlign w:val="center"/>
          </w:tcPr>
          <w:p>
            <w:pPr>
              <w:pStyle w:val="11"/>
            </w:pPr>
            <w:r>
              <w:t>188.49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992" w:type="dxa"/>
            <w:vAlign w:val="center"/>
          </w:tcPr>
          <w:p>
            <w:pPr>
              <w:pStyle w:val="10"/>
            </w:pPr>
            <w:r>
              <w:t>216</w:t>
            </w:r>
          </w:p>
        </w:tc>
        <w:tc>
          <w:tcPr>
            <w:tcW w:w="1559" w:type="dxa"/>
            <w:vAlign w:val="center"/>
          </w:tcPr>
          <w:p>
            <w:pPr>
              <w:pStyle w:val="10"/>
            </w:pPr>
            <w:r>
              <w:t>商业服务业等支出</w:t>
            </w:r>
          </w:p>
        </w:tc>
        <w:tc>
          <w:tcPr>
            <w:tcW w:w="1134" w:type="dxa"/>
            <w:vAlign w:val="center"/>
          </w:tcPr>
          <w:p>
            <w:pPr>
              <w:pStyle w:val="11"/>
            </w:pPr>
            <w:r>
              <w:t>12.00</w:t>
            </w:r>
          </w:p>
        </w:tc>
        <w:tc>
          <w:tcPr>
            <w:tcW w:w="1134" w:type="dxa"/>
            <w:vAlign w:val="center"/>
          </w:tcPr>
          <w:p>
            <w:pPr>
              <w:pStyle w:val="11"/>
            </w:pPr>
            <w:r>
              <w:t>12.00</w:t>
            </w:r>
          </w:p>
        </w:tc>
        <w:tc>
          <w:tcPr>
            <w:tcW w:w="1134" w:type="dxa"/>
            <w:vAlign w:val="center"/>
          </w:tcPr>
          <w:p>
            <w:pPr>
              <w:pStyle w:val="11"/>
            </w:pPr>
            <w:r>
              <w:t>12.00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21</w:t>
            </w:r>
          </w:p>
        </w:tc>
        <w:tc>
          <w:tcPr>
            <w:tcW w:w="992" w:type="dxa"/>
            <w:vAlign w:val="center"/>
          </w:tcPr>
          <w:p>
            <w:pPr>
              <w:pStyle w:val="10"/>
            </w:pPr>
            <w:r>
              <w:t>21602</w:t>
            </w:r>
          </w:p>
        </w:tc>
        <w:tc>
          <w:tcPr>
            <w:tcW w:w="1559" w:type="dxa"/>
            <w:vAlign w:val="center"/>
          </w:tcPr>
          <w:p>
            <w:pPr>
              <w:pStyle w:val="10"/>
            </w:pPr>
            <w:r>
              <w:t>商业流通事务</w:t>
            </w:r>
          </w:p>
        </w:tc>
        <w:tc>
          <w:tcPr>
            <w:tcW w:w="1134" w:type="dxa"/>
            <w:vAlign w:val="center"/>
          </w:tcPr>
          <w:p>
            <w:pPr>
              <w:pStyle w:val="11"/>
            </w:pPr>
            <w:r>
              <w:t>12.00</w:t>
            </w:r>
          </w:p>
        </w:tc>
        <w:tc>
          <w:tcPr>
            <w:tcW w:w="1134" w:type="dxa"/>
            <w:vAlign w:val="center"/>
          </w:tcPr>
          <w:p>
            <w:pPr>
              <w:pStyle w:val="11"/>
            </w:pPr>
            <w:r>
              <w:t>12.00</w:t>
            </w:r>
          </w:p>
        </w:tc>
        <w:tc>
          <w:tcPr>
            <w:tcW w:w="1134" w:type="dxa"/>
            <w:vAlign w:val="center"/>
          </w:tcPr>
          <w:p>
            <w:pPr>
              <w:pStyle w:val="11"/>
            </w:pPr>
            <w:r>
              <w:t>12.00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22</w:t>
            </w:r>
          </w:p>
        </w:tc>
        <w:tc>
          <w:tcPr>
            <w:tcW w:w="992" w:type="dxa"/>
            <w:vAlign w:val="center"/>
          </w:tcPr>
          <w:p>
            <w:pPr>
              <w:pStyle w:val="10"/>
            </w:pPr>
            <w:r>
              <w:t>2160216</w:t>
            </w:r>
          </w:p>
        </w:tc>
        <w:tc>
          <w:tcPr>
            <w:tcW w:w="1559" w:type="dxa"/>
            <w:vAlign w:val="center"/>
          </w:tcPr>
          <w:p>
            <w:pPr>
              <w:pStyle w:val="10"/>
            </w:pPr>
            <w:r>
              <w:t>食品流通安全补贴</w:t>
            </w:r>
          </w:p>
        </w:tc>
        <w:tc>
          <w:tcPr>
            <w:tcW w:w="1134" w:type="dxa"/>
            <w:vAlign w:val="center"/>
          </w:tcPr>
          <w:p>
            <w:pPr>
              <w:pStyle w:val="11"/>
            </w:pPr>
            <w:r>
              <w:t>12.00</w:t>
            </w:r>
          </w:p>
        </w:tc>
        <w:tc>
          <w:tcPr>
            <w:tcW w:w="1134" w:type="dxa"/>
            <w:vAlign w:val="center"/>
          </w:tcPr>
          <w:p>
            <w:pPr>
              <w:pStyle w:val="11"/>
            </w:pPr>
            <w:r>
              <w:t>12.00</w:t>
            </w:r>
          </w:p>
        </w:tc>
        <w:tc>
          <w:tcPr>
            <w:tcW w:w="1134" w:type="dxa"/>
            <w:vAlign w:val="center"/>
          </w:tcPr>
          <w:p>
            <w:pPr>
              <w:pStyle w:val="11"/>
            </w:pPr>
            <w:r>
              <w:t>12.00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23</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114.89</w:t>
            </w:r>
          </w:p>
        </w:tc>
        <w:tc>
          <w:tcPr>
            <w:tcW w:w="1134" w:type="dxa"/>
            <w:vAlign w:val="center"/>
          </w:tcPr>
          <w:p>
            <w:pPr>
              <w:pStyle w:val="11"/>
            </w:pPr>
            <w:r>
              <w:t>114.89</w:t>
            </w:r>
          </w:p>
        </w:tc>
        <w:tc>
          <w:tcPr>
            <w:tcW w:w="1134" w:type="dxa"/>
            <w:vAlign w:val="center"/>
          </w:tcPr>
          <w:p>
            <w:pPr>
              <w:pStyle w:val="11"/>
            </w:pPr>
            <w:r>
              <w:t>114.89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24</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114.89</w:t>
            </w:r>
          </w:p>
        </w:tc>
        <w:tc>
          <w:tcPr>
            <w:tcW w:w="1134" w:type="dxa"/>
            <w:vAlign w:val="center"/>
          </w:tcPr>
          <w:p>
            <w:pPr>
              <w:pStyle w:val="11"/>
            </w:pPr>
            <w:r>
              <w:t>114.89</w:t>
            </w:r>
          </w:p>
        </w:tc>
        <w:tc>
          <w:tcPr>
            <w:tcW w:w="1134" w:type="dxa"/>
            <w:vAlign w:val="center"/>
          </w:tcPr>
          <w:p>
            <w:pPr>
              <w:pStyle w:val="11"/>
            </w:pPr>
            <w:r>
              <w:t>114.89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25</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114.89</w:t>
            </w:r>
          </w:p>
        </w:tc>
        <w:tc>
          <w:tcPr>
            <w:tcW w:w="1134" w:type="dxa"/>
            <w:vAlign w:val="center"/>
          </w:tcPr>
          <w:p>
            <w:pPr>
              <w:pStyle w:val="11"/>
            </w:pPr>
            <w:r>
              <w:t>114.89</w:t>
            </w:r>
          </w:p>
        </w:tc>
        <w:tc>
          <w:tcPr>
            <w:tcW w:w="1134" w:type="dxa"/>
            <w:vAlign w:val="center"/>
          </w:tcPr>
          <w:p>
            <w:pPr>
              <w:pStyle w:val="11"/>
            </w:pPr>
            <w:r>
              <w:t>114.89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414001唐山市开平区市场监督管理局本级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2297.83</w:t>
            </w:r>
          </w:p>
        </w:tc>
        <w:tc>
          <w:tcPr>
            <w:tcW w:w="1361" w:type="dxa"/>
            <w:vAlign w:val="center"/>
          </w:tcPr>
          <w:p>
            <w:pPr>
              <w:pStyle w:val="13"/>
            </w:pPr>
            <w:r>
              <w:t>2019.94</w:t>
            </w:r>
          </w:p>
        </w:tc>
        <w:tc>
          <w:tcPr>
            <w:tcW w:w="1361" w:type="dxa"/>
            <w:vAlign w:val="center"/>
          </w:tcPr>
          <w:p>
            <w:pPr>
              <w:pStyle w:val="13"/>
            </w:pPr>
            <w:r>
              <w:t>277.89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11"/>
            </w:pPr>
            <w:r>
              <w:t>1881.11</w:t>
            </w:r>
          </w:p>
        </w:tc>
        <w:tc>
          <w:tcPr>
            <w:tcW w:w="1361" w:type="dxa"/>
            <w:vAlign w:val="center"/>
          </w:tcPr>
          <w:p>
            <w:pPr>
              <w:pStyle w:val="11"/>
            </w:pPr>
            <w:r>
              <w:t>1645.22</w:t>
            </w:r>
          </w:p>
        </w:tc>
        <w:tc>
          <w:tcPr>
            <w:tcW w:w="1361" w:type="dxa"/>
            <w:vAlign w:val="center"/>
          </w:tcPr>
          <w:p>
            <w:pPr>
              <w:pStyle w:val="11"/>
            </w:pPr>
            <w:r>
              <w:t>235.89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20138</w:t>
            </w:r>
          </w:p>
        </w:tc>
        <w:tc>
          <w:tcPr>
            <w:tcW w:w="4535" w:type="dxa"/>
            <w:vAlign w:val="center"/>
          </w:tcPr>
          <w:p>
            <w:pPr>
              <w:pStyle w:val="10"/>
            </w:pPr>
            <w:r>
              <w:t>市场监督管理事务</w:t>
            </w:r>
          </w:p>
        </w:tc>
        <w:tc>
          <w:tcPr>
            <w:tcW w:w="1361" w:type="dxa"/>
            <w:vAlign w:val="center"/>
          </w:tcPr>
          <w:p>
            <w:pPr>
              <w:pStyle w:val="11"/>
            </w:pPr>
            <w:r>
              <w:t>1881.11</w:t>
            </w:r>
          </w:p>
        </w:tc>
        <w:tc>
          <w:tcPr>
            <w:tcW w:w="1361" w:type="dxa"/>
            <w:vAlign w:val="center"/>
          </w:tcPr>
          <w:p>
            <w:pPr>
              <w:pStyle w:val="11"/>
            </w:pPr>
            <w:r>
              <w:t>1645.22</w:t>
            </w:r>
          </w:p>
        </w:tc>
        <w:tc>
          <w:tcPr>
            <w:tcW w:w="1361" w:type="dxa"/>
            <w:vAlign w:val="center"/>
          </w:tcPr>
          <w:p>
            <w:pPr>
              <w:pStyle w:val="11"/>
            </w:pPr>
            <w:r>
              <w:t>235.89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2013801</w:t>
            </w:r>
          </w:p>
        </w:tc>
        <w:tc>
          <w:tcPr>
            <w:tcW w:w="4535" w:type="dxa"/>
            <w:vAlign w:val="center"/>
          </w:tcPr>
          <w:p>
            <w:pPr>
              <w:pStyle w:val="10"/>
            </w:pPr>
            <w:r>
              <w:t>行政运行</w:t>
            </w:r>
          </w:p>
        </w:tc>
        <w:tc>
          <w:tcPr>
            <w:tcW w:w="1361" w:type="dxa"/>
            <w:vAlign w:val="center"/>
          </w:tcPr>
          <w:p>
            <w:pPr>
              <w:pStyle w:val="11"/>
            </w:pPr>
            <w:r>
              <w:t>1645.22</w:t>
            </w:r>
          </w:p>
        </w:tc>
        <w:tc>
          <w:tcPr>
            <w:tcW w:w="1361" w:type="dxa"/>
            <w:vAlign w:val="center"/>
          </w:tcPr>
          <w:p>
            <w:pPr>
              <w:pStyle w:val="11"/>
            </w:pPr>
            <w:r>
              <w:t>1645.22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2013802</w:t>
            </w:r>
          </w:p>
        </w:tc>
        <w:tc>
          <w:tcPr>
            <w:tcW w:w="4535" w:type="dxa"/>
            <w:vAlign w:val="center"/>
          </w:tcPr>
          <w:p>
            <w:pPr>
              <w:pStyle w:val="10"/>
            </w:pPr>
            <w:r>
              <w:t>一般行政管理事务</w:t>
            </w:r>
          </w:p>
        </w:tc>
        <w:tc>
          <w:tcPr>
            <w:tcW w:w="1361" w:type="dxa"/>
            <w:vAlign w:val="center"/>
          </w:tcPr>
          <w:p>
            <w:pPr>
              <w:pStyle w:val="11"/>
            </w:pPr>
            <w:r>
              <w:t>37.00</w:t>
            </w:r>
          </w:p>
        </w:tc>
        <w:tc>
          <w:tcPr>
            <w:tcW w:w="1361" w:type="dxa"/>
            <w:vAlign w:val="center"/>
          </w:tcPr>
          <w:p>
            <w:pPr>
              <w:pStyle w:val="11"/>
            </w:pPr>
          </w:p>
        </w:tc>
        <w:tc>
          <w:tcPr>
            <w:tcW w:w="1361" w:type="dxa"/>
            <w:vAlign w:val="center"/>
          </w:tcPr>
          <w:p>
            <w:pPr>
              <w:pStyle w:val="11"/>
            </w:pPr>
            <w:r>
              <w:t>37.00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2013804</w:t>
            </w:r>
          </w:p>
        </w:tc>
        <w:tc>
          <w:tcPr>
            <w:tcW w:w="4535" w:type="dxa"/>
            <w:vAlign w:val="center"/>
          </w:tcPr>
          <w:p>
            <w:pPr>
              <w:pStyle w:val="10"/>
            </w:pPr>
            <w:r>
              <w:t>市场主体管理</w:t>
            </w:r>
          </w:p>
        </w:tc>
        <w:tc>
          <w:tcPr>
            <w:tcW w:w="1361" w:type="dxa"/>
            <w:vAlign w:val="center"/>
          </w:tcPr>
          <w:p>
            <w:pPr>
              <w:pStyle w:val="11"/>
            </w:pPr>
            <w:r>
              <w:t>18.65</w:t>
            </w:r>
          </w:p>
        </w:tc>
        <w:tc>
          <w:tcPr>
            <w:tcW w:w="1361" w:type="dxa"/>
            <w:vAlign w:val="center"/>
          </w:tcPr>
          <w:p>
            <w:pPr>
              <w:pStyle w:val="11"/>
            </w:pPr>
          </w:p>
        </w:tc>
        <w:tc>
          <w:tcPr>
            <w:tcW w:w="1361" w:type="dxa"/>
            <w:vAlign w:val="center"/>
          </w:tcPr>
          <w:p>
            <w:pPr>
              <w:pStyle w:val="11"/>
            </w:pPr>
            <w:r>
              <w:t>18.65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2013805</w:t>
            </w:r>
          </w:p>
        </w:tc>
        <w:tc>
          <w:tcPr>
            <w:tcW w:w="4535" w:type="dxa"/>
            <w:vAlign w:val="center"/>
          </w:tcPr>
          <w:p>
            <w:pPr>
              <w:pStyle w:val="10"/>
            </w:pPr>
            <w:r>
              <w:t>市场秩序执法</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2013815</w:t>
            </w:r>
          </w:p>
        </w:tc>
        <w:tc>
          <w:tcPr>
            <w:tcW w:w="4535" w:type="dxa"/>
            <w:vAlign w:val="center"/>
          </w:tcPr>
          <w:p>
            <w:pPr>
              <w:pStyle w:val="10"/>
            </w:pPr>
            <w:r>
              <w:t>质量安全监管</w:t>
            </w:r>
          </w:p>
        </w:tc>
        <w:tc>
          <w:tcPr>
            <w:tcW w:w="1361" w:type="dxa"/>
            <w:vAlign w:val="center"/>
          </w:tcPr>
          <w:p>
            <w:pPr>
              <w:pStyle w:val="11"/>
            </w:pPr>
            <w:r>
              <w:t>23.00</w:t>
            </w:r>
          </w:p>
        </w:tc>
        <w:tc>
          <w:tcPr>
            <w:tcW w:w="1361" w:type="dxa"/>
            <w:vAlign w:val="center"/>
          </w:tcPr>
          <w:p>
            <w:pPr>
              <w:pStyle w:val="11"/>
            </w:pPr>
          </w:p>
        </w:tc>
        <w:tc>
          <w:tcPr>
            <w:tcW w:w="1361" w:type="dxa"/>
            <w:vAlign w:val="center"/>
          </w:tcPr>
          <w:p>
            <w:pPr>
              <w:pStyle w:val="11"/>
            </w:pPr>
            <w:r>
              <w:t>23.00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2013816</w:t>
            </w:r>
          </w:p>
        </w:tc>
        <w:tc>
          <w:tcPr>
            <w:tcW w:w="4535" w:type="dxa"/>
            <w:vAlign w:val="center"/>
          </w:tcPr>
          <w:p>
            <w:pPr>
              <w:pStyle w:val="10"/>
            </w:pPr>
            <w:r>
              <w:t>食品安全监管</w:t>
            </w:r>
          </w:p>
        </w:tc>
        <w:tc>
          <w:tcPr>
            <w:tcW w:w="1361" w:type="dxa"/>
            <w:vAlign w:val="center"/>
          </w:tcPr>
          <w:p>
            <w:pPr>
              <w:pStyle w:val="11"/>
            </w:pPr>
            <w:r>
              <w:t>140.24</w:t>
            </w:r>
          </w:p>
        </w:tc>
        <w:tc>
          <w:tcPr>
            <w:tcW w:w="1361" w:type="dxa"/>
            <w:vAlign w:val="center"/>
          </w:tcPr>
          <w:p>
            <w:pPr>
              <w:pStyle w:val="11"/>
            </w:pPr>
          </w:p>
        </w:tc>
        <w:tc>
          <w:tcPr>
            <w:tcW w:w="1361" w:type="dxa"/>
            <w:vAlign w:val="center"/>
          </w:tcPr>
          <w:p>
            <w:pPr>
              <w:pStyle w:val="11"/>
            </w:pPr>
            <w:r>
              <w:t>140.24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2013899</w:t>
            </w:r>
          </w:p>
        </w:tc>
        <w:tc>
          <w:tcPr>
            <w:tcW w:w="4535" w:type="dxa"/>
            <w:vAlign w:val="center"/>
          </w:tcPr>
          <w:p>
            <w:pPr>
              <w:pStyle w:val="10"/>
            </w:pPr>
            <w:r>
              <w:t>其他市场监督管理事务</w:t>
            </w: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206</w:t>
            </w:r>
          </w:p>
        </w:tc>
        <w:tc>
          <w:tcPr>
            <w:tcW w:w="4535" w:type="dxa"/>
            <w:vAlign w:val="center"/>
          </w:tcPr>
          <w:p>
            <w:pPr>
              <w:pStyle w:val="10"/>
            </w:pPr>
            <w:r>
              <w:t>科学技术支出</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20604</w:t>
            </w:r>
          </w:p>
        </w:tc>
        <w:tc>
          <w:tcPr>
            <w:tcW w:w="4535" w:type="dxa"/>
            <w:vAlign w:val="center"/>
          </w:tcPr>
          <w:p>
            <w:pPr>
              <w:pStyle w:val="10"/>
            </w:pPr>
            <w:r>
              <w:t>技术研究与开发</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2060404</w:t>
            </w:r>
          </w:p>
        </w:tc>
        <w:tc>
          <w:tcPr>
            <w:tcW w:w="4535" w:type="dxa"/>
            <w:vAlign w:val="center"/>
          </w:tcPr>
          <w:p>
            <w:pPr>
              <w:pStyle w:val="10"/>
            </w:pPr>
            <w:r>
              <w:t>科技成果转化与扩散</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71.34</w:t>
            </w:r>
          </w:p>
        </w:tc>
        <w:tc>
          <w:tcPr>
            <w:tcW w:w="1361" w:type="dxa"/>
            <w:vAlign w:val="center"/>
          </w:tcPr>
          <w:p>
            <w:pPr>
              <w:pStyle w:val="11"/>
            </w:pPr>
            <w:r>
              <w:t>71.34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71.34</w:t>
            </w:r>
          </w:p>
        </w:tc>
        <w:tc>
          <w:tcPr>
            <w:tcW w:w="1361" w:type="dxa"/>
            <w:vAlign w:val="center"/>
          </w:tcPr>
          <w:p>
            <w:pPr>
              <w:pStyle w:val="11"/>
            </w:pPr>
            <w:r>
              <w:t>71.34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11"/>
            </w:pPr>
            <w:r>
              <w:t>71.34</w:t>
            </w:r>
          </w:p>
        </w:tc>
        <w:tc>
          <w:tcPr>
            <w:tcW w:w="1361" w:type="dxa"/>
            <w:vAlign w:val="center"/>
          </w:tcPr>
          <w:p>
            <w:pPr>
              <w:pStyle w:val="11"/>
            </w:pPr>
            <w:r>
              <w:t>71.34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188.49</w:t>
            </w:r>
          </w:p>
        </w:tc>
        <w:tc>
          <w:tcPr>
            <w:tcW w:w="1361" w:type="dxa"/>
            <w:vAlign w:val="center"/>
          </w:tcPr>
          <w:p>
            <w:pPr>
              <w:pStyle w:val="11"/>
            </w:pPr>
            <w:r>
              <w:t>188.49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188.49</w:t>
            </w:r>
          </w:p>
        </w:tc>
        <w:tc>
          <w:tcPr>
            <w:tcW w:w="1361" w:type="dxa"/>
            <w:vAlign w:val="center"/>
          </w:tcPr>
          <w:p>
            <w:pPr>
              <w:pStyle w:val="11"/>
            </w:pPr>
            <w:r>
              <w:t>188.49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11"/>
            </w:pPr>
            <w:r>
              <w:t>188.49</w:t>
            </w:r>
          </w:p>
        </w:tc>
        <w:tc>
          <w:tcPr>
            <w:tcW w:w="1361" w:type="dxa"/>
            <w:vAlign w:val="center"/>
          </w:tcPr>
          <w:p>
            <w:pPr>
              <w:pStyle w:val="11"/>
            </w:pPr>
            <w:r>
              <w:t>188.49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216</w:t>
            </w:r>
          </w:p>
        </w:tc>
        <w:tc>
          <w:tcPr>
            <w:tcW w:w="4535" w:type="dxa"/>
            <w:vAlign w:val="center"/>
          </w:tcPr>
          <w:p>
            <w:pPr>
              <w:pStyle w:val="10"/>
            </w:pPr>
            <w:r>
              <w:t>商业服务业等支出</w:t>
            </w: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992" w:type="dxa"/>
            <w:vAlign w:val="center"/>
          </w:tcPr>
          <w:p>
            <w:pPr>
              <w:pStyle w:val="10"/>
            </w:pPr>
            <w:r>
              <w:t>21602</w:t>
            </w:r>
          </w:p>
        </w:tc>
        <w:tc>
          <w:tcPr>
            <w:tcW w:w="4535" w:type="dxa"/>
            <w:vAlign w:val="center"/>
          </w:tcPr>
          <w:p>
            <w:pPr>
              <w:pStyle w:val="10"/>
            </w:pPr>
            <w:r>
              <w:t>商业流通事务</w:t>
            </w: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992" w:type="dxa"/>
            <w:vAlign w:val="center"/>
          </w:tcPr>
          <w:p>
            <w:pPr>
              <w:pStyle w:val="10"/>
            </w:pPr>
            <w:r>
              <w:t>2160216</w:t>
            </w:r>
          </w:p>
        </w:tc>
        <w:tc>
          <w:tcPr>
            <w:tcW w:w="4535" w:type="dxa"/>
            <w:vAlign w:val="center"/>
          </w:tcPr>
          <w:p>
            <w:pPr>
              <w:pStyle w:val="10"/>
            </w:pPr>
            <w:r>
              <w:t>食品流通安全补贴</w:t>
            </w: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114.89</w:t>
            </w:r>
          </w:p>
        </w:tc>
        <w:tc>
          <w:tcPr>
            <w:tcW w:w="1361" w:type="dxa"/>
            <w:vAlign w:val="center"/>
          </w:tcPr>
          <w:p>
            <w:pPr>
              <w:pStyle w:val="11"/>
            </w:pPr>
            <w:r>
              <w:t>114.89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114.89</w:t>
            </w:r>
          </w:p>
        </w:tc>
        <w:tc>
          <w:tcPr>
            <w:tcW w:w="1361" w:type="dxa"/>
            <w:vAlign w:val="center"/>
          </w:tcPr>
          <w:p>
            <w:pPr>
              <w:pStyle w:val="11"/>
            </w:pPr>
            <w:r>
              <w:t>114.89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114.89</w:t>
            </w:r>
          </w:p>
        </w:tc>
        <w:tc>
          <w:tcPr>
            <w:tcW w:w="1361" w:type="dxa"/>
            <w:vAlign w:val="center"/>
          </w:tcPr>
          <w:p>
            <w:pPr>
              <w:pStyle w:val="11"/>
            </w:pPr>
            <w:r>
              <w:t>114.89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414001唐山市开平区市场监督管理局本级</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2297.83</w:t>
            </w:r>
          </w:p>
        </w:tc>
        <w:tc>
          <w:tcPr>
            <w:tcW w:w="3402" w:type="dxa"/>
            <w:vAlign w:val="center"/>
          </w:tcPr>
          <w:p>
            <w:pPr>
              <w:pStyle w:val="10"/>
            </w:pPr>
            <w:r>
              <w:t>一、一般公共服务支出</w:t>
            </w:r>
          </w:p>
        </w:tc>
        <w:tc>
          <w:tcPr>
            <w:tcW w:w="1474" w:type="dxa"/>
            <w:vAlign w:val="center"/>
          </w:tcPr>
          <w:p>
            <w:pPr>
              <w:pStyle w:val="11"/>
            </w:pPr>
            <w:r>
              <w:t>1881.11</w:t>
            </w:r>
          </w:p>
        </w:tc>
        <w:tc>
          <w:tcPr>
            <w:tcW w:w="1474" w:type="dxa"/>
            <w:vAlign w:val="center"/>
          </w:tcPr>
          <w:p>
            <w:pPr>
              <w:pStyle w:val="11"/>
            </w:pPr>
            <w:r>
              <w:t>1881.11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r>
              <w:t>30.00</w:t>
            </w:r>
          </w:p>
        </w:tc>
        <w:tc>
          <w:tcPr>
            <w:tcW w:w="1474" w:type="dxa"/>
            <w:vAlign w:val="center"/>
          </w:tcPr>
          <w:p>
            <w:pPr>
              <w:pStyle w:val="11"/>
            </w:pPr>
            <w:r>
              <w:t>30.00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71.34</w:t>
            </w:r>
          </w:p>
        </w:tc>
        <w:tc>
          <w:tcPr>
            <w:tcW w:w="1474" w:type="dxa"/>
            <w:vAlign w:val="center"/>
          </w:tcPr>
          <w:p>
            <w:pPr>
              <w:pStyle w:val="11"/>
            </w:pPr>
            <w:r>
              <w:t>71.34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188.49</w:t>
            </w:r>
          </w:p>
        </w:tc>
        <w:tc>
          <w:tcPr>
            <w:tcW w:w="1474" w:type="dxa"/>
            <w:vAlign w:val="center"/>
          </w:tcPr>
          <w:p>
            <w:pPr>
              <w:pStyle w:val="11"/>
            </w:pPr>
            <w:r>
              <w:t>188.49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r>
              <w:t>12.00</w:t>
            </w:r>
          </w:p>
        </w:tc>
        <w:tc>
          <w:tcPr>
            <w:tcW w:w="1474" w:type="dxa"/>
            <w:vAlign w:val="center"/>
          </w:tcPr>
          <w:p>
            <w:pPr>
              <w:pStyle w:val="11"/>
            </w:pPr>
            <w:r>
              <w:t>12.00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114.89</w:t>
            </w:r>
          </w:p>
        </w:tc>
        <w:tc>
          <w:tcPr>
            <w:tcW w:w="1474" w:type="dxa"/>
            <w:vAlign w:val="center"/>
          </w:tcPr>
          <w:p>
            <w:pPr>
              <w:pStyle w:val="11"/>
            </w:pPr>
            <w:r>
              <w:t>114.89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2"/>
            </w:pPr>
            <w:r>
              <w:t>本年收入合计</w:t>
            </w:r>
          </w:p>
        </w:tc>
        <w:tc>
          <w:tcPr>
            <w:tcW w:w="1474" w:type="dxa"/>
            <w:vAlign w:val="center"/>
          </w:tcPr>
          <w:p>
            <w:pPr>
              <w:pStyle w:val="13"/>
            </w:pPr>
            <w:r>
              <w:t>2297.83</w:t>
            </w:r>
          </w:p>
        </w:tc>
        <w:tc>
          <w:tcPr>
            <w:tcW w:w="3402" w:type="dxa"/>
            <w:vAlign w:val="center"/>
          </w:tcPr>
          <w:p>
            <w:pPr>
              <w:pStyle w:val="12"/>
            </w:pPr>
            <w:r>
              <w:t>本年支出合计</w:t>
            </w:r>
          </w:p>
        </w:tc>
        <w:tc>
          <w:tcPr>
            <w:tcW w:w="1474" w:type="dxa"/>
            <w:vAlign w:val="center"/>
          </w:tcPr>
          <w:p>
            <w:pPr>
              <w:pStyle w:val="13"/>
            </w:pPr>
            <w:r>
              <w:t>2297.83</w:t>
            </w:r>
          </w:p>
        </w:tc>
        <w:tc>
          <w:tcPr>
            <w:tcW w:w="1474" w:type="dxa"/>
            <w:vAlign w:val="center"/>
          </w:tcPr>
          <w:p>
            <w:pPr>
              <w:pStyle w:val="13"/>
            </w:pPr>
            <w:r>
              <w:t>2297.83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2"/>
            </w:pPr>
            <w:r>
              <w:t>收入总计</w:t>
            </w:r>
          </w:p>
        </w:tc>
        <w:tc>
          <w:tcPr>
            <w:tcW w:w="1474" w:type="dxa"/>
            <w:vAlign w:val="center"/>
          </w:tcPr>
          <w:p>
            <w:pPr>
              <w:pStyle w:val="13"/>
            </w:pPr>
            <w:r>
              <w:t>2297.83</w:t>
            </w:r>
          </w:p>
        </w:tc>
        <w:tc>
          <w:tcPr>
            <w:tcW w:w="3402" w:type="dxa"/>
            <w:vAlign w:val="center"/>
          </w:tcPr>
          <w:p>
            <w:pPr>
              <w:pStyle w:val="12"/>
            </w:pPr>
            <w:r>
              <w:t>支出总计</w:t>
            </w:r>
          </w:p>
        </w:tc>
        <w:tc>
          <w:tcPr>
            <w:tcW w:w="1474" w:type="dxa"/>
            <w:vAlign w:val="center"/>
          </w:tcPr>
          <w:p>
            <w:pPr>
              <w:pStyle w:val="13"/>
            </w:pPr>
            <w:r>
              <w:t>2297.83</w:t>
            </w:r>
          </w:p>
        </w:tc>
        <w:tc>
          <w:tcPr>
            <w:tcW w:w="1474" w:type="dxa"/>
            <w:vAlign w:val="center"/>
          </w:tcPr>
          <w:p>
            <w:pPr>
              <w:pStyle w:val="13"/>
            </w:pPr>
            <w:r>
              <w:t>2297.83</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414001唐山市开平区市场监督管理局本级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2297.83</w:t>
            </w:r>
          </w:p>
        </w:tc>
        <w:tc>
          <w:tcPr>
            <w:tcW w:w="2551" w:type="dxa"/>
            <w:vAlign w:val="center"/>
          </w:tcPr>
          <w:p>
            <w:pPr>
              <w:pStyle w:val="13"/>
            </w:pPr>
            <w:r>
              <w:t>2019.94</w:t>
            </w:r>
          </w:p>
        </w:tc>
        <w:tc>
          <w:tcPr>
            <w:tcW w:w="2551" w:type="dxa"/>
            <w:vAlign w:val="center"/>
          </w:tcPr>
          <w:p>
            <w:pPr>
              <w:pStyle w:val="13"/>
            </w:pPr>
            <w:r>
              <w:t>277.89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11"/>
            </w:pPr>
            <w:r>
              <w:t>1881.11</w:t>
            </w:r>
          </w:p>
        </w:tc>
        <w:tc>
          <w:tcPr>
            <w:tcW w:w="2551" w:type="dxa"/>
            <w:vAlign w:val="center"/>
          </w:tcPr>
          <w:p>
            <w:pPr>
              <w:pStyle w:val="11"/>
            </w:pPr>
            <w:r>
              <w:t>1645.22</w:t>
            </w:r>
          </w:p>
        </w:tc>
        <w:tc>
          <w:tcPr>
            <w:tcW w:w="2551" w:type="dxa"/>
            <w:vAlign w:val="center"/>
          </w:tcPr>
          <w:p>
            <w:pPr>
              <w:pStyle w:val="11"/>
            </w:pPr>
            <w:r>
              <w:t>235.89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20138</w:t>
            </w:r>
          </w:p>
        </w:tc>
        <w:tc>
          <w:tcPr>
            <w:tcW w:w="4535" w:type="dxa"/>
            <w:vAlign w:val="center"/>
          </w:tcPr>
          <w:p>
            <w:pPr>
              <w:pStyle w:val="10"/>
            </w:pPr>
            <w:r>
              <w:t>市场监督管理事务</w:t>
            </w:r>
          </w:p>
        </w:tc>
        <w:tc>
          <w:tcPr>
            <w:tcW w:w="2551" w:type="dxa"/>
            <w:vAlign w:val="center"/>
          </w:tcPr>
          <w:p>
            <w:pPr>
              <w:pStyle w:val="11"/>
            </w:pPr>
            <w:r>
              <w:t>1881.11</w:t>
            </w:r>
          </w:p>
        </w:tc>
        <w:tc>
          <w:tcPr>
            <w:tcW w:w="2551" w:type="dxa"/>
            <w:vAlign w:val="center"/>
          </w:tcPr>
          <w:p>
            <w:pPr>
              <w:pStyle w:val="11"/>
            </w:pPr>
            <w:r>
              <w:t>1645.22</w:t>
            </w:r>
          </w:p>
        </w:tc>
        <w:tc>
          <w:tcPr>
            <w:tcW w:w="2551" w:type="dxa"/>
            <w:vAlign w:val="center"/>
          </w:tcPr>
          <w:p>
            <w:pPr>
              <w:pStyle w:val="11"/>
            </w:pPr>
            <w:r>
              <w:t>235.89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2013801</w:t>
            </w:r>
          </w:p>
        </w:tc>
        <w:tc>
          <w:tcPr>
            <w:tcW w:w="4535" w:type="dxa"/>
            <w:vAlign w:val="center"/>
          </w:tcPr>
          <w:p>
            <w:pPr>
              <w:pStyle w:val="10"/>
            </w:pPr>
            <w:r>
              <w:t>行政运行</w:t>
            </w:r>
          </w:p>
        </w:tc>
        <w:tc>
          <w:tcPr>
            <w:tcW w:w="2551" w:type="dxa"/>
            <w:vAlign w:val="center"/>
          </w:tcPr>
          <w:p>
            <w:pPr>
              <w:pStyle w:val="11"/>
            </w:pPr>
            <w:r>
              <w:t>1645.22</w:t>
            </w:r>
          </w:p>
        </w:tc>
        <w:tc>
          <w:tcPr>
            <w:tcW w:w="2551" w:type="dxa"/>
            <w:vAlign w:val="center"/>
          </w:tcPr>
          <w:p>
            <w:pPr>
              <w:pStyle w:val="11"/>
            </w:pPr>
            <w:r>
              <w:t>1645.22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2013802</w:t>
            </w:r>
          </w:p>
        </w:tc>
        <w:tc>
          <w:tcPr>
            <w:tcW w:w="4535" w:type="dxa"/>
            <w:vAlign w:val="center"/>
          </w:tcPr>
          <w:p>
            <w:pPr>
              <w:pStyle w:val="10"/>
            </w:pPr>
            <w:r>
              <w:t>一般行政管理事务</w:t>
            </w:r>
          </w:p>
        </w:tc>
        <w:tc>
          <w:tcPr>
            <w:tcW w:w="2551" w:type="dxa"/>
            <w:vAlign w:val="center"/>
          </w:tcPr>
          <w:p>
            <w:pPr>
              <w:pStyle w:val="11"/>
            </w:pPr>
            <w:r>
              <w:t>37.00</w:t>
            </w:r>
          </w:p>
        </w:tc>
        <w:tc>
          <w:tcPr>
            <w:tcW w:w="2551" w:type="dxa"/>
            <w:vAlign w:val="center"/>
          </w:tcPr>
          <w:p>
            <w:pPr>
              <w:pStyle w:val="11"/>
            </w:pPr>
          </w:p>
        </w:tc>
        <w:tc>
          <w:tcPr>
            <w:tcW w:w="2551" w:type="dxa"/>
            <w:vAlign w:val="center"/>
          </w:tcPr>
          <w:p>
            <w:pPr>
              <w:pStyle w:val="11"/>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2013804</w:t>
            </w:r>
          </w:p>
        </w:tc>
        <w:tc>
          <w:tcPr>
            <w:tcW w:w="4535" w:type="dxa"/>
            <w:vAlign w:val="center"/>
          </w:tcPr>
          <w:p>
            <w:pPr>
              <w:pStyle w:val="10"/>
            </w:pPr>
            <w:r>
              <w:t>市场主体管理</w:t>
            </w:r>
          </w:p>
        </w:tc>
        <w:tc>
          <w:tcPr>
            <w:tcW w:w="2551" w:type="dxa"/>
            <w:vAlign w:val="center"/>
          </w:tcPr>
          <w:p>
            <w:pPr>
              <w:pStyle w:val="11"/>
            </w:pPr>
            <w:r>
              <w:t>18.65</w:t>
            </w:r>
          </w:p>
        </w:tc>
        <w:tc>
          <w:tcPr>
            <w:tcW w:w="2551" w:type="dxa"/>
            <w:vAlign w:val="center"/>
          </w:tcPr>
          <w:p>
            <w:pPr>
              <w:pStyle w:val="11"/>
            </w:pPr>
          </w:p>
        </w:tc>
        <w:tc>
          <w:tcPr>
            <w:tcW w:w="2551" w:type="dxa"/>
            <w:vAlign w:val="center"/>
          </w:tcPr>
          <w:p>
            <w:pPr>
              <w:pStyle w:val="11"/>
            </w:pPr>
            <w:r>
              <w:t>18.65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2013805</w:t>
            </w:r>
          </w:p>
        </w:tc>
        <w:tc>
          <w:tcPr>
            <w:tcW w:w="4535" w:type="dxa"/>
            <w:vAlign w:val="center"/>
          </w:tcPr>
          <w:p>
            <w:pPr>
              <w:pStyle w:val="10"/>
            </w:pPr>
            <w:r>
              <w:t>市场秩序执法</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2013815</w:t>
            </w:r>
          </w:p>
        </w:tc>
        <w:tc>
          <w:tcPr>
            <w:tcW w:w="4535" w:type="dxa"/>
            <w:vAlign w:val="center"/>
          </w:tcPr>
          <w:p>
            <w:pPr>
              <w:pStyle w:val="10"/>
            </w:pPr>
            <w:r>
              <w:t>质量安全监管</w:t>
            </w:r>
          </w:p>
        </w:tc>
        <w:tc>
          <w:tcPr>
            <w:tcW w:w="2551" w:type="dxa"/>
            <w:vAlign w:val="center"/>
          </w:tcPr>
          <w:p>
            <w:pPr>
              <w:pStyle w:val="11"/>
            </w:pPr>
            <w:r>
              <w:t>23.00</w:t>
            </w:r>
          </w:p>
        </w:tc>
        <w:tc>
          <w:tcPr>
            <w:tcW w:w="2551" w:type="dxa"/>
            <w:vAlign w:val="center"/>
          </w:tcPr>
          <w:p>
            <w:pPr>
              <w:pStyle w:val="11"/>
            </w:pPr>
          </w:p>
        </w:tc>
        <w:tc>
          <w:tcPr>
            <w:tcW w:w="2551" w:type="dxa"/>
            <w:vAlign w:val="center"/>
          </w:tcPr>
          <w:p>
            <w:pPr>
              <w:pStyle w:val="11"/>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2013816</w:t>
            </w:r>
          </w:p>
        </w:tc>
        <w:tc>
          <w:tcPr>
            <w:tcW w:w="4535" w:type="dxa"/>
            <w:vAlign w:val="center"/>
          </w:tcPr>
          <w:p>
            <w:pPr>
              <w:pStyle w:val="10"/>
            </w:pPr>
            <w:r>
              <w:t>食品安全监管</w:t>
            </w:r>
          </w:p>
        </w:tc>
        <w:tc>
          <w:tcPr>
            <w:tcW w:w="2551" w:type="dxa"/>
            <w:vAlign w:val="center"/>
          </w:tcPr>
          <w:p>
            <w:pPr>
              <w:pStyle w:val="11"/>
            </w:pPr>
            <w:r>
              <w:t>140.24</w:t>
            </w:r>
          </w:p>
        </w:tc>
        <w:tc>
          <w:tcPr>
            <w:tcW w:w="2551" w:type="dxa"/>
            <w:vAlign w:val="center"/>
          </w:tcPr>
          <w:p>
            <w:pPr>
              <w:pStyle w:val="11"/>
            </w:pPr>
          </w:p>
        </w:tc>
        <w:tc>
          <w:tcPr>
            <w:tcW w:w="2551" w:type="dxa"/>
            <w:vAlign w:val="center"/>
          </w:tcPr>
          <w:p>
            <w:pPr>
              <w:pStyle w:val="11"/>
            </w:pPr>
            <w:r>
              <w:t>140.24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2013899</w:t>
            </w:r>
          </w:p>
        </w:tc>
        <w:tc>
          <w:tcPr>
            <w:tcW w:w="4535" w:type="dxa"/>
            <w:vAlign w:val="center"/>
          </w:tcPr>
          <w:p>
            <w:pPr>
              <w:pStyle w:val="10"/>
            </w:pPr>
            <w:r>
              <w:t>其他市场监督管理事务</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206</w:t>
            </w:r>
          </w:p>
        </w:tc>
        <w:tc>
          <w:tcPr>
            <w:tcW w:w="4535" w:type="dxa"/>
            <w:vAlign w:val="center"/>
          </w:tcPr>
          <w:p>
            <w:pPr>
              <w:pStyle w:val="10"/>
            </w:pPr>
            <w:r>
              <w:t>科学技术支出</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20604</w:t>
            </w:r>
          </w:p>
        </w:tc>
        <w:tc>
          <w:tcPr>
            <w:tcW w:w="4535" w:type="dxa"/>
            <w:vAlign w:val="center"/>
          </w:tcPr>
          <w:p>
            <w:pPr>
              <w:pStyle w:val="10"/>
            </w:pPr>
            <w:r>
              <w:t>技术研究与开发</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2060404</w:t>
            </w:r>
          </w:p>
        </w:tc>
        <w:tc>
          <w:tcPr>
            <w:tcW w:w="4535" w:type="dxa"/>
            <w:vAlign w:val="center"/>
          </w:tcPr>
          <w:p>
            <w:pPr>
              <w:pStyle w:val="10"/>
            </w:pPr>
            <w:r>
              <w:t>科技成果转化与扩散</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71.34</w:t>
            </w:r>
          </w:p>
        </w:tc>
        <w:tc>
          <w:tcPr>
            <w:tcW w:w="2551" w:type="dxa"/>
            <w:vAlign w:val="center"/>
          </w:tcPr>
          <w:p>
            <w:pPr>
              <w:pStyle w:val="11"/>
            </w:pPr>
            <w:r>
              <w:t>71.34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71.34</w:t>
            </w:r>
          </w:p>
        </w:tc>
        <w:tc>
          <w:tcPr>
            <w:tcW w:w="2551" w:type="dxa"/>
            <w:vAlign w:val="center"/>
          </w:tcPr>
          <w:p>
            <w:pPr>
              <w:pStyle w:val="11"/>
            </w:pPr>
            <w:r>
              <w:t>71.34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11"/>
            </w:pPr>
            <w:r>
              <w:t>71.34</w:t>
            </w:r>
          </w:p>
        </w:tc>
        <w:tc>
          <w:tcPr>
            <w:tcW w:w="2551" w:type="dxa"/>
            <w:vAlign w:val="center"/>
          </w:tcPr>
          <w:p>
            <w:pPr>
              <w:pStyle w:val="11"/>
            </w:pPr>
            <w:r>
              <w:t>71.34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188.49</w:t>
            </w:r>
          </w:p>
        </w:tc>
        <w:tc>
          <w:tcPr>
            <w:tcW w:w="2551" w:type="dxa"/>
            <w:vAlign w:val="center"/>
          </w:tcPr>
          <w:p>
            <w:pPr>
              <w:pStyle w:val="11"/>
            </w:pPr>
            <w:r>
              <w:t>188.49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188.49</w:t>
            </w:r>
          </w:p>
        </w:tc>
        <w:tc>
          <w:tcPr>
            <w:tcW w:w="2551" w:type="dxa"/>
            <w:vAlign w:val="center"/>
          </w:tcPr>
          <w:p>
            <w:pPr>
              <w:pStyle w:val="11"/>
            </w:pPr>
            <w:r>
              <w:t>188.49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11"/>
            </w:pPr>
            <w:r>
              <w:t>188.49</w:t>
            </w:r>
          </w:p>
        </w:tc>
        <w:tc>
          <w:tcPr>
            <w:tcW w:w="2551" w:type="dxa"/>
            <w:vAlign w:val="center"/>
          </w:tcPr>
          <w:p>
            <w:pPr>
              <w:pStyle w:val="11"/>
            </w:pPr>
            <w:r>
              <w:t>188.49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216</w:t>
            </w:r>
          </w:p>
        </w:tc>
        <w:tc>
          <w:tcPr>
            <w:tcW w:w="4535" w:type="dxa"/>
            <w:vAlign w:val="center"/>
          </w:tcPr>
          <w:p>
            <w:pPr>
              <w:pStyle w:val="10"/>
            </w:pPr>
            <w:r>
              <w:t>商业服务业等支出</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21602</w:t>
            </w:r>
          </w:p>
        </w:tc>
        <w:tc>
          <w:tcPr>
            <w:tcW w:w="4535" w:type="dxa"/>
            <w:vAlign w:val="center"/>
          </w:tcPr>
          <w:p>
            <w:pPr>
              <w:pStyle w:val="10"/>
            </w:pPr>
            <w:r>
              <w:t>商业流通事务</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2160216</w:t>
            </w:r>
          </w:p>
        </w:tc>
        <w:tc>
          <w:tcPr>
            <w:tcW w:w="4535" w:type="dxa"/>
            <w:vAlign w:val="center"/>
          </w:tcPr>
          <w:p>
            <w:pPr>
              <w:pStyle w:val="10"/>
            </w:pPr>
            <w:r>
              <w:t>食品流通安全补贴</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114.89</w:t>
            </w:r>
          </w:p>
        </w:tc>
        <w:tc>
          <w:tcPr>
            <w:tcW w:w="2551" w:type="dxa"/>
            <w:vAlign w:val="center"/>
          </w:tcPr>
          <w:p>
            <w:pPr>
              <w:pStyle w:val="11"/>
            </w:pPr>
            <w:r>
              <w:t>114.89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114.89</w:t>
            </w:r>
          </w:p>
        </w:tc>
        <w:tc>
          <w:tcPr>
            <w:tcW w:w="2551" w:type="dxa"/>
            <w:vAlign w:val="center"/>
          </w:tcPr>
          <w:p>
            <w:pPr>
              <w:pStyle w:val="11"/>
            </w:pPr>
            <w:r>
              <w:t>114.89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114.89</w:t>
            </w:r>
          </w:p>
        </w:tc>
        <w:tc>
          <w:tcPr>
            <w:tcW w:w="2551" w:type="dxa"/>
            <w:vAlign w:val="center"/>
          </w:tcPr>
          <w:p>
            <w:pPr>
              <w:pStyle w:val="11"/>
            </w:pPr>
            <w:r>
              <w:t>114.89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414001唐山市开平区市场监督管理局本级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2019.94</w:t>
            </w:r>
          </w:p>
        </w:tc>
        <w:tc>
          <w:tcPr>
            <w:tcW w:w="2551" w:type="dxa"/>
            <w:vAlign w:val="center"/>
          </w:tcPr>
          <w:p>
            <w:pPr>
              <w:pStyle w:val="13"/>
            </w:pPr>
            <w:r>
              <w:t>1868.10</w:t>
            </w:r>
          </w:p>
        </w:tc>
        <w:tc>
          <w:tcPr>
            <w:tcW w:w="2551" w:type="dxa"/>
            <w:vAlign w:val="center"/>
          </w:tcPr>
          <w:p>
            <w:pPr>
              <w:pStyle w:val="13"/>
            </w:pPr>
            <w:r>
              <w:t>151.84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1802.10</w:t>
            </w:r>
          </w:p>
        </w:tc>
        <w:tc>
          <w:tcPr>
            <w:tcW w:w="2551" w:type="dxa"/>
            <w:vAlign w:val="center"/>
          </w:tcPr>
          <w:p>
            <w:pPr>
              <w:pStyle w:val="11"/>
            </w:pPr>
            <w:r>
              <w:t>1802.10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417.49</w:t>
            </w:r>
          </w:p>
        </w:tc>
        <w:tc>
          <w:tcPr>
            <w:tcW w:w="2551" w:type="dxa"/>
            <w:vAlign w:val="center"/>
          </w:tcPr>
          <w:p>
            <w:pPr>
              <w:pStyle w:val="11"/>
            </w:pPr>
            <w:r>
              <w:t>417.49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309.08</w:t>
            </w:r>
          </w:p>
        </w:tc>
        <w:tc>
          <w:tcPr>
            <w:tcW w:w="2551" w:type="dxa"/>
            <w:vAlign w:val="center"/>
          </w:tcPr>
          <w:p>
            <w:pPr>
              <w:pStyle w:val="11"/>
            </w:pPr>
            <w:r>
              <w:t>309.08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20.71</w:t>
            </w:r>
          </w:p>
        </w:tc>
        <w:tc>
          <w:tcPr>
            <w:tcW w:w="2551" w:type="dxa"/>
            <w:vAlign w:val="center"/>
          </w:tcPr>
          <w:p>
            <w:pPr>
              <w:pStyle w:val="11"/>
            </w:pPr>
            <w:r>
              <w:t>20.71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177.71</w:t>
            </w:r>
          </w:p>
        </w:tc>
        <w:tc>
          <w:tcPr>
            <w:tcW w:w="2551" w:type="dxa"/>
            <w:vAlign w:val="center"/>
          </w:tcPr>
          <w:p>
            <w:pPr>
              <w:pStyle w:val="11"/>
            </w:pPr>
            <w:r>
              <w:t>177.71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131.29</w:t>
            </w:r>
          </w:p>
        </w:tc>
        <w:tc>
          <w:tcPr>
            <w:tcW w:w="2551" w:type="dxa"/>
            <w:vAlign w:val="center"/>
          </w:tcPr>
          <w:p>
            <w:pPr>
              <w:pStyle w:val="11"/>
            </w:pPr>
            <w:r>
              <w:t>131.29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11"/>
            </w:pPr>
            <w:r>
              <w:t>65.65</w:t>
            </w:r>
          </w:p>
        </w:tc>
        <w:tc>
          <w:tcPr>
            <w:tcW w:w="2551" w:type="dxa"/>
            <w:vAlign w:val="center"/>
          </w:tcPr>
          <w:p>
            <w:pPr>
              <w:pStyle w:val="11"/>
            </w:pPr>
            <w:r>
              <w:t>65.65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11"/>
            </w:pPr>
            <w:r>
              <w:t>163.26</w:t>
            </w:r>
          </w:p>
        </w:tc>
        <w:tc>
          <w:tcPr>
            <w:tcW w:w="2551" w:type="dxa"/>
            <w:vAlign w:val="center"/>
          </w:tcPr>
          <w:p>
            <w:pPr>
              <w:pStyle w:val="11"/>
            </w:pPr>
            <w:r>
              <w:t>163.26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67.65</w:t>
            </w:r>
          </w:p>
        </w:tc>
        <w:tc>
          <w:tcPr>
            <w:tcW w:w="2551" w:type="dxa"/>
            <w:vAlign w:val="center"/>
          </w:tcPr>
          <w:p>
            <w:pPr>
              <w:pStyle w:val="11"/>
            </w:pPr>
            <w:r>
              <w:t>67.65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98.47</w:t>
            </w:r>
          </w:p>
        </w:tc>
        <w:tc>
          <w:tcPr>
            <w:tcW w:w="2551" w:type="dxa"/>
            <w:vAlign w:val="center"/>
          </w:tcPr>
          <w:p>
            <w:pPr>
              <w:pStyle w:val="11"/>
            </w:pPr>
            <w:r>
              <w:t>98.47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11"/>
            </w:pPr>
            <w:r>
              <w:t>350.79</w:t>
            </w:r>
          </w:p>
        </w:tc>
        <w:tc>
          <w:tcPr>
            <w:tcW w:w="2551" w:type="dxa"/>
            <w:vAlign w:val="center"/>
          </w:tcPr>
          <w:p>
            <w:pPr>
              <w:pStyle w:val="11"/>
            </w:pPr>
            <w:r>
              <w:t>350.79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148.00</w:t>
            </w:r>
          </w:p>
        </w:tc>
        <w:tc>
          <w:tcPr>
            <w:tcW w:w="2551" w:type="dxa"/>
            <w:vAlign w:val="center"/>
          </w:tcPr>
          <w:p>
            <w:pPr>
              <w:pStyle w:val="11"/>
            </w:pPr>
          </w:p>
        </w:tc>
        <w:tc>
          <w:tcPr>
            <w:tcW w:w="2551" w:type="dxa"/>
            <w:vAlign w:val="center"/>
          </w:tcPr>
          <w:p>
            <w:pPr>
              <w:pStyle w:val="11"/>
            </w:pPr>
            <w:r>
              <w:t>148.00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2.78</w:t>
            </w:r>
          </w:p>
        </w:tc>
        <w:tc>
          <w:tcPr>
            <w:tcW w:w="2551" w:type="dxa"/>
            <w:vAlign w:val="center"/>
          </w:tcPr>
          <w:p>
            <w:pPr>
              <w:pStyle w:val="11"/>
            </w:pPr>
          </w:p>
        </w:tc>
        <w:tc>
          <w:tcPr>
            <w:tcW w:w="2551" w:type="dxa"/>
            <w:vAlign w:val="center"/>
          </w:tcPr>
          <w:p>
            <w:pPr>
              <w:pStyle w:val="11"/>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31.13</w:t>
            </w:r>
          </w:p>
        </w:tc>
        <w:tc>
          <w:tcPr>
            <w:tcW w:w="2551" w:type="dxa"/>
            <w:vAlign w:val="center"/>
          </w:tcPr>
          <w:p>
            <w:pPr>
              <w:pStyle w:val="11"/>
            </w:pPr>
          </w:p>
        </w:tc>
        <w:tc>
          <w:tcPr>
            <w:tcW w:w="2551" w:type="dxa"/>
            <w:vAlign w:val="center"/>
          </w:tcPr>
          <w:p>
            <w:pPr>
              <w:pStyle w:val="11"/>
            </w:pPr>
            <w:r>
              <w:t>31.13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30209</w:t>
            </w:r>
          </w:p>
        </w:tc>
        <w:tc>
          <w:tcPr>
            <w:tcW w:w="4535" w:type="dxa"/>
            <w:vAlign w:val="center"/>
          </w:tcPr>
          <w:p>
            <w:pPr>
              <w:pStyle w:val="10"/>
            </w:pPr>
            <w:r>
              <w:t>物业管理费</w:t>
            </w:r>
          </w:p>
        </w:tc>
        <w:tc>
          <w:tcPr>
            <w:tcW w:w="2551" w:type="dxa"/>
            <w:vAlign w:val="center"/>
          </w:tcPr>
          <w:p>
            <w:pPr>
              <w:pStyle w:val="11"/>
            </w:pPr>
            <w:r>
              <w:t>14.40</w:t>
            </w:r>
          </w:p>
        </w:tc>
        <w:tc>
          <w:tcPr>
            <w:tcW w:w="2551" w:type="dxa"/>
            <w:vAlign w:val="center"/>
          </w:tcPr>
          <w:p>
            <w:pPr>
              <w:pStyle w:val="11"/>
            </w:pPr>
          </w:p>
        </w:tc>
        <w:tc>
          <w:tcPr>
            <w:tcW w:w="2551" w:type="dxa"/>
            <w:vAlign w:val="center"/>
          </w:tcPr>
          <w:p>
            <w:pPr>
              <w:pStyle w:val="11"/>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8.35</w:t>
            </w:r>
          </w:p>
        </w:tc>
        <w:tc>
          <w:tcPr>
            <w:tcW w:w="2551" w:type="dxa"/>
            <w:vAlign w:val="center"/>
          </w:tcPr>
          <w:p>
            <w:pPr>
              <w:pStyle w:val="11"/>
            </w:pPr>
          </w:p>
        </w:tc>
        <w:tc>
          <w:tcPr>
            <w:tcW w:w="2551" w:type="dxa"/>
            <w:vAlign w:val="center"/>
          </w:tcPr>
          <w:p>
            <w:pPr>
              <w:pStyle w:val="11"/>
            </w:pPr>
            <w:r>
              <w:t>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10.44</w:t>
            </w:r>
          </w:p>
        </w:tc>
        <w:tc>
          <w:tcPr>
            <w:tcW w:w="2551" w:type="dxa"/>
            <w:vAlign w:val="center"/>
          </w:tcPr>
          <w:p>
            <w:pPr>
              <w:pStyle w:val="11"/>
            </w:pPr>
          </w:p>
        </w:tc>
        <w:tc>
          <w:tcPr>
            <w:tcW w:w="2551" w:type="dxa"/>
            <w:vAlign w:val="center"/>
          </w:tcPr>
          <w:p>
            <w:pPr>
              <w:pStyle w:val="11"/>
            </w:pPr>
            <w:r>
              <w:t>10.44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33.90</w:t>
            </w:r>
          </w:p>
        </w:tc>
        <w:tc>
          <w:tcPr>
            <w:tcW w:w="2551" w:type="dxa"/>
            <w:vAlign w:val="center"/>
          </w:tcPr>
          <w:p>
            <w:pPr>
              <w:pStyle w:val="11"/>
            </w:pPr>
          </w:p>
        </w:tc>
        <w:tc>
          <w:tcPr>
            <w:tcW w:w="2551" w:type="dxa"/>
            <w:vAlign w:val="center"/>
          </w:tcPr>
          <w:p>
            <w:pPr>
              <w:pStyle w:val="11"/>
            </w:pPr>
            <w:r>
              <w:t>33.90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66.00</w:t>
            </w:r>
          </w:p>
        </w:tc>
        <w:tc>
          <w:tcPr>
            <w:tcW w:w="2551" w:type="dxa"/>
            <w:vAlign w:val="center"/>
          </w:tcPr>
          <w:p>
            <w:pPr>
              <w:pStyle w:val="11"/>
            </w:pPr>
            <w:r>
              <w:t>66.00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30301</w:t>
            </w:r>
          </w:p>
        </w:tc>
        <w:tc>
          <w:tcPr>
            <w:tcW w:w="4535" w:type="dxa"/>
            <w:vAlign w:val="center"/>
          </w:tcPr>
          <w:p>
            <w:pPr>
              <w:pStyle w:val="10"/>
            </w:pPr>
            <w:r>
              <w:t>离休费</w:t>
            </w:r>
          </w:p>
        </w:tc>
        <w:tc>
          <w:tcPr>
            <w:tcW w:w="2551" w:type="dxa"/>
            <w:vAlign w:val="center"/>
          </w:tcPr>
          <w:p>
            <w:pPr>
              <w:pStyle w:val="11"/>
            </w:pPr>
            <w:r>
              <w:t>1.12</w:t>
            </w:r>
          </w:p>
        </w:tc>
        <w:tc>
          <w:tcPr>
            <w:tcW w:w="2551" w:type="dxa"/>
            <w:vAlign w:val="center"/>
          </w:tcPr>
          <w:p>
            <w:pPr>
              <w:pStyle w:val="11"/>
            </w:pPr>
            <w:r>
              <w:t>1.12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62.22</w:t>
            </w:r>
          </w:p>
        </w:tc>
        <w:tc>
          <w:tcPr>
            <w:tcW w:w="2551" w:type="dxa"/>
            <w:vAlign w:val="center"/>
          </w:tcPr>
          <w:p>
            <w:pPr>
              <w:pStyle w:val="11"/>
            </w:pPr>
            <w:r>
              <w:t>62.22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11"/>
            </w:pPr>
            <w:r>
              <w:t>2.31</w:t>
            </w:r>
          </w:p>
        </w:tc>
        <w:tc>
          <w:tcPr>
            <w:tcW w:w="2551" w:type="dxa"/>
            <w:vAlign w:val="center"/>
          </w:tcPr>
          <w:p>
            <w:pPr>
              <w:pStyle w:val="11"/>
            </w:pPr>
            <w:r>
              <w:t>2.31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11"/>
            </w:pPr>
            <w:r>
              <w:t>0.35</w:t>
            </w:r>
          </w:p>
        </w:tc>
        <w:tc>
          <w:tcPr>
            <w:tcW w:w="2551" w:type="dxa"/>
            <w:vAlign w:val="center"/>
          </w:tcPr>
          <w:p>
            <w:pPr>
              <w:pStyle w:val="11"/>
            </w:pPr>
            <w:r>
              <w:t>0.35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1191" w:type="dxa"/>
            <w:vAlign w:val="center"/>
          </w:tcPr>
          <w:p>
            <w:pPr>
              <w:pStyle w:val="10"/>
            </w:pPr>
            <w:r>
              <w:t>310</w:t>
            </w:r>
          </w:p>
        </w:tc>
        <w:tc>
          <w:tcPr>
            <w:tcW w:w="4535" w:type="dxa"/>
            <w:vAlign w:val="center"/>
          </w:tcPr>
          <w:p>
            <w:pPr>
              <w:pStyle w:val="10"/>
            </w:pPr>
            <w:r>
              <w:t>资本性支出</w:t>
            </w:r>
          </w:p>
        </w:tc>
        <w:tc>
          <w:tcPr>
            <w:tcW w:w="2551" w:type="dxa"/>
            <w:vAlign w:val="center"/>
          </w:tcPr>
          <w:p>
            <w:pPr>
              <w:pStyle w:val="11"/>
            </w:pPr>
            <w:r>
              <w:t>3.84</w:t>
            </w:r>
          </w:p>
        </w:tc>
        <w:tc>
          <w:tcPr>
            <w:tcW w:w="2551" w:type="dxa"/>
            <w:vAlign w:val="center"/>
          </w:tcPr>
          <w:p>
            <w:pPr>
              <w:pStyle w:val="11"/>
            </w:pPr>
          </w:p>
        </w:tc>
        <w:tc>
          <w:tcPr>
            <w:tcW w:w="2551" w:type="dxa"/>
            <w:vAlign w:val="center"/>
          </w:tcPr>
          <w:p>
            <w:pPr>
              <w:pStyle w:val="11"/>
            </w:pPr>
            <w: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1191" w:type="dxa"/>
            <w:vAlign w:val="center"/>
          </w:tcPr>
          <w:p>
            <w:pPr>
              <w:pStyle w:val="10"/>
            </w:pPr>
            <w:r>
              <w:t>31002</w:t>
            </w:r>
          </w:p>
        </w:tc>
        <w:tc>
          <w:tcPr>
            <w:tcW w:w="4535" w:type="dxa"/>
            <w:vAlign w:val="center"/>
          </w:tcPr>
          <w:p>
            <w:pPr>
              <w:pStyle w:val="10"/>
            </w:pPr>
            <w:r>
              <w:t>办公设备购置</w:t>
            </w:r>
          </w:p>
        </w:tc>
        <w:tc>
          <w:tcPr>
            <w:tcW w:w="2551" w:type="dxa"/>
            <w:vAlign w:val="center"/>
          </w:tcPr>
          <w:p>
            <w:pPr>
              <w:pStyle w:val="11"/>
            </w:pPr>
            <w:r>
              <w:t>3.84</w:t>
            </w:r>
          </w:p>
        </w:tc>
        <w:tc>
          <w:tcPr>
            <w:tcW w:w="2551" w:type="dxa"/>
            <w:vAlign w:val="center"/>
          </w:tcPr>
          <w:p>
            <w:pPr>
              <w:pStyle w:val="11"/>
            </w:pPr>
          </w:p>
        </w:tc>
        <w:tc>
          <w:tcPr>
            <w:tcW w:w="2551" w:type="dxa"/>
            <w:vAlign w:val="center"/>
          </w:tcPr>
          <w:p>
            <w:pPr>
              <w:pStyle w:val="11"/>
            </w:pPr>
            <w:r>
              <w:t>3.84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414001唐山市开平区市场监督管理局本级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414001唐山市开平区市场监督管理局本级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414001唐山市开平区市场监督管理局本级</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rPr>
                <w:rFonts w:hint="eastAsia" w:eastAsia="方正书宋_GBK"/>
                <w:lang w:val="en-US" w:eastAsia="zh-CN"/>
              </w:rPr>
            </w:pPr>
            <w:r>
              <w:rPr>
                <w:rFonts w:hint="eastAsia"/>
                <w:lang w:val="en-US" w:eastAsia="zh-CN"/>
              </w:rPr>
              <w:t>1</w:t>
            </w:r>
          </w:p>
        </w:tc>
        <w:tc>
          <w:tcPr>
            <w:tcW w:w="3798" w:type="dxa"/>
            <w:vAlign w:val="center"/>
          </w:tcPr>
          <w:p>
            <w:pPr>
              <w:pStyle w:val="10"/>
            </w:pPr>
            <w:r>
              <w:t>公务用车运行维护费</w:t>
            </w:r>
          </w:p>
        </w:tc>
        <w:tc>
          <w:tcPr>
            <w:tcW w:w="2381" w:type="dxa"/>
            <w:vAlign w:val="center"/>
          </w:tcPr>
          <w:p>
            <w:pPr>
              <w:pStyle w:val="11"/>
              <w:rPr>
                <w:rFonts w:hint="default" w:eastAsia="方正书宋_GBK"/>
                <w:lang w:val="en-US" w:eastAsia="zh-CN"/>
              </w:rPr>
            </w:pPr>
            <w:r>
              <w:rPr>
                <w:rFonts w:hint="eastAsia"/>
                <w:lang w:val="en-US" w:eastAsia="zh-CN"/>
              </w:rPr>
              <w:t>30</w:t>
            </w:r>
          </w:p>
        </w:tc>
        <w:tc>
          <w:tcPr>
            <w:tcW w:w="2381" w:type="dxa"/>
            <w:vAlign w:val="center"/>
          </w:tcPr>
          <w:p>
            <w:pPr>
              <w:pStyle w:val="11"/>
              <w:rPr>
                <w:rFonts w:hint="default" w:eastAsia="方正书宋_GBK"/>
                <w:lang w:val="en-US" w:eastAsia="zh-CN"/>
              </w:rPr>
            </w:pPr>
            <w:r>
              <w:rPr>
                <w:rFonts w:hint="eastAsia"/>
                <w:lang w:val="en-US" w:eastAsia="zh-CN"/>
              </w:rPr>
              <w:t>30</w:t>
            </w: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唐山市开平区市场监督管理局本级2022年单位预算信息公开情况说明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按照《预算法》、《地方预决算公开操作规程》和《关于进一步推进预算公开工作的实施意见》规定，现将唐山市开平区市场监督管理局本级2022年单位预算公开如下：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line="500" w:lineRule="exact"/>
        <w:ind w:firstLine="640" w:firstLineChars="200"/>
        <w:jc w:val="left"/>
        <w:rPr>
          <w:rFonts w:eastAsia="方正仿宋_GBK"/>
          <w:sz w:val="28"/>
        </w:rPr>
      </w:pPr>
      <w:r>
        <w:rPr>
          <w:rFonts w:hint="eastAsia" w:ascii="宋体" w:hAnsi="宋体" w:cs="宋体"/>
          <w:sz w:val="32"/>
          <w:szCs w:val="32"/>
        </w:rPr>
        <w:t>部门职责：</w:t>
      </w:r>
      <w:r>
        <w:rPr>
          <w:rFonts w:eastAsia="方正仿宋_GBK"/>
          <w:sz w:val="28"/>
        </w:rPr>
        <w:t>在辖区政府领导下，负责全区市场综合监督管理。起草全区市场监督管理有关政府规章草案，制定有关政策、标准，组织实施质量强区战略、食品安全战略、标准化战略、知识产权战略，拟订并组织实施有关规划，规范和维护市场秩序，营造诚实守信、公平竞争的市场环境。</w:t>
      </w:r>
    </w:p>
    <w:p>
      <w:pPr>
        <w:spacing w:line="500" w:lineRule="exact"/>
        <w:ind w:firstLine="560" w:firstLineChars="200"/>
        <w:jc w:val="left"/>
        <w:rPr>
          <w:rFonts w:eastAsia="方正仿宋_GBK"/>
          <w:sz w:val="28"/>
        </w:rPr>
      </w:pPr>
      <w:r>
        <w:rPr>
          <w:rFonts w:eastAsia="方正仿宋_GBK"/>
          <w:sz w:val="28"/>
        </w:rPr>
        <w:t>在辖区政府领导下，建立市场主体信息公示和共享机制，依法公示和共享有关信息，加强信用监管，推动市场主体信用体系建设。</w:t>
      </w:r>
    </w:p>
    <w:p>
      <w:pPr>
        <w:spacing w:line="500" w:lineRule="exact"/>
        <w:ind w:firstLine="560" w:firstLineChars="200"/>
        <w:jc w:val="left"/>
        <w:rPr>
          <w:rFonts w:eastAsia="方正仿宋_GBK"/>
          <w:sz w:val="28"/>
        </w:rPr>
      </w:pPr>
      <w:r>
        <w:rPr>
          <w:rFonts w:eastAsia="方正仿宋_GBK"/>
          <w:sz w:val="28"/>
        </w:rPr>
        <w:t>组织和指导全区市场监管综合执法工作。指导全区市场监管综合执法队伍整合和建设，推动实行统一的市场监管。组织查处违法案件。规范市场监管行政执法行为。</w:t>
      </w:r>
    </w:p>
    <w:p>
      <w:pPr>
        <w:spacing w:line="500" w:lineRule="exact"/>
        <w:ind w:firstLine="560" w:firstLineChars="200"/>
        <w:jc w:val="left"/>
        <w:rPr>
          <w:rFonts w:eastAsia="方正仿宋_GBK"/>
          <w:sz w:val="28"/>
        </w:rPr>
      </w:pPr>
      <w:r>
        <w:rPr>
          <w:rFonts w:eastAsia="方正仿宋_GBK"/>
          <w:sz w:val="28"/>
        </w:rPr>
        <w:t>反垄断统一执法。组织推进竞争政策实施，指导实施公平竞争审查制度。依法对经营者集中行为进行反垄断审查，负责垄断协议、滥用市场支配地位和滥用行政权力排除、限制竞争等反垄断执法工作。</w:t>
      </w:r>
    </w:p>
    <w:p>
      <w:pPr>
        <w:spacing w:line="500" w:lineRule="exact"/>
        <w:ind w:firstLine="560" w:firstLineChars="200"/>
        <w:jc w:val="left"/>
        <w:rPr>
          <w:rFonts w:eastAsia="方正仿宋_GBK"/>
          <w:sz w:val="28"/>
        </w:rPr>
      </w:pPr>
      <w:r>
        <w:rPr>
          <w:rFonts w:eastAsia="方正仿宋_GBK"/>
          <w:sz w:val="28"/>
        </w:rPr>
        <w:t>监督管理市场秩序。依法监督管理全区市场交易、网络商品交易及有关服务的行为。组织指导查处价格收费违法违规、不正当竞争、违法直销、传销、侵犯知识产权和制售假冒伪劣行为。指导全区广告业发展，监督管理广告活动。按照职责分工依法查处无照生产经营和相关无证生产经营行为。指导区消费者协会开展消费维权工作。</w:t>
      </w:r>
    </w:p>
    <w:p>
      <w:pPr>
        <w:spacing w:line="500" w:lineRule="exact"/>
        <w:ind w:firstLine="560" w:firstLineChars="200"/>
        <w:jc w:val="left"/>
        <w:rPr>
          <w:rFonts w:eastAsia="方正仿宋_GBK"/>
          <w:sz w:val="28"/>
        </w:rPr>
      </w:pPr>
      <w:r>
        <w:rPr>
          <w:rFonts w:eastAsia="方正仿宋_GBK"/>
          <w:sz w:val="28"/>
        </w:rPr>
        <w:t>全区宏观质量管理。拟订并实施质量发展的制度措施。统筹全区质量基础设施建设与应用，会同有关部门组织实施重大工程设备质量监管制度，组织重大质量事故调查，实施缺陷产品召回制度，监督管理产品防伪工作。</w:t>
      </w:r>
    </w:p>
    <w:p>
      <w:pPr>
        <w:spacing w:line="500" w:lineRule="exact"/>
        <w:ind w:firstLine="560" w:firstLineChars="200"/>
        <w:jc w:val="left"/>
        <w:rPr>
          <w:rFonts w:eastAsia="方正仿宋_GBK"/>
          <w:sz w:val="28"/>
        </w:rPr>
      </w:pPr>
      <w:r>
        <w:rPr>
          <w:rFonts w:eastAsia="方正仿宋_GBK"/>
          <w:sz w:val="28"/>
        </w:rPr>
        <w:t>全区产品质量安全监督管理。承担区级产品质量安全风险监控，监督抽查工作，组织实施质量分级制度、质量安全追溯制度。实施工业产品生产许可管理。负责棉花等纤维质量监督工作。</w:t>
      </w:r>
    </w:p>
    <w:p>
      <w:pPr>
        <w:spacing w:line="500" w:lineRule="exact"/>
        <w:ind w:firstLine="560" w:firstLineChars="200"/>
        <w:jc w:val="left"/>
        <w:rPr>
          <w:rFonts w:eastAsia="方正仿宋_GBK"/>
          <w:sz w:val="28"/>
        </w:rPr>
      </w:pPr>
      <w:r>
        <w:rPr>
          <w:rFonts w:eastAsia="方正仿宋_GBK"/>
          <w:sz w:val="28"/>
        </w:rPr>
        <w:t xml:space="preserve">  全区特种设备安全监督管理。综合管理特种设备安全监察、监督工作，监督检查高耗能特种设备节能标准和锅炉环境保护标准的执行情况。</w:t>
      </w:r>
    </w:p>
    <w:p>
      <w:pPr>
        <w:spacing w:line="500" w:lineRule="exact"/>
        <w:ind w:firstLine="560" w:firstLineChars="200"/>
        <w:jc w:val="left"/>
        <w:rPr>
          <w:rFonts w:eastAsia="方正仿宋_GBK"/>
          <w:sz w:val="28"/>
        </w:rPr>
      </w:pPr>
      <w:r>
        <w:rPr>
          <w:rFonts w:eastAsia="方正仿宋_GBK"/>
          <w:sz w:val="28"/>
        </w:rPr>
        <w:t>食品安全监督管理综合协调。组织制定全区食品安全重大政策并组织实施。推动健全食品安全地方党政同责和跨部门协调联动机制。负责食品安全应急体系建设，组织指导全区重大食品安全事件应急处置和调查处理工作。建立健全食品安全信息统一发布和重要信息直报制度。承担区食品安全委员会日常工作。</w:t>
      </w:r>
    </w:p>
    <w:p>
      <w:pPr>
        <w:spacing w:line="500" w:lineRule="exact"/>
        <w:ind w:firstLine="560" w:firstLineChars="200"/>
        <w:jc w:val="left"/>
        <w:rPr>
          <w:rFonts w:eastAsia="方正仿宋_GBK"/>
          <w:sz w:val="28"/>
        </w:rPr>
      </w:pPr>
      <w:r>
        <w:rPr>
          <w:rFonts w:eastAsia="方正仿宋_GBK"/>
          <w:sz w:val="28"/>
        </w:rPr>
        <w:t>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负责食盐质量安全监督管理。负责拟定酒类流通发展规划、政策。</w:t>
      </w:r>
    </w:p>
    <w:p>
      <w:pPr>
        <w:spacing w:line="500" w:lineRule="exact"/>
        <w:ind w:firstLine="560" w:firstLineChars="200"/>
        <w:jc w:val="left"/>
        <w:rPr>
          <w:rFonts w:eastAsia="方正仿宋_GBK"/>
          <w:sz w:val="28"/>
        </w:rPr>
      </w:pPr>
      <w:r>
        <w:rPr>
          <w:rFonts w:eastAsia="方正仿宋_GBK"/>
          <w:sz w:val="28"/>
        </w:rPr>
        <w:t>统一管理区计量工作。推行法定计量单位和国家计量制度，管理计量器具及量值传递和比对工作。规范、监督商品量和市场计量行为。</w:t>
      </w:r>
    </w:p>
    <w:p>
      <w:pPr>
        <w:spacing w:line="500" w:lineRule="exact"/>
        <w:ind w:firstLine="560" w:firstLineChars="200"/>
        <w:jc w:val="left"/>
        <w:rPr>
          <w:rFonts w:eastAsia="方正仿宋_GBK"/>
          <w:sz w:val="28"/>
        </w:rPr>
      </w:pPr>
      <w:r>
        <w:rPr>
          <w:rFonts w:eastAsia="方正仿宋_GBK"/>
          <w:sz w:val="28"/>
        </w:rPr>
        <w:t>统一管理全区标准化工作。依法承担组织制定辖区内地方标准。宣传贯彻强制性、推荐性国家标准和行业标准、地方标准。依法协调指导和监督团体标准、企业标准制定工作。参与制定、采用国际标准工作。</w:t>
      </w:r>
    </w:p>
    <w:p>
      <w:pPr>
        <w:spacing w:line="500" w:lineRule="exact"/>
        <w:ind w:firstLine="560" w:firstLineChars="200"/>
        <w:jc w:val="left"/>
        <w:rPr>
          <w:rFonts w:eastAsia="方正仿宋_GBK"/>
          <w:sz w:val="28"/>
        </w:rPr>
      </w:pPr>
      <w:r>
        <w:rPr>
          <w:rFonts w:eastAsia="方正仿宋_GBK"/>
          <w:sz w:val="28"/>
        </w:rPr>
        <w:t>统一管理全区检验检测工作。推进检验检测机构整合和改革，规范检验检测市场，完善检验检测体系，指导协调检验检测行业发展。</w:t>
      </w:r>
    </w:p>
    <w:p>
      <w:pPr>
        <w:spacing w:line="500" w:lineRule="exact"/>
        <w:ind w:firstLine="560" w:firstLineChars="200"/>
        <w:jc w:val="left"/>
        <w:rPr>
          <w:rFonts w:eastAsia="方正仿宋_GBK"/>
          <w:sz w:val="28"/>
        </w:rPr>
      </w:pPr>
      <w:r>
        <w:rPr>
          <w:rFonts w:eastAsia="方正仿宋_GBK"/>
          <w:sz w:val="28"/>
        </w:rPr>
        <w:t>统一管理、监督和综合协调全区认证认可工作。组织实施贯彻国家统一的认证认可和合格评定监督管理制度。</w:t>
      </w:r>
    </w:p>
    <w:p>
      <w:pPr>
        <w:spacing w:line="500" w:lineRule="exact"/>
        <w:ind w:firstLine="560" w:firstLineChars="200"/>
        <w:jc w:val="left"/>
        <w:rPr>
          <w:rFonts w:eastAsia="方正仿宋_GBK"/>
          <w:sz w:val="28"/>
        </w:rPr>
      </w:pPr>
      <w:r>
        <w:rPr>
          <w:rFonts w:eastAsia="方正仿宋_GBK"/>
          <w:sz w:val="28"/>
        </w:rPr>
        <w:t>推进全区知识产权管理工作。拟订加强知识产权强区建设的重大方针政策和发展规划。拟订和实施强化知识产权创造、保护和运用的政策。</w:t>
      </w:r>
    </w:p>
    <w:p>
      <w:pPr>
        <w:spacing w:line="500" w:lineRule="exact"/>
        <w:ind w:firstLine="560" w:firstLineChars="200"/>
        <w:jc w:val="left"/>
        <w:rPr>
          <w:rFonts w:eastAsia="方正仿宋_GBK"/>
          <w:sz w:val="28"/>
        </w:rPr>
      </w:pPr>
      <w:r>
        <w:rPr>
          <w:rFonts w:eastAsia="方正仿宋_GBK"/>
          <w:sz w:val="28"/>
        </w:rPr>
        <w:t>保护知识产权。贯彻落实严格保护商标、专利、原产地地理标志、集成电路布图设计等知识产权法律法规。组织起草相关政府规章草案及政策并监督实施。按照国家、省、市知识产权保护体系建设方案，推动建设知识产权保护体系。负责指导商标、专利执法工作，协助上级开展知识产权争议处理、维权援助和纠纷调处。参与京津冀知识产权执法协作工作，推动京津冀一体化知识产权保护体系建设。</w:t>
      </w:r>
    </w:p>
    <w:p>
      <w:pPr>
        <w:spacing w:line="500" w:lineRule="exact"/>
        <w:ind w:firstLine="560" w:firstLineChars="200"/>
        <w:jc w:val="left"/>
        <w:rPr>
          <w:rFonts w:eastAsia="方正仿宋_GBK"/>
          <w:sz w:val="28"/>
        </w:rPr>
      </w:pPr>
      <w:r>
        <w:rPr>
          <w:rFonts w:eastAsia="方正仿宋_GBK"/>
          <w:sz w:val="28"/>
        </w:rPr>
        <w:t>促进知识产权运用。拟订知识产权运用的扶持政策，规范知识产权交易，促进知识产权转移转化。规范知识产权无形资产评估工作。制定实施知识产权中介服务发展与监管的政策措施。</w:t>
      </w:r>
    </w:p>
    <w:p>
      <w:pPr>
        <w:spacing w:line="500" w:lineRule="exact"/>
        <w:ind w:firstLine="560" w:firstLineChars="200"/>
        <w:jc w:val="left"/>
        <w:rPr>
          <w:rFonts w:eastAsia="方正仿宋_GBK"/>
          <w:sz w:val="28"/>
        </w:rPr>
      </w:pPr>
      <w:r>
        <w:rPr>
          <w:rFonts w:eastAsia="方正仿宋_GBK"/>
          <w:sz w:val="28"/>
        </w:rPr>
        <w:t>建立知识产权公共服务体系。建设便企利民、互联互通的全区知识产权信息公共服务平台，推动商标、专利等知识产权信息的传播利用。加强知识产权服务机构培育。指导辖区知识产权信息服务工作。</w:t>
      </w:r>
    </w:p>
    <w:p>
      <w:pPr>
        <w:spacing w:line="500" w:lineRule="exact"/>
        <w:ind w:firstLine="560" w:firstLineChars="200"/>
        <w:jc w:val="left"/>
        <w:rPr>
          <w:rFonts w:eastAsia="方正仿宋_GBK"/>
          <w:sz w:val="28"/>
        </w:rPr>
      </w:pPr>
      <w:r>
        <w:rPr>
          <w:rFonts w:eastAsia="方正仿宋_GBK"/>
          <w:sz w:val="28"/>
        </w:rPr>
        <w:t>全区市场监督管理科技和信息化建设、新闻宣传、对外交流与合作。按规定承担技术性贸易措施有关工作。</w:t>
      </w:r>
    </w:p>
    <w:p>
      <w:pPr>
        <w:spacing w:line="500" w:lineRule="exact"/>
        <w:ind w:firstLine="560" w:firstLineChars="200"/>
        <w:jc w:val="left"/>
        <w:rPr>
          <w:rFonts w:eastAsia="方正仿宋_GBK"/>
          <w:sz w:val="28"/>
        </w:rPr>
      </w:pPr>
      <w:r>
        <w:rPr>
          <w:rFonts w:eastAsia="方正仿宋_GBK"/>
          <w:sz w:val="28"/>
        </w:rPr>
        <w:t>研究拟定药品流通行业发展规划、政策和相关标准，推进药品流通行业结构调整，指导药品流通企业改革，推动现代化药品流通方式的发展。</w:t>
      </w:r>
    </w:p>
    <w:p>
      <w:pPr>
        <w:spacing w:line="500" w:lineRule="exact"/>
        <w:ind w:firstLine="560" w:firstLineChars="200"/>
        <w:jc w:val="left"/>
        <w:rPr>
          <w:rFonts w:eastAsia="方正仿宋_GBK"/>
          <w:sz w:val="28"/>
        </w:rPr>
      </w:pPr>
      <w:r>
        <w:rPr>
          <w:rFonts w:eastAsia="方正仿宋_GBK"/>
          <w:sz w:val="28"/>
        </w:rPr>
        <w:t>药品（含中药、民族药，下同）、医疗器械和化妆品监督管理。贯彻执行国家、省药品、医疗器械和化妆品法律法规，监督实施经营、使用质量管理规范。推动落实药品、医疗器械和化妆品安全企业主体责任。依职责负责组织指导药品、医疗器械和化妆品监督检查，依法查处药品零售、医疗器械经营、化妆品经营和药品、医疗器械使用环节的违法行为。贯彻鼓励药品、医疗器械和化妆品新技术新产品的管理与服务政策。依权限承担省药品监督管理局和市市场监督管理局关于药品、医疗器械和化妆品委托和下放的职责。</w:t>
      </w:r>
    </w:p>
    <w:p>
      <w:pPr>
        <w:spacing w:line="500" w:lineRule="exact"/>
        <w:ind w:firstLine="560" w:firstLineChars="200"/>
        <w:jc w:val="left"/>
        <w:rPr>
          <w:rFonts w:eastAsia="方正仿宋_GBK"/>
          <w:sz w:val="28"/>
        </w:rPr>
      </w:pPr>
      <w:r>
        <w:rPr>
          <w:rFonts w:eastAsia="方正仿宋_GBK"/>
          <w:sz w:val="28"/>
        </w:rPr>
        <w:t>监督实施国家药品、医疗器械和化妆品标准，参与完善中药材地方标准，组织落实分类管理制度。配合实施国家基本药物制度。负责药品、医疗器械和化妆品上市后风险管理，开展药品不良反应、医疗器械不良事件、化妆品不良反应监测、评价和处置工作。推进药品、医疗器械和化妆品安全监管信息化建设，完善药品、医疗器械、化妆品安全信息统一公布制度和重大信息直报制度。依法承担药品、医疗器械和化妆品安全应急管理工作。</w:t>
      </w:r>
    </w:p>
    <w:p>
      <w:pPr>
        <w:pStyle w:val="15"/>
      </w:pPr>
    </w:p>
    <w:p>
      <w:pPr>
        <w:ind w:firstLine="640"/>
        <w:rPr>
          <w:rFonts w:ascii="仿宋_GB2312" w:hAnsi="仿宋_GB2312" w:eastAsia="仿宋_GB2312" w:cs="仿宋_GB2312"/>
          <w:sz w:val="32"/>
          <w:szCs w:val="32"/>
        </w:rPr>
      </w:pPr>
      <w:r>
        <w:rPr>
          <w:rFonts w:ascii="方正楷体_GBK" w:hAnsi="方正楷体_GBK" w:eastAsia="方正楷体_GBK" w:cs="方正楷体_GBK"/>
          <w:b/>
          <w:color w:val="000000"/>
          <w:sz w:val="32"/>
        </w:rPr>
        <w:t>机构设置：</w:t>
      </w:r>
      <w:r>
        <w:rPr>
          <w:rFonts w:hint="eastAsia" w:ascii="宋体" w:hAnsi="宋体" w:cs="宋体"/>
          <w:sz w:val="32"/>
          <w:szCs w:val="32"/>
        </w:rPr>
        <w:t>单位内设14个科室，派出机构8个具体如下：</w:t>
      </w:r>
    </w:p>
    <w:p>
      <w:pPr>
        <w:jc w:val="center"/>
        <w:outlineLvl w:val="0"/>
        <w:rPr>
          <w:rFonts w:ascii="宋体" w:cs="宋体"/>
          <w:sz w:val="32"/>
          <w:szCs w:val="32"/>
        </w:rPr>
      </w:pPr>
      <w:r>
        <w:rPr>
          <w:rFonts w:hint="eastAsia" w:ascii="宋体" w:hAnsi="宋体" w:cs="宋体"/>
          <w:sz w:val="32"/>
          <w:szCs w:val="32"/>
        </w:rPr>
        <w:t>部门机构设置情况</w:t>
      </w:r>
    </w:p>
    <w:tbl>
      <w:tblPr>
        <w:tblStyle w:val="3"/>
        <w:tblW w:w="109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8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683" w:type="dxa"/>
            <w:vMerge w:val="restart"/>
            <w:vAlign w:val="center"/>
          </w:tcPr>
          <w:p>
            <w:pPr>
              <w:spacing w:line="300" w:lineRule="exact"/>
              <w:jc w:val="center"/>
              <w:rPr>
                <w:rFonts w:ascii="宋体" w:cs="宋体"/>
                <w:b/>
                <w:sz w:val="32"/>
                <w:szCs w:val="32"/>
              </w:rPr>
            </w:pPr>
            <w:r>
              <w:rPr>
                <w:rFonts w:hint="eastAsia" w:ascii="宋体" w:hAnsi="宋体" w:cs="宋体"/>
                <w:b/>
                <w:sz w:val="32"/>
                <w:szCs w:val="32"/>
              </w:rPr>
              <w:t>单位名称</w:t>
            </w:r>
          </w:p>
        </w:tc>
        <w:tc>
          <w:tcPr>
            <w:tcW w:w="1134" w:type="dxa"/>
            <w:vMerge w:val="restart"/>
            <w:vAlign w:val="center"/>
          </w:tcPr>
          <w:p>
            <w:pPr>
              <w:spacing w:line="300" w:lineRule="exact"/>
              <w:jc w:val="center"/>
              <w:rPr>
                <w:rFonts w:ascii="宋体" w:cs="宋体"/>
                <w:b/>
                <w:sz w:val="32"/>
                <w:szCs w:val="32"/>
              </w:rPr>
            </w:pPr>
            <w:r>
              <w:rPr>
                <w:rFonts w:hint="eastAsia" w:ascii="宋体" w:hAnsi="宋体" w:cs="宋体"/>
                <w:b/>
                <w:sz w:val="32"/>
                <w:szCs w:val="32"/>
              </w:rPr>
              <w:t>单位性质</w:t>
            </w:r>
          </w:p>
        </w:tc>
        <w:tc>
          <w:tcPr>
            <w:tcW w:w="1276" w:type="dxa"/>
            <w:vMerge w:val="restart"/>
            <w:vAlign w:val="center"/>
          </w:tcPr>
          <w:p>
            <w:pPr>
              <w:spacing w:line="300" w:lineRule="exact"/>
              <w:jc w:val="center"/>
              <w:rPr>
                <w:rFonts w:ascii="宋体" w:cs="宋体"/>
                <w:b/>
                <w:sz w:val="32"/>
                <w:szCs w:val="32"/>
              </w:rPr>
            </w:pPr>
            <w:r>
              <w:rPr>
                <w:rFonts w:hint="eastAsia" w:ascii="宋体" w:hAnsi="宋体" w:cs="宋体"/>
                <w:b/>
                <w:sz w:val="32"/>
                <w:szCs w:val="32"/>
              </w:rPr>
              <w:t>单位规格</w:t>
            </w:r>
          </w:p>
        </w:tc>
        <w:tc>
          <w:tcPr>
            <w:tcW w:w="2902" w:type="dxa"/>
            <w:vMerge w:val="restart"/>
            <w:vAlign w:val="center"/>
          </w:tcPr>
          <w:p>
            <w:pPr>
              <w:spacing w:line="300" w:lineRule="exact"/>
              <w:jc w:val="center"/>
              <w:rPr>
                <w:rFonts w:ascii="宋体" w:cs="宋体"/>
                <w:b/>
                <w:sz w:val="32"/>
                <w:szCs w:val="32"/>
              </w:rPr>
            </w:pPr>
            <w:r>
              <w:rPr>
                <w:rFonts w:hint="eastAsia" w:ascii="宋体" w:hAnsi="宋体" w:cs="宋体"/>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683" w:type="dxa"/>
            <w:vMerge w:val="continue"/>
            <w:vAlign w:val="center"/>
          </w:tcPr>
          <w:p>
            <w:pPr>
              <w:spacing w:line="300" w:lineRule="exact"/>
              <w:jc w:val="left"/>
              <w:outlineLvl w:val="0"/>
              <w:rPr>
                <w:rFonts w:ascii="宋体" w:cs="宋体"/>
                <w:sz w:val="32"/>
                <w:szCs w:val="32"/>
              </w:rPr>
            </w:pPr>
          </w:p>
        </w:tc>
        <w:tc>
          <w:tcPr>
            <w:tcW w:w="1134" w:type="dxa"/>
            <w:vMerge w:val="continue"/>
            <w:vAlign w:val="center"/>
          </w:tcPr>
          <w:p>
            <w:pPr>
              <w:spacing w:line="300" w:lineRule="exact"/>
              <w:jc w:val="left"/>
              <w:outlineLvl w:val="0"/>
              <w:rPr>
                <w:rFonts w:ascii="宋体" w:cs="宋体"/>
                <w:sz w:val="32"/>
                <w:szCs w:val="32"/>
              </w:rPr>
            </w:pPr>
          </w:p>
        </w:tc>
        <w:tc>
          <w:tcPr>
            <w:tcW w:w="1276" w:type="dxa"/>
            <w:vMerge w:val="continue"/>
            <w:vAlign w:val="center"/>
          </w:tcPr>
          <w:p>
            <w:pPr>
              <w:spacing w:line="300" w:lineRule="exact"/>
              <w:jc w:val="left"/>
              <w:outlineLvl w:val="0"/>
              <w:rPr>
                <w:rFonts w:ascii="宋体" w:cs="宋体"/>
                <w:sz w:val="32"/>
                <w:szCs w:val="32"/>
              </w:rPr>
            </w:pPr>
          </w:p>
        </w:tc>
        <w:tc>
          <w:tcPr>
            <w:tcW w:w="2902" w:type="dxa"/>
            <w:vMerge w:val="continue"/>
            <w:vAlign w:val="center"/>
          </w:tcPr>
          <w:p>
            <w:pPr>
              <w:spacing w:line="300" w:lineRule="exact"/>
              <w:jc w:val="left"/>
              <w:outlineLvl w:val="0"/>
              <w:rPr>
                <w:rFonts w:ascii="宋体" w:cs="宋体"/>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683" w:type="dxa"/>
            <w:vAlign w:val="center"/>
          </w:tcPr>
          <w:p>
            <w:pPr>
              <w:spacing w:line="300" w:lineRule="exact"/>
              <w:jc w:val="left"/>
              <w:rPr>
                <w:rFonts w:ascii="宋体" w:cs="宋体"/>
                <w:sz w:val="32"/>
                <w:szCs w:val="32"/>
              </w:rPr>
            </w:pPr>
            <w:r>
              <w:rPr>
                <w:rFonts w:hint="eastAsia" w:ascii="宋体" w:hAnsi="宋体" w:cs="宋体"/>
                <w:sz w:val="32"/>
                <w:szCs w:val="32"/>
              </w:rPr>
              <w:t>综合办公室</w:t>
            </w:r>
          </w:p>
        </w:tc>
        <w:tc>
          <w:tcPr>
            <w:tcW w:w="1134" w:type="dxa"/>
            <w:vAlign w:val="center"/>
          </w:tcPr>
          <w:p>
            <w:pPr>
              <w:spacing w:line="300" w:lineRule="exact"/>
              <w:jc w:val="center"/>
              <w:rPr>
                <w:rFonts w:ascii="宋体" w:cs="宋体"/>
                <w:sz w:val="32"/>
                <w:szCs w:val="32"/>
              </w:rPr>
            </w:pPr>
            <w:r>
              <w:rPr>
                <w:rFonts w:hint="eastAsia" w:ascii="宋体" w:hAnsi="宋体" w:cs="宋体"/>
                <w:sz w:val="32"/>
                <w:szCs w:val="32"/>
              </w:rPr>
              <w:t>行政</w:t>
            </w:r>
          </w:p>
        </w:tc>
        <w:tc>
          <w:tcPr>
            <w:tcW w:w="1276" w:type="dxa"/>
            <w:vAlign w:val="center"/>
          </w:tcPr>
          <w:p>
            <w:pPr>
              <w:spacing w:line="300" w:lineRule="exact"/>
              <w:jc w:val="center"/>
              <w:rPr>
                <w:rFonts w:ascii="宋体" w:cs="宋体"/>
                <w:sz w:val="32"/>
                <w:szCs w:val="32"/>
              </w:rPr>
            </w:pPr>
            <w:r>
              <w:rPr>
                <w:rFonts w:hint="eastAsia" w:ascii="宋体" w:hAnsi="宋体" w:cs="宋体"/>
                <w:sz w:val="32"/>
                <w:szCs w:val="32"/>
              </w:rPr>
              <w:t>股级</w:t>
            </w:r>
          </w:p>
        </w:tc>
        <w:tc>
          <w:tcPr>
            <w:tcW w:w="2902" w:type="dxa"/>
            <w:vAlign w:val="center"/>
          </w:tcPr>
          <w:p>
            <w:pPr>
              <w:spacing w:line="300" w:lineRule="exact"/>
              <w:jc w:val="center"/>
              <w:rPr>
                <w:rFonts w:ascii="宋体" w:cs="宋体"/>
                <w:sz w:val="32"/>
                <w:szCs w:val="32"/>
              </w:rPr>
            </w:pPr>
            <w:r>
              <w:rPr>
                <w:rFonts w:hint="eastAsia" w:ascii="宋体" w:hAnsi="宋体" w:cs="宋体"/>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5683" w:type="dxa"/>
            <w:vAlign w:val="center"/>
          </w:tcPr>
          <w:p>
            <w:pPr>
              <w:spacing w:line="300" w:lineRule="exact"/>
              <w:jc w:val="left"/>
              <w:rPr>
                <w:rFonts w:hint="eastAsia" w:ascii="宋体" w:hAnsi="宋体" w:cs="宋体"/>
                <w:sz w:val="32"/>
                <w:szCs w:val="32"/>
              </w:rPr>
            </w:pPr>
            <w:r>
              <w:rPr>
                <w:rFonts w:hint="eastAsia" w:ascii="宋体" w:hAnsi="宋体" w:cs="宋体"/>
                <w:sz w:val="32"/>
                <w:szCs w:val="32"/>
              </w:rPr>
              <w:t>政策法规与应急处置科</w:t>
            </w:r>
          </w:p>
        </w:tc>
        <w:tc>
          <w:tcPr>
            <w:tcW w:w="1134" w:type="dxa"/>
            <w:vAlign w:val="center"/>
          </w:tcPr>
          <w:p>
            <w:pPr>
              <w:spacing w:line="300" w:lineRule="exact"/>
              <w:jc w:val="center"/>
              <w:rPr>
                <w:rFonts w:ascii="宋体" w:cs="宋体"/>
                <w:sz w:val="32"/>
                <w:szCs w:val="32"/>
              </w:rPr>
            </w:pPr>
            <w:r>
              <w:rPr>
                <w:rFonts w:hint="eastAsia" w:ascii="宋体" w:hAnsi="宋体" w:cs="宋体"/>
                <w:sz w:val="32"/>
                <w:szCs w:val="32"/>
              </w:rPr>
              <w:t>行政</w:t>
            </w:r>
          </w:p>
        </w:tc>
        <w:tc>
          <w:tcPr>
            <w:tcW w:w="1276" w:type="dxa"/>
            <w:vAlign w:val="center"/>
          </w:tcPr>
          <w:p>
            <w:pPr>
              <w:spacing w:line="300" w:lineRule="exact"/>
              <w:jc w:val="center"/>
              <w:rPr>
                <w:rFonts w:ascii="宋体" w:cs="宋体"/>
                <w:sz w:val="32"/>
                <w:szCs w:val="32"/>
              </w:rPr>
            </w:pPr>
            <w:r>
              <w:rPr>
                <w:rFonts w:hint="eastAsia" w:ascii="宋体" w:hAnsi="宋体" w:cs="宋体"/>
                <w:sz w:val="32"/>
                <w:szCs w:val="32"/>
              </w:rPr>
              <w:t>股级</w:t>
            </w:r>
          </w:p>
        </w:tc>
        <w:tc>
          <w:tcPr>
            <w:tcW w:w="2902" w:type="dxa"/>
            <w:vAlign w:val="center"/>
          </w:tcPr>
          <w:p>
            <w:pPr>
              <w:spacing w:line="300" w:lineRule="exact"/>
              <w:jc w:val="center"/>
              <w:rPr>
                <w:rFonts w:ascii="宋体" w:cs="宋体"/>
                <w:sz w:val="32"/>
                <w:szCs w:val="32"/>
              </w:rPr>
            </w:pPr>
            <w:r>
              <w:rPr>
                <w:rFonts w:hint="eastAsia" w:ascii="宋体" w:hAnsi="宋体" w:cs="宋体"/>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683" w:type="dxa"/>
            <w:vAlign w:val="center"/>
          </w:tcPr>
          <w:p>
            <w:pPr>
              <w:spacing w:line="300" w:lineRule="exact"/>
              <w:jc w:val="left"/>
              <w:rPr>
                <w:rFonts w:hint="eastAsia" w:ascii="宋体" w:hAnsi="宋体" w:cs="宋体"/>
                <w:sz w:val="32"/>
                <w:szCs w:val="32"/>
              </w:rPr>
            </w:pPr>
            <w:r>
              <w:rPr>
                <w:rFonts w:hint="eastAsia" w:ascii="宋体" w:hAnsi="宋体" w:cs="宋体"/>
                <w:sz w:val="32"/>
                <w:szCs w:val="32"/>
              </w:rPr>
              <w:t>信用监督管理科</w:t>
            </w:r>
          </w:p>
        </w:tc>
        <w:tc>
          <w:tcPr>
            <w:tcW w:w="1134" w:type="dxa"/>
            <w:vAlign w:val="center"/>
          </w:tcPr>
          <w:p>
            <w:pPr>
              <w:spacing w:line="300" w:lineRule="exact"/>
              <w:jc w:val="center"/>
              <w:rPr>
                <w:rFonts w:ascii="宋体" w:cs="宋体"/>
                <w:sz w:val="32"/>
                <w:szCs w:val="32"/>
              </w:rPr>
            </w:pPr>
            <w:r>
              <w:rPr>
                <w:rFonts w:hint="eastAsia" w:ascii="宋体" w:hAnsi="宋体" w:cs="宋体"/>
                <w:sz w:val="32"/>
                <w:szCs w:val="32"/>
              </w:rPr>
              <w:t>行政</w:t>
            </w:r>
          </w:p>
        </w:tc>
        <w:tc>
          <w:tcPr>
            <w:tcW w:w="1276" w:type="dxa"/>
            <w:vAlign w:val="center"/>
          </w:tcPr>
          <w:p>
            <w:pPr>
              <w:spacing w:line="300" w:lineRule="exact"/>
              <w:jc w:val="center"/>
              <w:rPr>
                <w:rFonts w:ascii="宋体" w:cs="宋体"/>
                <w:sz w:val="32"/>
                <w:szCs w:val="32"/>
              </w:rPr>
            </w:pPr>
            <w:r>
              <w:rPr>
                <w:rFonts w:hint="eastAsia" w:ascii="宋体" w:hAnsi="宋体" w:cs="宋体"/>
                <w:sz w:val="32"/>
                <w:szCs w:val="32"/>
              </w:rPr>
              <w:t>股级</w:t>
            </w:r>
          </w:p>
        </w:tc>
        <w:tc>
          <w:tcPr>
            <w:tcW w:w="2902" w:type="dxa"/>
            <w:vAlign w:val="center"/>
          </w:tcPr>
          <w:p>
            <w:pPr>
              <w:spacing w:line="300" w:lineRule="exact"/>
              <w:jc w:val="center"/>
              <w:rPr>
                <w:rFonts w:ascii="宋体" w:cs="宋体"/>
                <w:sz w:val="32"/>
                <w:szCs w:val="32"/>
              </w:rPr>
            </w:pPr>
            <w:r>
              <w:rPr>
                <w:rFonts w:hint="eastAsia" w:ascii="宋体" w:hAnsi="宋体" w:cs="宋体"/>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683" w:type="dxa"/>
            <w:vAlign w:val="center"/>
          </w:tcPr>
          <w:p>
            <w:pPr>
              <w:spacing w:line="300" w:lineRule="exact"/>
              <w:jc w:val="left"/>
              <w:rPr>
                <w:rFonts w:hint="eastAsia" w:ascii="宋体" w:hAnsi="宋体" w:cs="宋体"/>
                <w:sz w:val="32"/>
                <w:szCs w:val="32"/>
              </w:rPr>
            </w:pPr>
            <w:r>
              <w:rPr>
                <w:rFonts w:hint="eastAsia" w:ascii="宋体" w:hAnsi="宋体" w:cs="宋体"/>
                <w:sz w:val="32"/>
                <w:szCs w:val="32"/>
              </w:rPr>
              <w:t>网络交易与消费者权益保护科</w:t>
            </w:r>
          </w:p>
        </w:tc>
        <w:tc>
          <w:tcPr>
            <w:tcW w:w="1134" w:type="dxa"/>
            <w:vAlign w:val="center"/>
          </w:tcPr>
          <w:p>
            <w:pPr>
              <w:spacing w:line="300" w:lineRule="exact"/>
              <w:jc w:val="center"/>
              <w:rPr>
                <w:rFonts w:ascii="宋体" w:cs="宋体"/>
                <w:sz w:val="32"/>
                <w:szCs w:val="32"/>
              </w:rPr>
            </w:pPr>
            <w:r>
              <w:rPr>
                <w:rFonts w:hint="eastAsia" w:ascii="宋体" w:hAnsi="宋体" w:cs="宋体"/>
                <w:sz w:val="32"/>
                <w:szCs w:val="32"/>
              </w:rPr>
              <w:t>行政</w:t>
            </w:r>
          </w:p>
        </w:tc>
        <w:tc>
          <w:tcPr>
            <w:tcW w:w="1276" w:type="dxa"/>
            <w:vAlign w:val="center"/>
          </w:tcPr>
          <w:p>
            <w:pPr>
              <w:spacing w:line="300" w:lineRule="exact"/>
              <w:jc w:val="center"/>
              <w:rPr>
                <w:rFonts w:ascii="宋体" w:cs="宋体"/>
                <w:sz w:val="32"/>
                <w:szCs w:val="32"/>
              </w:rPr>
            </w:pPr>
            <w:r>
              <w:rPr>
                <w:rFonts w:hint="eastAsia" w:ascii="宋体" w:hAnsi="宋体" w:cs="宋体"/>
                <w:sz w:val="32"/>
                <w:szCs w:val="32"/>
              </w:rPr>
              <w:t>股级</w:t>
            </w:r>
          </w:p>
        </w:tc>
        <w:tc>
          <w:tcPr>
            <w:tcW w:w="2902" w:type="dxa"/>
            <w:vAlign w:val="center"/>
          </w:tcPr>
          <w:p>
            <w:pPr>
              <w:spacing w:line="300" w:lineRule="exact"/>
              <w:jc w:val="center"/>
              <w:rPr>
                <w:rFonts w:ascii="宋体" w:cs="宋体"/>
                <w:sz w:val="32"/>
                <w:szCs w:val="32"/>
              </w:rPr>
            </w:pPr>
            <w:r>
              <w:rPr>
                <w:rFonts w:hint="eastAsia" w:ascii="宋体" w:hAnsi="宋体" w:cs="宋体"/>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683" w:type="dxa"/>
            <w:vAlign w:val="center"/>
          </w:tcPr>
          <w:p>
            <w:pPr>
              <w:spacing w:line="300" w:lineRule="exact"/>
              <w:jc w:val="left"/>
              <w:rPr>
                <w:rFonts w:hint="eastAsia" w:ascii="宋体" w:hAnsi="宋体" w:cs="宋体"/>
                <w:sz w:val="32"/>
                <w:szCs w:val="32"/>
              </w:rPr>
            </w:pPr>
            <w:r>
              <w:rPr>
                <w:rFonts w:hint="eastAsia" w:ascii="宋体" w:hAnsi="宋体" w:cs="宋体"/>
                <w:sz w:val="32"/>
                <w:szCs w:val="32"/>
              </w:rPr>
              <w:t>食品安全综合协调科</w:t>
            </w:r>
          </w:p>
        </w:tc>
        <w:tc>
          <w:tcPr>
            <w:tcW w:w="1134" w:type="dxa"/>
            <w:vAlign w:val="center"/>
          </w:tcPr>
          <w:p>
            <w:pPr>
              <w:spacing w:line="300" w:lineRule="exact"/>
              <w:jc w:val="center"/>
              <w:rPr>
                <w:rFonts w:ascii="宋体" w:cs="宋体"/>
                <w:sz w:val="32"/>
                <w:szCs w:val="32"/>
              </w:rPr>
            </w:pPr>
            <w:r>
              <w:rPr>
                <w:rFonts w:hint="eastAsia" w:ascii="宋体" w:hAnsi="宋体" w:cs="宋体"/>
                <w:sz w:val="32"/>
                <w:szCs w:val="32"/>
              </w:rPr>
              <w:t>行政</w:t>
            </w:r>
          </w:p>
        </w:tc>
        <w:tc>
          <w:tcPr>
            <w:tcW w:w="1276" w:type="dxa"/>
            <w:vAlign w:val="center"/>
          </w:tcPr>
          <w:p>
            <w:pPr>
              <w:spacing w:line="300" w:lineRule="exact"/>
              <w:jc w:val="center"/>
              <w:rPr>
                <w:rFonts w:ascii="宋体" w:cs="宋体"/>
                <w:sz w:val="32"/>
                <w:szCs w:val="32"/>
              </w:rPr>
            </w:pPr>
            <w:r>
              <w:rPr>
                <w:rFonts w:hint="eastAsia" w:ascii="宋体" w:hAnsi="宋体" w:cs="宋体"/>
                <w:sz w:val="32"/>
                <w:szCs w:val="32"/>
              </w:rPr>
              <w:t>股级</w:t>
            </w:r>
          </w:p>
        </w:tc>
        <w:tc>
          <w:tcPr>
            <w:tcW w:w="2902" w:type="dxa"/>
            <w:vAlign w:val="center"/>
          </w:tcPr>
          <w:p>
            <w:pPr>
              <w:spacing w:line="300" w:lineRule="exact"/>
              <w:jc w:val="center"/>
              <w:rPr>
                <w:rFonts w:ascii="宋体" w:cs="宋体"/>
                <w:sz w:val="32"/>
                <w:szCs w:val="32"/>
              </w:rPr>
            </w:pPr>
            <w:r>
              <w:rPr>
                <w:rFonts w:hint="eastAsia" w:ascii="宋体" w:hAnsi="宋体" w:cs="宋体"/>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683" w:type="dxa"/>
            <w:vAlign w:val="center"/>
          </w:tcPr>
          <w:p>
            <w:pPr>
              <w:spacing w:line="300" w:lineRule="exact"/>
              <w:jc w:val="left"/>
              <w:rPr>
                <w:rFonts w:hint="eastAsia" w:ascii="宋体" w:hAnsi="宋体" w:cs="宋体"/>
                <w:sz w:val="32"/>
                <w:szCs w:val="32"/>
              </w:rPr>
            </w:pPr>
            <w:r>
              <w:rPr>
                <w:rFonts w:hint="eastAsia" w:ascii="宋体" w:hAnsi="宋体" w:cs="宋体"/>
                <w:sz w:val="32"/>
                <w:szCs w:val="32"/>
              </w:rPr>
              <w:t>食品生产安全监督管理科</w:t>
            </w:r>
          </w:p>
        </w:tc>
        <w:tc>
          <w:tcPr>
            <w:tcW w:w="1134" w:type="dxa"/>
            <w:vAlign w:val="center"/>
          </w:tcPr>
          <w:p>
            <w:pPr>
              <w:spacing w:line="300" w:lineRule="exact"/>
              <w:jc w:val="center"/>
              <w:rPr>
                <w:rFonts w:ascii="宋体" w:cs="宋体"/>
                <w:sz w:val="32"/>
                <w:szCs w:val="32"/>
              </w:rPr>
            </w:pPr>
            <w:r>
              <w:rPr>
                <w:rFonts w:hint="eastAsia" w:ascii="宋体" w:hAnsi="宋体" w:cs="宋体"/>
                <w:sz w:val="32"/>
                <w:szCs w:val="32"/>
              </w:rPr>
              <w:t>行政</w:t>
            </w:r>
          </w:p>
        </w:tc>
        <w:tc>
          <w:tcPr>
            <w:tcW w:w="1276" w:type="dxa"/>
            <w:vAlign w:val="center"/>
          </w:tcPr>
          <w:p>
            <w:pPr>
              <w:spacing w:line="300" w:lineRule="exact"/>
              <w:jc w:val="center"/>
              <w:rPr>
                <w:rFonts w:ascii="宋体" w:cs="宋体"/>
                <w:sz w:val="32"/>
                <w:szCs w:val="32"/>
              </w:rPr>
            </w:pPr>
            <w:r>
              <w:rPr>
                <w:rFonts w:hint="eastAsia" w:ascii="宋体" w:hAnsi="宋体" w:cs="宋体"/>
                <w:sz w:val="32"/>
                <w:szCs w:val="32"/>
              </w:rPr>
              <w:t>股级</w:t>
            </w:r>
          </w:p>
        </w:tc>
        <w:tc>
          <w:tcPr>
            <w:tcW w:w="2902" w:type="dxa"/>
            <w:vAlign w:val="center"/>
          </w:tcPr>
          <w:p>
            <w:pPr>
              <w:spacing w:line="300" w:lineRule="exact"/>
              <w:jc w:val="center"/>
              <w:rPr>
                <w:rFonts w:ascii="宋体" w:cs="宋体"/>
                <w:sz w:val="32"/>
                <w:szCs w:val="32"/>
              </w:rPr>
            </w:pPr>
            <w:r>
              <w:rPr>
                <w:rFonts w:hint="eastAsia" w:ascii="宋体" w:hAnsi="宋体" w:cs="宋体"/>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683" w:type="dxa"/>
            <w:vAlign w:val="center"/>
          </w:tcPr>
          <w:p>
            <w:pPr>
              <w:spacing w:line="300" w:lineRule="exact"/>
              <w:jc w:val="left"/>
              <w:rPr>
                <w:rFonts w:hint="eastAsia" w:ascii="宋体" w:hAnsi="宋体" w:cs="宋体"/>
                <w:sz w:val="32"/>
                <w:szCs w:val="32"/>
              </w:rPr>
            </w:pPr>
            <w:r>
              <w:rPr>
                <w:rFonts w:hint="eastAsia" w:ascii="宋体" w:hAnsi="宋体" w:cs="宋体"/>
                <w:sz w:val="32"/>
                <w:szCs w:val="32"/>
              </w:rPr>
              <w:t>食品流通安全监督管理科</w:t>
            </w:r>
          </w:p>
        </w:tc>
        <w:tc>
          <w:tcPr>
            <w:tcW w:w="1134" w:type="dxa"/>
            <w:vAlign w:val="center"/>
          </w:tcPr>
          <w:p>
            <w:pPr>
              <w:spacing w:line="300" w:lineRule="exact"/>
              <w:jc w:val="center"/>
              <w:rPr>
                <w:rFonts w:ascii="宋体" w:cs="宋体"/>
                <w:sz w:val="32"/>
                <w:szCs w:val="32"/>
              </w:rPr>
            </w:pPr>
            <w:r>
              <w:rPr>
                <w:rFonts w:hint="eastAsia" w:ascii="宋体" w:hAnsi="宋体" w:cs="宋体"/>
                <w:sz w:val="32"/>
                <w:szCs w:val="32"/>
              </w:rPr>
              <w:t>行政</w:t>
            </w:r>
          </w:p>
        </w:tc>
        <w:tc>
          <w:tcPr>
            <w:tcW w:w="1276" w:type="dxa"/>
            <w:vAlign w:val="center"/>
          </w:tcPr>
          <w:p>
            <w:pPr>
              <w:spacing w:line="300" w:lineRule="exact"/>
              <w:jc w:val="center"/>
              <w:rPr>
                <w:rFonts w:ascii="宋体" w:cs="宋体"/>
                <w:sz w:val="32"/>
                <w:szCs w:val="32"/>
              </w:rPr>
            </w:pPr>
            <w:r>
              <w:rPr>
                <w:rFonts w:hint="eastAsia" w:ascii="宋体" w:hAnsi="宋体" w:cs="宋体"/>
                <w:sz w:val="32"/>
                <w:szCs w:val="32"/>
              </w:rPr>
              <w:t>股级</w:t>
            </w:r>
          </w:p>
        </w:tc>
        <w:tc>
          <w:tcPr>
            <w:tcW w:w="2902" w:type="dxa"/>
            <w:vAlign w:val="center"/>
          </w:tcPr>
          <w:p>
            <w:pPr>
              <w:spacing w:line="300" w:lineRule="exact"/>
              <w:jc w:val="center"/>
              <w:rPr>
                <w:rFonts w:ascii="宋体" w:cs="宋体"/>
                <w:sz w:val="32"/>
                <w:szCs w:val="32"/>
              </w:rPr>
            </w:pPr>
            <w:r>
              <w:rPr>
                <w:rFonts w:hint="eastAsia" w:ascii="宋体" w:hAnsi="宋体" w:cs="宋体"/>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683" w:type="dxa"/>
            <w:vAlign w:val="center"/>
          </w:tcPr>
          <w:p>
            <w:pPr>
              <w:spacing w:line="300" w:lineRule="exact"/>
              <w:jc w:val="left"/>
              <w:rPr>
                <w:rFonts w:hint="eastAsia" w:ascii="宋体" w:hAnsi="宋体" w:cs="宋体"/>
                <w:sz w:val="32"/>
                <w:szCs w:val="32"/>
              </w:rPr>
            </w:pPr>
            <w:r>
              <w:rPr>
                <w:rFonts w:hint="eastAsia" w:ascii="宋体" w:hAnsi="宋体" w:cs="宋体"/>
                <w:sz w:val="32"/>
                <w:szCs w:val="32"/>
              </w:rPr>
              <w:t>食品餐饮监督管理科</w:t>
            </w:r>
          </w:p>
        </w:tc>
        <w:tc>
          <w:tcPr>
            <w:tcW w:w="1134" w:type="dxa"/>
            <w:vAlign w:val="center"/>
          </w:tcPr>
          <w:p>
            <w:pPr>
              <w:spacing w:line="300" w:lineRule="exact"/>
              <w:jc w:val="center"/>
              <w:rPr>
                <w:rFonts w:ascii="宋体" w:cs="宋体"/>
                <w:sz w:val="32"/>
                <w:szCs w:val="32"/>
              </w:rPr>
            </w:pPr>
            <w:r>
              <w:rPr>
                <w:rFonts w:hint="eastAsia" w:ascii="宋体" w:hAnsi="宋体" w:cs="宋体"/>
                <w:sz w:val="32"/>
                <w:szCs w:val="32"/>
              </w:rPr>
              <w:t>行政</w:t>
            </w:r>
          </w:p>
        </w:tc>
        <w:tc>
          <w:tcPr>
            <w:tcW w:w="1276" w:type="dxa"/>
            <w:vAlign w:val="center"/>
          </w:tcPr>
          <w:p>
            <w:pPr>
              <w:spacing w:line="300" w:lineRule="exact"/>
              <w:jc w:val="center"/>
              <w:rPr>
                <w:rFonts w:ascii="宋体" w:cs="宋体"/>
                <w:sz w:val="32"/>
                <w:szCs w:val="32"/>
              </w:rPr>
            </w:pPr>
            <w:r>
              <w:rPr>
                <w:rFonts w:hint="eastAsia" w:ascii="宋体" w:hAnsi="宋体" w:cs="宋体"/>
                <w:sz w:val="32"/>
                <w:szCs w:val="32"/>
              </w:rPr>
              <w:t>股级</w:t>
            </w:r>
          </w:p>
        </w:tc>
        <w:tc>
          <w:tcPr>
            <w:tcW w:w="2902" w:type="dxa"/>
            <w:vAlign w:val="center"/>
          </w:tcPr>
          <w:p>
            <w:pPr>
              <w:spacing w:line="300" w:lineRule="exact"/>
              <w:jc w:val="center"/>
              <w:rPr>
                <w:rFonts w:ascii="宋体" w:cs="宋体"/>
                <w:sz w:val="32"/>
                <w:szCs w:val="32"/>
              </w:rPr>
            </w:pPr>
            <w:r>
              <w:rPr>
                <w:rFonts w:hint="eastAsia" w:ascii="宋体" w:hAnsi="宋体" w:cs="宋体"/>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683" w:type="dxa"/>
            <w:vAlign w:val="center"/>
          </w:tcPr>
          <w:p>
            <w:pPr>
              <w:spacing w:line="300" w:lineRule="exact"/>
              <w:jc w:val="left"/>
              <w:rPr>
                <w:rFonts w:hint="eastAsia" w:ascii="宋体" w:hAnsi="宋体" w:cs="宋体"/>
                <w:sz w:val="32"/>
                <w:szCs w:val="32"/>
              </w:rPr>
            </w:pPr>
            <w:r>
              <w:rPr>
                <w:rFonts w:hint="eastAsia" w:ascii="宋体" w:hAnsi="宋体" w:cs="宋体"/>
                <w:sz w:val="32"/>
                <w:szCs w:val="32"/>
              </w:rPr>
              <w:t>药品医疗器械监督管理科</w:t>
            </w:r>
          </w:p>
        </w:tc>
        <w:tc>
          <w:tcPr>
            <w:tcW w:w="1134" w:type="dxa"/>
            <w:vAlign w:val="center"/>
          </w:tcPr>
          <w:p>
            <w:pPr>
              <w:spacing w:line="300" w:lineRule="exact"/>
              <w:jc w:val="center"/>
              <w:rPr>
                <w:rFonts w:ascii="宋体" w:hAnsi="宋体" w:cs="宋体"/>
                <w:sz w:val="32"/>
                <w:szCs w:val="32"/>
              </w:rPr>
            </w:pPr>
            <w:r>
              <w:rPr>
                <w:rFonts w:hint="eastAsia" w:ascii="宋体" w:hAnsi="宋体" w:cs="宋体"/>
                <w:sz w:val="32"/>
                <w:szCs w:val="32"/>
              </w:rPr>
              <w:t>行政</w:t>
            </w:r>
          </w:p>
        </w:tc>
        <w:tc>
          <w:tcPr>
            <w:tcW w:w="1276" w:type="dxa"/>
            <w:vAlign w:val="center"/>
          </w:tcPr>
          <w:p>
            <w:pPr>
              <w:spacing w:line="300" w:lineRule="exact"/>
              <w:jc w:val="center"/>
              <w:rPr>
                <w:rFonts w:ascii="宋体" w:cs="宋体"/>
                <w:sz w:val="32"/>
                <w:szCs w:val="32"/>
              </w:rPr>
            </w:pPr>
            <w:r>
              <w:rPr>
                <w:rFonts w:hint="eastAsia" w:ascii="宋体" w:hAnsi="宋体" w:cs="宋体"/>
                <w:sz w:val="32"/>
                <w:szCs w:val="32"/>
              </w:rPr>
              <w:t>股级</w:t>
            </w:r>
          </w:p>
        </w:tc>
        <w:tc>
          <w:tcPr>
            <w:tcW w:w="2902" w:type="dxa"/>
            <w:vAlign w:val="center"/>
          </w:tcPr>
          <w:p>
            <w:pPr>
              <w:spacing w:line="300" w:lineRule="exact"/>
              <w:jc w:val="center"/>
              <w:rPr>
                <w:rFonts w:ascii="宋体" w:cs="宋体"/>
                <w:sz w:val="32"/>
                <w:szCs w:val="32"/>
              </w:rPr>
            </w:pPr>
            <w:r>
              <w:rPr>
                <w:rFonts w:hint="eastAsia" w:ascii="宋体" w:hAnsi="宋体" w:cs="宋体"/>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683" w:type="dxa"/>
            <w:vAlign w:val="center"/>
          </w:tcPr>
          <w:p>
            <w:pPr>
              <w:spacing w:line="300" w:lineRule="exact"/>
              <w:jc w:val="left"/>
              <w:rPr>
                <w:rFonts w:hint="eastAsia" w:ascii="宋体" w:hAnsi="宋体" w:cs="宋体"/>
                <w:sz w:val="32"/>
                <w:szCs w:val="32"/>
              </w:rPr>
            </w:pPr>
            <w:r>
              <w:rPr>
                <w:rFonts w:hint="eastAsia" w:ascii="宋体" w:hAnsi="宋体" w:cs="宋体"/>
                <w:sz w:val="32"/>
                <w:szCs w:val="32"/>
              </w:rPr>
              <w:t>标准计量科</w:t>
            </w:r>
          </w:p>
        </w:tc>
        <w:tc>
          <w:tcPr>
            <w:tcW w:w="1134" w:type="dxa"/>
            <w:vAlign w:val="center"/>
          </w:tcPr>
          <w:p>
            <w:pPr>
              <w:spacing w:line="300" w:lineRule="exact"/>
              <w:jc w:val="center"/>
              <w:rPr>
                <w:rFonts w:ascii="宋体" w:hAnsi="宋体" w:cs="宋体"/>
                <w:sz w:val="32"/>
                <w:szCs w:val="32"/>
              </w:rPr>
            </w:pPr>
            <w:r>
              <w:rPr>
                <w:rFonts w:hint="eastAsia" w:ascii="宋体" w:hAnsi="宋体" w:cs="宋体"/>
                <w:sz w:val="32"/>
                <w:szCs w:val="32"/>
              </w:rPr>
              <w:t>行政</w:t>
            </w:r>
          </w:p>
        </w:tc>
        <w:tc>
          <w:tcPr>
            <w:tcW w:w="1276" w:type="dxa"/>
            <w:vAlign w:val="center"/>
          </w:tcPr>
          <w:p>
            <w:pPr>
              <w:spacing w:line="300" w:lineRule="exact"/>
              <w:jc w:val="center"/>
              <w:rPr>
                <w:rFonts w:ascii="宋体" w:cs="宋体"/>
                <w:sz w:val="32"/>
                <w:szCs w:val="32"/>
              </w:rPr>
            </w:pPr>
            <w:r>
              <w:rPr>
                <w:rFonts w:hint="eastAsia" w:ascii="宋体" w:hAnsi="宋体" w:cs="宋体"/>
                <w:sz w:val="32"/>
                <w:szCs w:val="32"/>
              </w:rPr>
              <w:t>股级</w:t>
            </w:r>
          </w:p>
        </w:tc>
        <w:tc>
          <w:tcPr>
            <w:tcW w:w="2902" w:type="dxa"/>
            <w:vAlign w:val="center"/>
          </w:tcPr>
          <w:p>
            <w:pPr>
              <w:spacing w:line="300" w:lineRule="exact"/>
              <w:jc w:val="center"/>
              <w:rPr>
                <w:rFonts w:ascii="宋体" w:cs="宋体"/>
                <w:sz w:val="32"/>
                <w:szCs w:val="32"/>
              </w:rPr>
            </w:pPr>
            <w:r>
              <w:rPr>
                <w:rFonts w:hint="eastAsia" w:ascii="宋体" w:hAnsi="宋体" w:cs="宋体"/>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683" w:type="dxa"/>
            <w:vAlign w:val="center"/>
          </w:tcPr>
          <w:p>
            <w:pPr>
              <w:spacing w:line="300" w:lineRule="exact"/>
              <w:jc w:val="left"/>
              <w:rPr>
                <w:rFonts w:hint="eastAsia" w:ascii="宋体" w:hAnsi="宋体" w:cs="宋体"/>
                <w:sz w:val="32"/>
                <w:szCs w:val="32"/>
              </w:rPr>
            </w:pPr>
            <w:r>
              <w:rPr>
                <w:rFonts w:hint="eastAsia" w:ascii="宋体" w:hAnsi="宋体" w:cs="宋体"/>
                <w:sz w:val="32"/>
                <w:szCs w:val="32"/>
              </w:rPr>
              <w:t>特种设备安全监察科</w:t>
            </w:r>
          </w:p>
        </w:tc>
        <w:tc>
          <w:tcPr>
            <w:tcW w:w="1134" w:type="dxa"/>
            <w:vAlign w:val="center"/>
          </w:tcPr>
          <w:p>
            <w:pPr>
              <w:spacing w:line="300" w:lineRule="exact"/>
              <w:jc w:val="center"/>
              <w:rPr>
                <w:rFonts w:ascii="宋体" w:hAnsi="宋体" w:cs="宋体"/>
                <w:sz w:val="32"/>
                <w:szCs w:val="32"/>
              </w:rPr>
            </w:pPr>
            <w:r>
              <w:rPr>
                <w:rFonts w:hint="eastAsia" w:ascii="宋体" w:hAnsi="宋体" w:cs="宋体"/>
                <w:sz w:val="32"/>
                <w:szCs w:val="32"/>
              </w:rPr>
              <w:t>行政</w:t>
            </w:r>
          </w:p>
        </w:tc>
        <w:tc>
          <w:tcPr>
            <w:tcW w:w="1276" w:type="dxa"/>
            <w:vAlign w:val="center"/>
          </w:tcPr>
          <w:p>
            <w:pPr>
              <w:spacing w:line="300" w:lineRule="exact"/>
              <w:jc w:val="center"/>
              <w:rPr>
                <w:rFonts w:ascii="宋体" w:cs="宋体"/>
                <w:sz w:val="32"/>
                <w:szCs w:val="32"/>
              </w:rPr>
            </w:pPr>
            <w:r>
              <w:rPr>
                <w:rFonts w:hint="eastAsia" w:ascii="宋体" w:hAnsi="宋体" w:cs="宋体"/>
                <w:sz w:val="32"/>
                <w:szCs w:val="32"/>
              </w:rPr>
              <w:t>股级</w:t>
            </w:r>
          </w:p>
        </w:tc>
        <w:tc>
          <w:tcPr>
            <w:tcW w:w="2902" w:type="dxa"/>
            <w:vAlign w:val="center"/>
          </w:tcPr>
          <w:p>
            <w:pPr>
              <w:spacing w:line="300" w:lineRule="exact"/>
              <w:jc w:val="center"/>
              <w:rPr>
                <w:rFonts w:ascii="宋体" w:cs="宋体"/>
                <w:sz w:val="32"/>
                <w:szCs w:val="32"/>
              </w:rPr>
            </w:pPr>
            <w:r>
              <w:rPr>
                <w:rFonts w:hint="eastAsia" w:ascii="宋体" w:hAnsi="宋体" w:cs="宋体"/>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683" w:type="dxa"/>
            <w:vAlign w:val="center"/>
          </w:tcPr>
          <w:p>
            <w:pPr>
              <w:spacing w:line="300" w:lineRule="exact"/>
              <w:jc w:val="left"/>
              <w:rPr>
                <w:rFonts w:hint="eastAsia" w:ascii="宋体" w:hAnsi="宋体" w:cs="宋体"/>
                <w:sz w:val="32"/>
                <w:szCs w:val="32"/>
              </w:rPr>
            </w:pPr>
            <w:r>
              <w:rPr>
                <w:rFonts w:hint="eastAsia" w:ascii="宋体" w:hAnsi="宋体" w:cs="宋体"/>
                <w:sz w:val="32"/>
                <w:szCs w:val="32"/>
              </w:rPr>
              <w:t>知识产权和广告监督管理科</w:t>
            </w:r>
          </w:p>
        </w:tc>
        <w:tc>
          <w:tcPr>
            <w:tcW w:w="1134" w:type="dxa"/>
            <w:vAlign w:val="center"/>
          </w:tcPr>
          <w:p>
            <w:pPr>
              <w:spacing w:line="300" w:lineRule="exact"/>
              <w:jc w:val="center"/>
              <w:rPr>
                <w:rFonts w:ascii="宋体" w:hAnsi="宋体" w:cs="宋体"/>
                <w:sz w:val="32"/>
                <w:szCs w:val="32"/>
              </w:rPr>
            </w:pPr>
            <w:r>
              <w:rPr>
                <w:rFonts w:hint="eastAsia" w:ascii="宋体" w:hAnsi="宋体" w:cs="宋体"/>
                <w:sz w:val="32"/>
                <w:szCs w:val="32"/>
              </w:rPr>
              <w:t>行政</w:t>
            </w:r>
          </w:p>
        </w:tc>
        <w:tc>
          <w:tcPr>
            <w:tcW w:w="1276" w:type="dxa"/>
            <w:vAlign w:val="center"/>
          </w:tcPr>
          <w:p>
            <w:pPr>
              <w:spacing w:line="300" w:lineRule="exact"/>
              <w:jc w:val="center"/>
              <w:rPr>
                <w:rFonts w:ascii="宋体" w:cs="宋体"/>
                <w:sz w:val="32"/>
                <w:szCs w:val="32"/>
              </w:rPr>
            </w:pPr>
            <w:r>
              <w:rPr>
                <w:rFonts w:hint="eastAsia" w:ascii="宋体" w:hAnsi="宋体" w:cs="宋体"/>
                <w:sz w:val="32"/>
                <w:szCs w:val="32"/>
              </w:rPr>
              <w:t>股级</w:t>
            </w:r>
          </w:p>
        </w:tc>
        <w:tc>
          <w:tcPr>
            <w:tcW w:w="2902" w:type="dxa"/>
            <w:vAlign w:val="center"/>
          </w:tcPr>
          <w:p>
            <w:pPr>
              <w:spacing w:line="300" w:lineRule="exact"/>
              <w:jc w:val="center"/>
              <w:rPr>
                <w:rFonts w:ascii="宋体" w:cs="宋体"/>
                <w:sz w:val="32"/>
                <w:szCs w:val="32"/>
              </w:rPr>
            </w:pPr>
            <w:r>
              <w:rPr>
                <w:rFonts w:hint="eastAsia" w:ascii="宋体" w:hAnsi="宋体" w:cs="宋体"/>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683" w:type="dxa"/>
            <w:vAlign w:val="center"/>
          </w:tcPr>
          <w:p>
            <w:pPr>
              <w:spacing w:line="300" w:lineRule="exact"/>
              <w:jc w:val="left"/>
              <w:rPr>
                <w:rFonts w:hint="eastAsia" w:ascii="宋体" w:hAnsi="宋体" w:cs="宋体"/>
                <w:sz w:val="32"/>
                <w:szCs w:val="32"/>
              </w:rPr>
            </w:pPr>
            <w:r>
              <w:rPr>
                <w:rFonts w:hint="eastAsia" w:ascii="宋体" w:hAnsi="宋体" w:cs="宋体"/>
                <w:sz w:val="32"/>
                <w:szCs w:val="32"/>
              </w:rPr>
              <w:t>特殊食品与化妆品监督管理科</w:t>
            </w:r>
          </w:p>
        </w:tc>
        <w:tc>
          <w:tcPr>
            <w:tcW w:w="1134" w:type="dxa"/>
            <w:vAlign w:val="center"/>
          </w:tcPr>
          <w:p>
            <w:pPr>
              <w:spacing w:line="300" w:lineRule="exact"/>
              <w:jc w:val="center"/>
              <w:rPr>
                <w:rFonts w:ascii="宋体" w:hAnsi="宋体" w:cs="宋体"/>
                <w:sz w:val="32"/>
                <w:szCs w:val="32"/>
              </w:rPr>
            </w:pPr>
            <w:r>
              <w:rPr>
                <w:rFonts w:hint="eastAsia" w:ascii="宋体" w:hAnsi="宋体" w:cs="宋体"/>
                <w:sz w:val="32"/>
                <w:szCs w:val="32"/>
              </w:rPr>
              <w:t>行政</w:t>
            </w:r>
          </w:p>
        </w:tc>
        <w:tc>
          <w:tcPr>
            <w:tcW w:w="1276" w:type="dxa"/>
            <w:vAlign w:val="center"/>
          </w:tcPr>
          <w:p>
            <w:pPr>
              <w:spacing w:line="300" w:lineRule="exact"/>
              <w:jc w:val="center"/>
              <w:rPr>
                <w:rFonts w:ascii="宋体" w:cs="宋体"/>
                <w:sz w:val="32"/>
                <w:szCs w:val="32"/>
              </w:rPr>
            </w:pPr>
            <w:r>
              <w:rPr>
                <w:rFonts w:hint="eastAsia" w:ascii="宋体" w:hAnsi="宋体" w:cs="宋体"/>
                <w:sz w:val="32"/>
                <w:szCs w:val="32"/>
              </w:rPr>
              <w:t>股级</w:t>
            </w:r>
          </w:p>
        </w:tc>
        <w:tc>
          <w:tcPr>
            <w:tcW w:w="2902" w:type="dxa"/>
            <w:vAlign w:val="center"/>
          </w:tcPr>
          <w:p>
            <w:pPr>
              <w:spacing w:line="300" w:lineRule="exact"/>
              <w:jc w:val="center"/>
              <w:rPr>
                <w:rFonts w:ascii="宋体" w:cs="宋体"/>
                <w:sz w:val="32"/>
                <w:szCs w:val="32"/>
              </w:rPr>
            </w:pPr>
            <w:r>
              <w:rPr>
                <w:rFonts w:hint="eastAsia" w:ascii="宋体" w:hAnsi="宋体" w:cs="宋体"/>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683" w:type="dxa"/>
            <w:vAlign w:val="center"/>
          </w:tcPr>
          <w:p>
            <w:pPr>
              <w:spacing w:line="300" w:lineRule="exact"/>
              <w:jc w:val="left"/>
              <w:rPr>
                <w:rFonts w:hint="eastAsia" w:ascii="宋体" w:hAnsi="宋体" w:cs="宋体"/>
                <w:sz w:val="32"/>
                <w:szCs w:val="32"/>
              </w:rPr>
            </w:pPr>
            <w:r>
              <w:rPr>
                <w:rFonts w:hint="eastAsia" w:ascii="宋体" w:hAnsi="宋体" w:cs="宋体"/>
                <w:sz w:val="32"/>
                <w:szCs w:val="32"/>
              </w:rPr>
              <w:t>质量监督管理科</w:t>
            </w:r>
          </w:p>
        </w:tc>
        <w:tc>
          <w:tcPr>
            <w:tcW w:w="1134" w:type="dxa"/>
            <w:vAlign w:val="center"/>
          </w:tcPr>
          <w:p>
            <w:pPr>
              <w:spacing w:line="300" w:lineRule="exact"/>
              <w:jc w:val="center"/>
              <w:rPr>
                <w:rFonts w:ascii="宋体" w:hAnsi="宋体" w:cs="宋体"/>
                <w:sz w:val="32"/>
                <w:szCs w:val="32"/>
              </w:rPr>
            </w:pPr>
            <w:r>
              <w:rPr>
                <w:rFonts w:hint="eastAsia" w:ascii="宋体" w:hAnsi="宋体" w:cs="宋体"/>
                <w:sz w:val="32"/>
                <w:szCs w:val="32"/>
              </w:rPr>
              <w:t>行政</w:t>
            </w:r>
          </w:p>
        </w:tc>
        <w:tc>
          <w:tcPr>
            <w:tcW w:w="1276" w:type="dxa"/>
            <w:vAlign w:val="center"/>
          </w:tcPr>
          <w:p>
            <w:pPr>
              <w:spacing w:line="300" w:lineRule="exact"/>
              <w:jc w:val="center"/>
              <w:rPr>
                <w:rFonts w:ascii="宋体" w:cs="宋体"/>
                <w:sz w:val="32"/>
                <w:szCs w:val="32"/>
              </w:rPr>
            </w:pPr>
            <w:r>
              <w:rPr>
                <w:rFonts w:hint="eastAsia" w:ascii="宋体" w:hAnsi="宋体" w:cs="宋体"/>
                <w:sz w:val="32"/>
                <w:szCs w:val="32"/>
              </w:rPr>
              <w:t>股级</w:t>
            </w:r>
          </w:p>
        </w:tc>
        <w:tc>
          <w:tcPr>
            <w:tcW w:w="2902" w:type="dxa"/>
            <w:vAlign w:val="center"/>
          </w:tcPr>
          <w:p>
            <w:pPr>
              <w:spacing w:line="300" w:lineRule="exact"/>
              <w:jc w:val="center"/>
              <w:rPr>
                <w:rFonts w:ascii="宋体" w:cs="宋体"/>
                <w:sz w:val="32"/>
                <w:szCs w:val="32"/>
              </w:rPr>
            </w:pPr>
            <w:r>
              <w:rPr>
                <w:rFonts w:hint="eastAsia" w:ascii="宋体" w:hAnsi="宋体" w:cs="宋体"/>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683" w:type="dxa"/>
            <w:vAlign w:val="center"/>
          </w:tcPr>
          <w:p>
            <w:pPr>
              <w:spacing w:line="300" w:lineRule="exact"/>
              <w:jc w:val="left"/>
              <w:rPr>
                <w:rFonts w:ascii="宋体" w:hAnsi="宋体" w:cs="宋体"/>
                <w:sz w:val="32"/>
                <w:szCs w:val="32"/>
              </w:rPr>
            </w:pPr>
            <w:r>
              <w:rPr>
                <w:rFonts w:hint="eastAsia" w:ascii="宋体" w:hAnsi="宋体" w:cs="宋体"/>
                <w:sz w:val="32"/>
                <w:szCs w:val="32"/>
              </w:rPr>
              <w:t>经济检查大队</w:t>
            </w:r>
          </w:p>
        </w:tc>
        <w:tc>
          <w:tcPr>
            <w:tcW w:w="1134" w:type="dxa"/>
            <w:vAlign w:val="center"/>
          </w:tcPr>
          <w:p>
            <w:pPr>
              <w:spacing w:line="300" w:lineRule="exact"/>
              <w:jc w:val="center"/>
              <w:rPr>
                <w:rFonts w:ascii="宋体" w:hAnsi="宋体" w:cs="宋体"/>
                <w:sz w:val="32"/>
                <w:szCs w:val="32"/>
              </w:rPr>
            </w:pPr>
            <w:r>
              <w:rPr>
                <w:rFonts w:hint="eastAsia" w:ascii="宋体" w:hAnsi="宋体" w:cs="宋体"/>
                <w:sz w:val="32"/>
                <w:szCs w:val="32"/>
              </w:rPr>
              <w:t>行政</w:t>
            </w:r>
          </w:p>
        </w:tc>
        <w:tc>
          <w:tcPr>
            <w:tcW w:w="1276" w:type="dxa"/>
            <w:vAlign w:val="center"/>
          </w:tcPr>
          <w:p>
            <w:pPr>
              <w:spacing w:line="300" w:lineRule="exact"/>
              <w:jc w:val="center"/>
              <w:rPr>
                <w:rFonts w:ascii="宋体" w:cs="宋体"/>
                <w:sz w:val="32"/>
                <w:szCs w:val="32"/>
              </w:rPr>
            </w:pPr>
            <w:r>
              <w:rPr>
                <w:rFonts w:hint="eastAsia" w:ascii="宋体" w:hAnsi="宋体" w:cs="宋体"/>
                <w:sz w:val="32"/>
                <w:szCs w:val="32"/>
              </w:rPr>
              <w:t>股级</w:t>
            </w:r>
          </w:p>
        </w:tc>
        <w:tc>
          <w:tcPr>
            <w:tcW w:w="2902" w:type="dxa"/>
            <w:vAlign w:val="center"/>
          </w:tcPr>
          <w:p>
            <w:pPr>
              <w:spacing w:line="300" w:lineRule="exact"/>
              <w:jc w:val="center"/>
              <w:rPr>
                <w:rFonts w:ascii="宋体" w:cs="宋体"/>
                <w:sz w:val="32"/>
                <w:szCs w:val="32"/>
              </w:rPr>
            </w:pPr>
            <w:r>
              <w:rPr>
                <w:rFonts w:hint="eastAsia" w:ascii="宋体" w:hAnsi="宋体" w:cs="宋体"/>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683" w:type="dxa"/>
            <w:vAlign w:val="center"/>
          </w:tcPr>
          <w:p>
            <w:pPr>
              <w:spacing w:line="300" w:lineRule="exact"/>
              <w:jc w:val="left"/>
              <w:rPr>
                <w:rFonts w:ascii="宋体" w:hAnsi="宋体" w:cs="宋体"/>
                <w:sz w:val="32"/>
                <w:szCs w:val="32"/>
              </w:rPr>
            </w:pPr>
            <w:r>
              <w:rPr>
                <w:rFonts w:hint="eastAsia" w:ascii="宋体" w:hAnsi="宋体" w:cs="宋体"/>
                <w:sz w:val="32"/>
                <w:szCs w:val="32"/>
              </w:rPr>
              <w:t>唐山市开平区市场监督管理局开平分局</w:t>
            </w:r>
          </w:p>
        </w:tc>
        <w:tc>
          <w:tcPr>
            <w:tcW w:w="1134" w:type="dxa"/>
            <w:vAlign w:val="center"/>
          </w:tcPr>
          <w:p>
            <w:pPr>
              <w:spacing w:line="300" w:lineRule="exact"/>
              <w:jc w:val="center"/>
              <w:rPr>
                <w:rFonts w:ascii="宋体" w:hAnsi="宋体" w:cs="宋体"/>
                <w:sz w:val="32"/>
                <w:szCs w:val="32"/>
              </w:rPr>
            </w:pPr>
            <w:r>
              <w:rPr>
                <w:rFonts w:hint="eastAsia" w:ascii="宋体" w:hAnsi="宋体" w:cs="宋体"/>
                <w:sz w:val="32"/>
                <w:szCs w:val="32"/>
              </w:rPr>
              <w:t>行政</w:t>
            </w:r>
          </w:p>
        </w:tc>
        <w:tc>
          <w:tcPr>
            <w:tcW w:w="1276" w:type="dxa"/>
            <w:vAlign w:val="center"/>
          </w:tcPr>
          <w:p>
            <w:pPr>
              <w:spacing w:line="300" w:lineRule="exact"/>
              <w:jc w:val="center"/>
              <w:rPr>
                <w:rFonts w:ascii="宋体" w:cs="宋体"/>
                <w:sz w:val="32"/>
                <w:szCs w:val="32"/>
              </w:rPr>
            </w:pPr>
            <w:r>
              <w:rPr>
                <w:rFonts w:hint="eastAsia" w:ascii="宋体" w:hAnsi="宋体" w:cs="宋体"/>
                <w:sz w:val="32"/>
                <w:szCs w:val="32"/>
              </w:rPr>
              <w:t>副科级</w:t>
            </w:r>
          </w:p>
        </w:tc>
        <w:tc>
          <w:tcPr>
            <w:tcW w:w="2902" w:type="dxa"/>
            <w:vAlign w:val="center"/>
          </w:tcPr>
          <w:p>
            <w:pPr>
              <w:spacing w:line="300" w:lineRule="exact"/>
              <w:jc w:val="center"/>
              <w:rPr>
                <w:rFonts w:ascii="宋体" w:cs="宋体"/>
                <w:sz w:val="32"/>
                <w:szCs w:val="32"/>
              </w:rPr>
            </w:pPr>
            <w:r>
              <w:rPr>
                <w:rFonts w:hint="eastAsia" w:ascii="宋体" w:hAnsi="宋体" w:cs="宋体"/>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683" w:type="dxa"/>
            <w:vAlign w:val="center"/>
          </w:tcPr>
          <w:p>
            <w:pPr>
              <w:spacing w:line="300" w:lineRule="exact"/>
              <w:jc w:val="left"/>
              <w:rPr>
                <w:rFonts w:ascii="宋体" w:hAnsi="宋体" w:cs="宋体"/>
                <w:sz w:val="32"/>
                <w:szCs w:val="32"/>
              </w:rPr>
            </w:pPr>
            <w:r>
              <w:rPr>
                <w:rFonts w:hint="eastAsia" w:ascii="宋体" w:hAnsi="宋体" w:cs="宋体"/>
                <w:sz w:val="32"/>
                <w:szCs w:val="32"/>
              </w:rPr>
              <w:t>唐山市开平区市场监督管理局越河分局</w:t>
            </w:r>
          </w:p>
        </w:tc>
        <w:tc>
          <w:tcPr>
            <w:tcW w:w="1134" w:type="dxa"/>
            <w:vAlign w:val="center"/>
          </w:tcPr>
          <w:p>
            <w:pPr>
              <w:spacing w:line="300" w:lineRule="exact"/>
              <w:jc w:val="center"/>
              <w:rPr>
                <w:rFonts w:ascii="宋体" w:hAnsi="宋体" w:cs="宋体"/>
                <w:sz w:val="32"/>
                <w:szCs w:val="32"/>
              </w:rPr>
            </w:pPr>
            <w:r>
              <w:rPr>
                <w:rFonts w:hint="eastAsia" w:ascii="宋体" w:hAnsi="宋体" w:cs="宋体"/>
                <w:sz w:val="32"/>
                <w:szCs w:val="32"/>
              </w:rPr>
              <w:t>行政</w:t>
            </w:r>
          </w:p>
        </w:tc>
        <w:tc>
          <w:tcPr>
            <w:tcW w:w="1276" w:type="dxa"/>
            <w:vAlign w:val="center"/>
          </w:tcPr>
          <w:p>
            <w:pPr>
              <w:spacing w:line="300" w:lineRule="exact"/>
              <w:jc w:val="center"/>
              <w:rPr>
                <w:rFonts w:ascii="宋体" w:cs="宋体"/>
                <w:sz w:val="32"/>
                <w:szCs w:val="32"/>
              </w:rPr>
            </w:pPr>
            <w:r>
              <w:rPr>
                <w:rFonts w:hint="eastAsia" w:ascii="宋体" w:hAnsi="宋体" w:cs="宋体"/>
                <w:sz w:val="32"/>
                <w:szCs w:val="32"/>
              </w:rPr>
              <w:t>副科级</w:t>
            </w:r>
          </w:p>
        </w:tc>
        <w:tc>
          <w:tcPr>
            <w:tcW w:w="2902" w:type="dxa"/>
            <w:vAlign w:val="center"/>
          </w:tcPr>
          <w:p>
            <w:pPr>
              <w:spacing w:line="300" w:lineRule="exact"/>
              <w:jc w:val="center"/>
              <w:rPr>
                <w:rFonts w:ascii="宋体" w:cs="宋体"/>
                <w:sz w:val="32"/>
                <w:szCs w:val="32"/>
              </w:rPr>
            </w:pPr>
            <w:r>
              <w:rPr>
                <w:rFonts w:hint="eastAsia" w:ascii="宋体" w:hAnsi="宋体" w:cs="宋体"/>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683" w:type="dxa"/>
            <w:vAlign w:val="center"/>
          </w:tcPr>
          <w:p>
            <w:pPr>
              <w:spacing w:line="300" w:lineRule="exact"/>
              <w:jc w:val="left"/>
              <w:rPr>
                <w:rFonts w:ascii="宋体" w:hAnsi="宋体" w:cs="宋体"/>
                <w:sz w:val="32"/>
                <w:szCs w:val="32"/>
              </w:rPr>
            </w:pPr>
            <w:r>
              <w:rPr>
                <w:rFonts w:hint="eastAsia" w:ascii="宋体" w:hAnsi="宋体" w:cs="宋体"/>
                <w:sz w:val="32"/>
                <w:szCs w:val="32"/>
              </w:rPr>
              <w:t>唐山市开平区市场监督管理局洼里分局</w:t>
            </w:r>
          </w:p>
        </w:tc>
        <w:tc>
          <w:tcPr>
            <w:tcW w:w="1134" w:type="dxa"/>
            <w:vAlign w:val="center"/>
          </w:tcPr>
          <w:p>
            <w:pPr>
              <w:spacing w:line="300" w:lineRule="exact"/>
              <w:jc w:val="center"/>
              <w:rPr>
                <w:rFonts w:ascii="宋体" w:hAnsi="宋体" w:cs="宋体"/>
                <w:sz w:val="32"/>
                <w:szCs w:val="32"/>
              </w:rPr>
            </w:pPr>
            <w:r>
              <w:rPr>
                <w:rFonts w:hint="eastAsia" w:ascii="宋体" w:hAnsi="宋体" w:cs="宋体"/>
                <w:sz w:val="32"/>
                <w:szCs w:val="32"/>
              </w:rPr>
              <w:t>行政</w:t>
            </w:r>
          </w:p>
        </w:tc>
        <w:tc>
          <w:tcPr>
            <w:tcW w:w="1276" w:type="dxa"/>
            <w:vAlign w:val="center"/>
          </w:tcPr>
          <w:p>
            <w:pPr>
              <w:spacing w:line="300" w:lineRule="exact"/>
              <w:jc w:val="center"/>
              <w:rPr>
                <w:rFonts w:ascii="宋体" w:cs="宋体"/>
                <w:sz w:val="32"/>
                <w:szCs w:val="32"/>
              </w:rPr>
            </w:pPr>
            <w:r>
              <w:rPr>
                <w:rFonts w:hint="eastAsia" w:ascii="宋体" w:hAnsi="宋体" w:cs="宋体"/>
                <w:sz w:val="32"/>
                <w:szCs w:val="32"/>
              </w:rPr>
              <w:t>副科级</w:t>
            </w:r>
          </w:p>
        </w:tc>
        <w:tc>
          <w:tcPr>
            <w:tcW w:w="2902" w:type="dxa"/>
            <w:vAlign w:val="center"/>
          </w:tcPr>
          <w:p>
            <w:pPr>
              <w:spacing w:line="300" w:lineRule="exact"/>
              <w:jc w:val="center"/>
              <w:rPr>
                <w:rFonts w:ascii="宋体" w:cs="宋体"/>
                <w:sz w:val="32"/>
                <w:szCs w:val="32"/>
              </w:rPr>
            </w:pPr>
            <w:r>
              <w:rPr>
                <w:rFonts w:hint="eastAsia" w:ascii="宋体" w:hAnsi="宋体" w:cs="宋体"/>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683" w:type="dxa"/>
            <w:vAlign w:val="center"/>
          </w:tcPr>
          <w:p>
            <w:pPr>
              <w:spacing w:line="300" w:lineRule="exact"/>
              <w:jc w:val="left"/>
              <w:rPr>
                <w:rFonts w:ascii="宋体" w:hAnsi="宋体" w:cs="宋体"/>
                <w:sz w:val="32"/>
                <w:szCs w:val="32"/>
              </w:rPr>
            </w:pPr>
            <w:r>
              <w:rPr>
                <w:rFonts w:hint="eastAsia" w:ascii="宋体" w:hAnsi="宋体" w:cs="宋体"/>
                <w:sz w:val="32"/>
                <w:szCs w:val="32"/>
              </w:rPr>
              <w:t>唐山市开平区市场监督管理局栗园分局</w:t>
            </w:r>
          </w:p>
        </w:tc>
        <w:tc>
          <w:tcPr>
            <w:tcW w:w="1134" w:type="dxa"/>
            <w:vAlign w:val="center"/>
          </w:tcPr>
          <w:p>
            <w:pPr>
              <w:spacing w:line="300" w:lineRule="exact"/>
              <w:jc w:val="center"/>
              <w:rPr>
                <w:rFonts w:ascii="宋体" w:hAnsi="宋体" w:cs="宋体"/>
                <w:sz w:val="32"/>
                <w:szCs w:val="32"/>
              </w:rPr>
            </w:pPr>
            <w:r>
              <w:rPr>
                <w:rFonts w:hint="eastAsia" w:ascii="宋体" w:hAnsi="宋体" w:cs="宋体"/>
                <w:sz w:val="32"/>
                <w:szCs w:val="32"/>
              </w:rPr>
              <w:t>行政</w:t>
            </w:r>
          </w:p>
        </w:tc>
        <w:tc>
          <w:tcPr>
            <w:tcW w:w="1276" w:type="dxa"/>
            <w:vAlign w:val="center"/>
          </w:tcPr>
          <w:p>
            <w:pPr>
              <w:spacing w:line="300" w:lineRule="exact"/>
              <w:jc w:val="center"/>
              <w:rPr>
                <w:rFonts w:ascii="宋体" w:cs="宋体"/>
                <w:sz w:val="32"/>
                <w:szCs w:val="32"/>
              </w:rPr>
            </w:pPr>
            <w:r>
              <w:rPr>
                <w:rFonts w:hint="eastAsia" w:ascii="宋体" w:hAnsi="宋体" w:cs="宋体"/>
                <w:sz w:val="32"/>
                <w:szCs w:val="32"/>
              </w:rPr>
              <w:t>副科级</w:t>
            </w:r>
          </w:p>
        </w:tc>
        <w:tc>
          <w:tcPr>
            <w:tcW w:w="2902" w:type="dxa"/>
            <w:vAlign w:val="center"/>
          </w:tcPr>
          <w:p>
            <w:pPr>
              <w:spacing w:line="300" w:lineRule="exact"/>
              <w:jc w:val="center"/>
              <w:rPr>
                <w:rFonts w:ascii="宋体" w:cs="宋体"/>
                <w:sz w:val="32"/>
                <w:szCs w:val="32"/>
              </w:rPr>
            </w:pPr>
            <w:r>
              <w:rPr>
                <w:rFonts w:hint="eastAsia" w:ascii="宋体" w:hAnsi="宋体" w:cs="宋体"/>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683" w:type="dxa"/>
            <w:vAlign w:val="center"/>
          </w:tcPr>
          <w:p>
            <w:pPr>
              <w:jc w:val="left"/>
              <w:rPr>
                <w:rFonts w:ascii="宋体" w:hAnsi="宋体" w:cs="宋体"/>
                <w:sz w:val="32"/>
                <w:szCs w:val="32"/>
              </w:rPr>
            </w:pPr>
            <w:r>
              <w:rPr>
                <w:rFonts w:hint="eastAsia" w:ascii="宋体" w:hAnsi="宋体" w:cs="宋体"/>
                <w:sz w:val="32"/>
                <w:szCs w:val="32"/>
              </w:rPr>
              <w:t>唐山市开平区市场监督管理局双桥分局</w:t>
            </w:r>
          </w:p>
        </w:tc>
        <w:tc>
          <w:tcPr>
            <w:tcW w:w="1134" w:type="dxa"/>
            <w:vAlign w:val="center"/>
          </w:tcPr>
          <w:p>
            <w:pPr>
              <w:spacing w:line="300" w:lineRule="exact"/>
              <w:jc w:val="center"/>
              <w:rPr>
                <w:rFonts w:ascii="宋体" w:hAnsi="宋体" w:cs="宋体"/>
                <w:sz w:val="32"/>
                <w:szCs w:val="32"/>
              </w:rPr>
            </w:pPr>
            <w:r>
              <w:rPr>
                <w:rFonts w:hint="eastAsia" w:ascii="宋体" w:hAnsi="宋体" w:cs="宋体"/>
                <w:sz w:val="32"/>
                <w:szCs w:val="32"/>
              </w:rPr>
              <w:t>行政</w:t>
            </w:r>
          </w:p>
        </w:tc>
        <w:tc>
          <w:tcPr>
            <w:tcW w:w="1276" w:type="dxa"/>
            <w:vAlign w:val="center"/>
          </w:tcPr>
          <w:p>
            <w:pPr>
              <w:spacing w:line="300" w:lineRule="exact"/>
              <w:jc w:val="center"/>
              <w:rPr>
                <w:rFonts w:ascii="宋体" w:cs="宋体"/>
                <w:sz w:val="32"/>
                <w:szCs w:val="32"/>
              </w:rPr>
            </w:pPr>
            <w:r>
              <w:rPr>
                <w:rFonts w:hint="eastAsia" w:ascii="宋体" w:hAnsi="宋体" w:cs="宋体"/>
                <w:sz w:val="32"/>
                <w:szCs w:val="32"/>
              </w:rPr>
              <w:t>副科级</w:t>
            </w:r>
          </w:p>
        </w:tc>
        <w:tc>
          <w:tcPr>
            <w:tcW w:w="2902" w:type="dxa"/>
            <w:vAlign w:val="center"/>
          </w:tcPr>
          <w:p>
            <w:pPr>
              <w:spacing w:line="300" w:lineRule="exact"/>
              <w:jc w:val="center"/>
              <w:rPr>
                <w:rFonts w:ascii="宋体" w:cs="宋体"/>
                <w:sz w:val="32"/>
                <w:szCs w:val="32"/>
              </w:rPr>
            </w:pPr>
            <w:r>
              <w:rPr>
                <w:rFonts w:hint="eastAsia" w:ascii="宋体" w:hAnsi="宋体" w:cs="宋体"/>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683" w:type="dxa"/>
            <w:vAlign w:val="center"/>
          </w:tcPr>
          <w:p>
            <w:pPr>
              <w:spacing w:line="300" w:lineRule="exact"/>
              <w:jc w:val="left"/>
              <w:rPr>
                <w:rFonts w:ascii="宋体" w:hAnsi="宋体" w:cs="宋体"/>
                <w:sz w:val="32"/>
                <w:szCs w:val="32"/>
              </w:rPr>
            </w:pPr>
            <w:r>
              <w:rPr>
                <w:rFonts w:hint="eastAsia" w:ascii="宋体" w:hAnsi="宋体" w:cs="宋体"/>
                <w:sz w:val="32"/>
                <w:szCs w:val="32"/>
              </w:rPr>
              <w:t>唐山市开平区市场监督管理局马家沟分局</w:t>
            </w:r>
          </w:p>
        </w:tc>
        <w:tc>
          <w:tcPr>
            <w:tcW w:w="1134" w:type="dxa"/>
            <w:vAlign w:val="center"/>
          </w:tcPr>
          <w:p>
            <w:pPr>
              <w:spacing w:line="300" w:lineRule="exact"/>
              <w:jc w:val="center"/>
              <w:rPr>
                <w:rFonts w:ascii="宋体" w:hAnsi="宋体" w:cs="宋体"/>
                <w:sz w:val="32"/>
                <w:szCs w:val="32"/>
              </w:rPr>
            </w:pPr>
            <w:r>
              <w:rPr>
                <w:rFonts w:hint="eastAsia" w:ascii="宋体" w:hAnsi="宋体" w:cs="宋体"/>
                <w:sz w:val="32"/>
                <w:szCs w:val="32"/>
              </w:rPr>
              <w:t>行政</w:t>
            </w:r>
          </w:p>
        </w:tc>
        <w:tc>
          <w:tcPr>
            <w:tcW w:w="1276" w:type="dxa"/>
            <w:vAlign w:val="center"/>
          </w:tcPr>
          <w:p>
            <w:pPr>
              <w:spacing w:line="300" w:lineRule="exact"/>
              <w:jc w:val="center"/>
              <w:rPr>
                <w:rFonts w:ascii="宋体" w:cs="宋体"/>
                <w:sz w:val="32"/>
                <w:szCs w:val="32"/>
              </w:rPr>
            </w:pPr>
            <w:r>
              <w:rPr>
                <w:rFonts w:hint="eastAsia" w:ascii="宋体" w:hAnsi="宋体" w:cs="宋体"/>
                <w:sz w:val="32"/>
                <w:szCs w:val="32"/>
              </w:rPr>
              <w:t>副科级</w:t>
            </w:r>
          </w:p>
        </w:tc>
        <w:tc>
          <w:tcPr>
            <w:tcW w:w="2902" w:type="dxa"/>
            <w:vAlign w:val="center"/>
          </w:tcPr>
          <w:p>
            <w:pPr>
              <w:spacing w:line="300" w:lineRule="exact"/>
              <w:jc w:val="center"/>
              <w:rPr>
                <w:rFonts w:ascii="宋体" w:cs="宋体"/>
                <w:sz w:val="32"/>
                <w:szCs w:val="32"/>
              </w:rPr>
            </w:pPr>
            <w:r>
              <w:rPr>
                <w:rFonts w:hint="eastAsia" w:ascii="宋体" w:hAnsi="宋体" w:cs="宋体"/>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683" w:type="dxa"/>
            <w:vAlign w:val="center"/>
          </w:tcPr>
          <w:p>
            <w:pPr>
              <w:spacing w:line="300" w:lineRule="exact"/>
              <w:jc w:val="left"/>
              <w:rPr>
                <w:rFonts w:ascii="宋体" w:hAnsi="宋体" w:cs="宋体"/>
                <w:sz w:val="32"/>
                <w:szCs w:val="32"/>
              </w:rPr>
            </w:pPr>
            <w:r>
              <w:rPr>
                <w:rFonts w:hint="eastAsia" w:ascii="宋体" w:hAnsi="宋体" w:cs="宋体"/>
                <w:sz w:val="32"/>
                <w:szCs w:val="32"/>
              </w:rPr>
              <w:t>唐山市开平区市场监督管理局郑庄子分局</w:t>
            </w:r>
          </w:p>
        </w:tc>
        <w:tc>
          <w:tcPr>
            <w:tcW w:w="1134" w:type="dxa"/>
            <w:vAlign w:val="center"/>
          </w:tcPr>
          <w:p>
            <w:pPr>
              <w:spacing w:line="300" w:lineRule="exact"/>
              <w:jc w:val="center"/>
              <w:rPr>
                <w:rFonts w:ascii="宋体" w:hAnsi="宋体" w:cs="宋体"/>
                <w:sz w:val="32"/>
                <w:szCs w:val="32"/>
              </w:rPr>
            </w:pPr>
            <w:r>
              <w:rPr>
                <w:rFonts w:hint="eastAsia" w:ascii="宋体" w:hAnsi="宋体" w:cs="宋体"/>
                <w:sz w:val="32"/>
                <w:szCs w:val="32"/>
              </w:rPr>
              <w:t>行政</w:t>
            </w:r>
          </w:p>
        </w:tc>
        <w:tc>
          <w:tcPr>
            <w:tcW w:w="1276" w:type="dxa"/>
            <w:vAlign w:val="center"/>
          </w:tcPr>
          <w:p>
            <w:pPr>
              <w:spacing w:line="300" w:lineRule="exact"/>
              <w:jc w:val="center"/>
              <w:rPr>
                <w:rFonts w:ascii="宋体" w:cs="宋体"/>
                <w:sz w:val="32"/>
                <w:szCs w:val="32"/>
              </w:rPr>
            </w:pPr>
            <w:r>
              <w:rPr>
                <w:rFonts w:hint="eastAsia" w:ascii="宋体" w:hAnsi="宋体" w:cs="宋体"/>
                <w:sz w:val="32"/>
                <w:szCs w:val="32"/>
              </w:rPr>
              <w:t>副科级</w:t>
            </w:r>
          </w:p>
        </w:tc>
        <w:tc>
          <w:tcPr>
            <w:tcW w:w="2902" w:type="dxa"/>
            <w:vAlign w:val="center"/>
          </w:tcPr>
          <w:p>
            <w:pPr>
              <w:spacing w:line="300" w:lineRule="exact"/>
              <w:jc w:val="center"/>
              <w:rPr>
                <w:rFonts w:ascii="宋体" w:cs="宋体"/>
                <w:sz w:val="32"/>
                <w:szCs w:val="32"/>
              </w:rPr>
            </w:pPr>
            <w:r>
              <w:rPr>
                <w:rFonts w:hint="eastAsia" w:ascii="宋体" w:hAnsi="宋体" w:cs="宋体"/>
                <w:sz w:val="32"/>
                <w:szCs w:val="32"/>
              </w:rPr>
              <w:t>财政拨款</w:t>
            </w:r>
          </w:p>
        </w:tc>
      </w:tr>
    </w:tbl>
    <w:p>
      <w:pPr>
        <w:spacing w:before="0" w:after="0" w:line="240" w:lineRule="auto"/>
        <w:ind w:firstLine="640"/>
        <w:jc w:val="left"/>
        <w:outlineLvl w:val="9"/>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ind w:firstLine="640"/>
        <w:rPr>
          <w:rFonts w:ascii="宋体" w:hAnsi="宋体" w:cs="宋体"/>
          <w:sz w:val="32"/>
          <w:szCs w:val="32"/>
        </w:rPr>
      </w:pPr>
      <w:r>
        <w:rPr>
          <w:rFonts w:hint="eastAsia" w:ascii="宋体" w:hAnsi="宋体" w:cs="宋体"/>
          <w:sz w:val="32"/>
          <w:szCs w:val="32"/>
        </w:rPr>
        <w:t>1、收入说明</w:t>
      </w:r>
    </w:p>
    <w:p>
      <w:pPr>
        <w:ind w:firstLine="640"/>
        <w:rPr>
          <w:rFonts w:hint="eastAsia" w:ascii="宋体" w:hAnsi="宋体" w:cs="宋体"/>
          <w:sz w:val="32"/>
          <w:szCs w:val="32"/>
        </w:rPr>
      </w:pPr>
      <w:r>
        <w:rPr>
          <w:rFonts w:hint="eastAsia" w:ascii="宋体" w:hAnsi="宋体" w:cs="宋体"/>
          <w:sz w:val="32"/>
          <w:szCs w:val="32"/>
        </w:rPr>
        <w:t>20</w:t>
      </w:r>
      <w:r>
        <w:rPr>
          <w:rFonts w:hint="eastAsia" w:ascii="宋体" w:hAnsi="宋体" w:cs="宋体"/>
          <w:sz w:val="32"/>
          <w:szCs w:val="32"/>
          <w:lang w:val="en-US" w:eastAsia="zh-CN"/>
        </w:rPr>
        <w:t>22</w:t>
      </w:r>
      <w:r>
        <w:rPr>
          <w:rFonts w:hint="eastAsia" w:ascii="宋体" w:hAnsi="宋体" w:cs="宋体"/>
          <w:sz w:val="32"/>
          <w:szCs w:val="32"/>
        </w:rPr>
        <w:t>年收入预算共计</w:t>
      </w:r>
      <w:r>
        <w:rPr>
          <w:rFonts w:hint="eastAsia" w:ascii="宋体" w:hAnsi="宋体" w:cs="宋体"/>
          <w:sz w:val="32"/>
          <w:szCs w:val="32"/>
          <w:lang w:val="en-US" w:eastAsia="zh-CN"/>
        </w:rPr>
        <w:t>2297.83</w:t>
      </w:r>
      <w:r>
        <w:rPr>
          <w:rFonts w:hint="eastAsia" w:ascii="宋体" w:hAnsi="宋体" w:cs="宋体"/>
          <w:sz w:val="32"/>
          <w:szCs w:val="32"/>
        </w:rPr>
        <w:t>万元。其中：一般公共预算收入</w:t>
      </w:r>
      <w:r>
        <w:rPr>
          <w:rFonts w:hint="eastAsia" w:ascii="宋体" w:hAnsi="宋体" w:cs="宋体"/>
          <w:sz w:val="32"/>
          <w:szCs w:val="32"/>
          <w:lang w:val="en-US" w:eastAsia="zh-CN"/>
        </w:rPr>
        <w:t>2297.83</w:t>
      </w:r>
      <w:r>
        <w:rPr>
          <w:rFonts w:hint="eastAsia" w:ascii="宋体" w:hAnsi="宋体" w:cs="宋体"/>
          <w:sz w:val="32"/>
          <w:szCs w:val="32"/>
        </w:rPr>
        <w:t>万元，基金预算收入0万元，财政专户核拨收入0万元，其他来源收入0万元。</w:t>
      </w:r>
    </w:p>
    <w:p>
      <w:pPr>
        <w:ind w:firstLine="640"/>
        <w:rPr>
          <w:rFonts w:ascii="宋体" w:hAnsi="宋体" w:cs="宋体"/>
          <w:sz w:val="32"/>
          <w:szCs w:val="32"/>
        </w:rPr>
      </w:pPr>
      <w:r>
        <w:rPr>
          <w:rFonts w:hint="eastAsia" w:ascii="宋体" w:hAnsi="宋体" w:cs="宋体"/>
          <w:sz w:val="32"/>
          <w:szCs w:val="32"/>
        </w:rPr>
        <w:t>2、支出说明</w:t>
      </w:r>
    </w:p>
    <w:p>
      <w:pPr>
        <w:ind w:firstLine="640"/>
        <w:rPr>
          <w:rFonts w:ascii="宋体" w:hAnsi="宋体" w:cs="宋体"/>
          <w:sz w:val="32"/>
          <w:szCs w:val="32"/>
        </w:rPr>
      </w:pPr>
      <w:r>
        <w:rPr>
          <w:rFonts w:hint="eastAsia" w:ascii="宋体" w:hAnsi="宋体" w:cs="宋体"/>
          <w:sz w:val="32"/>
          <w:szCs w:val="32"/>
        </w:rPr>
        <w:t>20</w:t>
      </w:r>
      <w:r>
        <w:rPr>
          <w:rFonts w:hint="eastAsia" w:ascii="宋体" w:hAnsi="宋体" w:cs="宋体"/>
          <w:sz w:val="32"/>
          <w:szCs w:val="32"/>
          <w:lang w:val="en-US" w:eastAsia="zh-CN"/>
        </w:rPr>
        <w:t>22</w:t>
      </w:r>
      <w:r>
        <w:rPr>
          <w:rFonts w:hint="eastAsia" w:ascii="宋体" w:hAnsi="宋体" w:cs="宋体"/>
          <w:sz w:val="32"/>
          <w:szCs w:val="32"/>
        </w:rPr>
        <w:t>年支出预算共计</w:t>
      </w:r>
      <w:r>
        <w:rPr>
          <w:rFonts w:hint="eastAsia" w:ascii="宋体" w:hAnsi="宋体" w:cs="宋体"/>
          <w:sz w:val="32"/>
          <w:szCs w:val="32"/>
          <w:lang w:val="en-US" w:eastAsia="zh-CN"/>
        </w:rPr>
        <w:t>2297.83</w:t>
      </w:r>
      <w:r>
        <w:rPr>
          <w:rFonts w:hint="eastAsia" w:ascii="宋体" w:hAnsi="宋体" w:cs="宋体"/>
          <w:sz w:val="32"/>
          <w:szCs w:val="32"/>
        </w:rPr>
        <w:t>万元，</w:t>
      </w:r>
      <w:r>
        <w:rPr>
          <w:rFonts w:hint="eastAsia" w:ascii="宋体" w:hAnsi="宋体" w:cs="宋体"/>
          <w:sz w:val="32"/>
          <w:szCs w:val="32"/>
          <w:lang w:eastAsia="zh-CN"/>
        </w:rPr>
        <w:t>基本支出预算共</w:t>
      </w:r>
      <w:r>
        <w:rPr>
          <w:rFonts w:hint="eastAsia" w:ascii="宋体" w:hAnsi="宋体" w:cs="宋体"/>
          <w:sz w:val="32"/>
          <w:szCs w:val="32"/>
          <w:lang w:val="en-US" w:eastAsia="zh-CN"/>
        </w:rPr>
        <w:t>2019.94万元：</w:t>
      </w:r>
      <w:r>
        <w:rPr>
          <w:rFonts w:hint="eastAsia" w:ascii="宋体" w:hAnsi="宋体" w:cs="宋体"/>
          <w:sz w:val="32"/>
          <w:szCs w:val="32"/>
        </w:rPr>
        <w:t>其中人员经费支出预算</w:t>
      </w:r>
      <w:r>
        <w:rPr>
          <w:rFonts w:hint="eastAsia" w:ascii="宋体" w:hAnsi="宋体" w:cs="宋体"/>
          <w:sz w:val="32"/>
          <w:szCs w:val="32"/>
          <w:highlight w:val="none"/>
          <w:lang w:val="en-US" w:eastAsia="zh-CN"/>
        </w:rPr>
        <w:t>1868.10</w:t>
      </w:r>
      <w:r>
        <w:rPr>
          <w:rFonts w:hint="eastAsia" w:ascii="宋体" w:hAnsi="宋体" w:cs="宋体"/>
          <w:sz w:val="32"/>
          <w:szCs w:val="32"/>
        </w:rPr>
        <w:t>万元，日常公用经费支出预算</w:t>
      </w:r>
      <w:r>
        <w:rPr>
          <w:rFonts w:hint="eastAsia" w:ascii="宋体" w:hAnsi="宋体" w:cs="宋体"/>
          <w:sz w:val="32"/>
          <w:szCs w:val="32"/>
          <w:highlight w:val="none"/>
          <w:lang w:val="en-US" w:eastAsia="zh-CN"/>
        </w:rPr>
        <w:t>151.84</w:t>
      </w:r>
      <w:r>
        <w:rPr>
          <w:rFonts w:hint="eastAsia" w:ascii="宋体" w:hAnsi="宋体" w:cs="宋体"/>
          <w:sz w:val="32"/>
          <w:szCs w:val="32"/>
          <w:highlight w:val="none"/>
        </w:rPr>
        <w:t>万</w:t>
      </w:r>
      <w:r>
        <w:rPr>
          <w:rFonts w:hint="eastAsia" w:ascii="宋体" w:hAnsi="宋体" w:cs="宋体"/>
          <w:sz w:val="32"/>
          <w:szCs w:val="32"/>
        </w:rPr>
        <w:t>元</w:t>
      </w:r>
      <w:r>
        <w:rPr>
          <w:rFonts w:hint="eastAsia" w:ascii="宋体" w:hAnsi="宋体" w:cs="宋体"/>
          <w:sz w:val="32"/>
          <w:szCs w:val="32"/>
          <w:lang w:eastAsia="zh-CN"/>
        </w:rPr>
        <w:t>；</w:t>
      </w:r>
      <w:r>
        <w:rPr>
          <w:rFonts w:hint="eastAsia" w:ascii="宋体" w:hAnsi="宋体" w:cs="宋体"/>
          <w:sz w:val="32"/>
          <w:szCs w:val="32"/>
        </w:rPr>
        <w:t>项目支出</w:t>
      </w:r>
      <w:r>
        <w:rPr>
          <w:rFonts w:hint="eastAsia" w:ascii="宋体" w:hAnsi="宋体" w:cs="宋体"/>
          <w:sz w:val="32"/>
          <w:szCs w:val="32"/>
          <w:lang w:val="en-US" w:eastAsia="zh-CN"/>
        </w:rPr>
        <w:t>277.89</w:t>
      </w:r>
      <w:r>
        <w:rPr>
          <w:rFonts w:hint="eastAsia" w:ascii="宋体" w:hAnsi="宋体" w:cs="宋体"/>
          <w:sz w:val="32"/>
          <w:szCs w:val="32"/>
        </w:rPr>
        <w:t>万元。</w:t>
      </w:r>
    </w:p>
    <w:p>
      <w:pPr>
        <w:ind w:firstLine="640"/>
        <w:rPr>
          <w:rFonts w:ascii="宋体" w:hAnsi="宋体" w:cs="宋体"/>
          <w:sz w:val="32"/>
          <w:szCs w:val="32"/>
        </w:rPr>
      </w:pPr>
      <w:r>
        <w:rPr>
          <w:rFonts w:hint="eastAsia" w:ascii="宋体" w:hAnsi="宋体" w:cs="宋体"/>
          <w:sz w:val="32"/>
          <w:szCs w:val="32"/>
        </w:rPr>
        <w:t>3、比上年增减情况及原因</w:t>
      </w:r>
    </w:p>
    <w:p>
      <w:pPr>
        <w:ind w:firstLine="640"/>
        <w:rPr>
          <w:rFonts w:ascii="宋体" w:hAnsi="宋体" w:cs="宋体"/>
          <w:sz w:val="32"/>
          <w:szCs w:val="32"/>
          <w:highlight w:val="none"/>
        </w:rPr>
      </w:pPr>
      <w:r>
        <w:rPr>
          <w:rFonts w:hint="eastAsia" w:ascii="宋体" w:hAnsi="宋体" w:eastAsia="宋体" w:cs="宋体"/>
          <w:sz w:val="32"/>
          <w:szCs w:val="32"/>
          <w:highlight w:val="none"/>
          <w:lang w:eastAsia="zh-CN"/>
        </w:rPr>
        <w:t>相比</w:t>
      </w:r>
      <w:r>
        <w:rPr>
          <w:rFonts w:hint="eastAsia" w:ascii="宋体" w:hAnsi="宋体" w:cs="宋体"/>
          <w:sz w:val="32"/>
          <w:szCs w:val="32"/>
          <w:highlight w:val="none"/>
        </w:rPr>
        <w:t>20</w:t>
      </w:r>
      <w:r>
        <w:rPr>
          <w:rFonts w:hint="eastAsia" w:ascii="宋体" w:hAnsi="宋体" w:eastAsia="宋体" w:cs="宋体"/>
          <w:sz w:val="32"/>
          <w:szCs w:val="32"/>
          <w:highlight w:val="none"/>
          <w:lang w:val="en-US" w:eastAsia="zh-CN"/>
        </w:rPr>
        <w:t>21</w:t>
      </w:r>
      <w:r>
        <w:rPr>
          <w:rFonts w:hint="eastAsia" w:ascii="宋体" w:hAnsi="宋体" w:cs="宋体"/>
          <w:sz w:val="32"/>
          <w:szCs w:val="32"/>
          <w:highlight w:val="none"/>
        </w:rPr>
        <w:t>年，部门预算收支安排</w:t>
      </w:r>
      <w:r>
        <w:rPr>
          <w:rFonts w:hint="eastAsia" w:ascii="宋体" w:hAnsi="宋体" w:cs="宋体"/>
          <w:sz w:val="32"/>
          <w:szCs w:val="32"/>
          <w:highlight w:val="none"/>
          <w:lang w:val="en-US" w:eastAsia="zh-CN"/>
        </w:rPr>
        <w:t>1959.97</w:t>
      </w:r>
      <w:r>
        <w:rPr>
          <w:rFonts w:hint="eastAsia" w:ascii="宋体" w:hAnsi="宋体" w:cs="宋体"/>
          <w:sz w:val="32"/>
          <w:szCs w:val="32"/>
          <w:highlight w:val="none"/>
        </w:rPr>
        <w:t>万元</w:t>
      </w:r>
      <w:r>
        <w:rPr>
          <w:rFonts w:hint="eastAsia" w:ascii="宋体" w:hAnsi="宋体" w:cs="宋体"/>
          <w:sz w:val="32"/>
          <w:szCs w:val="32"/>
          <w:highlight w:val="none"/>
          <w:lang w:eastAsia="zh-CN"/>
        </w:rPr>
        <w:t>，</w:t>
      </w:r>
      <w:r>
        <w:rPr>
          <w:rFonts w:hint="eastAsia" w:ascii="宋体" w:hAnsi="宋体" w:cs="宋体"/>
          <w:sz w:val="32"/>
          <w:szCs w:val="32"/>
          <w:highlight w:val="none"/>
        </w:rPr>
        <w:t>经过对比测算，20</w:t>
      </w:r>
      <w:r>
        <w:rPr>
          <w:rFonts w:hint="eastAsia" w:ascii="宋体" w:hAnsi="宋体" w:cs="宋体"/>
          <w:sz w:val="32"/>
          <w:szCs w:val="32"/>
          <w:highlight w:val="none"/>
          <w:lang w:val="en-US" w:eastAsia="zh-CN"/>
        </w:rPr>
        <w:t>22</w:t>
      </w:r>
      <w:r>
        <w:rPr>
          <w:rFonts w:hint="eastAsia" w:ascii="宋体" w:hAnsi="宋体" w:cs="宋体"/>
          <w:sz w:val="32"/>
          <w:szCs w:val="32"/>
          <w:highlight w:val="none"/>
        </w:rPr>
        <w:t>年财政拨款预算比20</w:t>
      </w:r>
      <w:r>
        <w:rPr>
          <w:rFonts w:hint="eastAsia" w:ascii="宋体" w:hAnsi="宋体" w:eastAsia="宋体" w:cs="宋体"/>
          <w:sz w:val="32"/>
          <w:szCs w:val="32"/>
          <w:highlight w:val="none"/>
          <w:lang w:val="en-US" w:eastAsia="zh-CN"/>
        </w:rPr>
        <w:t>21</w:t>
      </w:r>
      <w:r>
        <w:rPr>
          <w:rFonts w:hint="eastAsia" w:ascii="宋体" w:hAnsi="宋体" w:cs="宋体"/>
          <w:sz w:val="32"/>
          <w:szCs w:val="32"/>
          <w:highlight w:val="none"/>
        </w:rPr>
        <w:t>年</w:t>
      </w:r>
      <w:r>
        <w:rPr>
          <w:rFonts w:hint="eastAsia" w:ascii="宋体" w:hAnsi="宋体" w:cs="宋体"/>
          <w:sz w:val="32"/>
          <w:szCs w:val="32"/>
          <w:highlight w:val="none"/>
          <w:lang w:eastAsia="zh-CN"/>
        </w:rPr>
        <w:t>增加</w:t>
      </w:r>
      <w:r>
        <w:rPr>
          <w:rFonts w:hint="eastAsia" w:ascii="宋体" w:hAnsi="宋体" w:cs="宋体"/>
          <w:sz w:val="32"/>
          <w:szCs w:val="32"/>
          <w:highlight w:val="none"/>
          <w:lang w:val="en-US" w:eastAsia="zh-CN"/>
        </w:rPr>
        <w:t>337.86</w:t>
      </w:r>
      <w:r>
        <w:rPr>
          <w:rFonts w:hint="eastAsia" w:ascii="宋体" w:hAnsi="宋体" w:cs="宋体"/>
          <w:sz w:val="32"/>
          <w:szCs w:val="32"/>
          <w:highlight w:val="none"/>
        </w:rPr>
        <w:t>万元，主要是：人员经费</w:t>
      </w:r>
      <w:r>
        <w:rPr>
          <w:rFonts w:hint="eastAsia" w:ascii="宋体" w:hAnsi="宋体" w:cs="宋体"/>
          <w:sz w:val="32"/>
          <w:szCs w:val="32"/>
          <w:highlight w:val="none"/>
          <w:lang w:eastAsia="zh-CN"/>
        </w:rPr>
        <w:t>增加</w:t>
      </w:r>
      <w:r>
        <w:rPr>
          <w:rFonts w:hint="eastAsia" w:ascii="宋体" w:hAnsi="宋体" w:cs="宋体"/>
          <w:sz w:val="32"/>
          <w:szCs w:val="32"/>
          <w:highlight w:val="none"/>
          <w:lang w:val="en-US" w:eastAsia="zh-CN"/>
        </w:rPr>
        <w:t>99.12</w:t>
      </w:r>
      <w:r>
        <w:rPr>
          <w:rFonts w:hint="eastAsia" w:ascii="宋体" w:hAnsi="宋体" w:cs="宋体"/>
          <w:sz w:val="32"/>
          <w:szCs w:val="32"/>
          <w:highlight w:val="none"/>
        </w:rPr>
        <w:t>万元，日常公用经费</w:t>
      </w:r>
      <w:r>
        <w:rPr>
          <w:rFonts w:hint="eastAsia" w:ascii="宋体" w:hAnsi="宋体" w:eastAsia="宋体" w:cs="宋体"/>
          <w:sz w:val="32"/>
          <w:szCs w:val="32"/>
          <w:highlight w:val="none"/>
          <w:lang w:eastAsia="zh-CN"/>
        </w:rPr>
        <w:t>减少</w:t>
      </w:r>
      <w:r>
        <w:rPr>
          <w:rFonts w:hint="eastAsia" w:ascii="宋体" w:hAnsi="宋体" w:cs="宋体"/>
          <w:sz w:val="32"/>
          <w:szCs w:val="32"/>
          <w:highlight w:val="none"/>
          <w:lang w:val="en-US" w:eastAsia="zh-CN"/>
        </w:rPr>
        <w:t>12.03</w:t>
      </w:r>
      <w:r>
        <w:rPr>
          <w:rFonts w:hint="eastAsia" w:ascii="宋体" w:hAnsi="宋体" w:cs="宋体"/>
          <w:sz w:val="32"/>
          <w:szCs w:val="32"/>
          <w:highlight w:val="none"/>
        </w:rPr>
        <w:t>万元</w:t>
      </w:r>
      <w:r>
        <w:rPr>
          <w:rFonts w:hint="eastAsia" w:ascii="宋体" w:hAnsi="宋体" w:eastAsia="宋体" w:cs="宋体"/>
          <w:sz w:val="32"/>
          <w:szCs w:val="32"/>
          <w:highlight w:val="none"/>
          <w:lang w:eastAsia="zh-CN"/>
        </w:rPr>
        <w:t>，</w:t>
      </w:r>
      <w:r>
        <w:rPr>
          <w:rFonts w:hint="eastAsia" w:ascii="宋体" w:hAnsi="宋体" w:cs="宋体"/>
          <w:sz w:val="32"/>
          <w:szCs w:val="32"/>
          <w:highlight w:val="none"/>
        </w:rPr>
        <w:t>项目经费</w:t>
      </w:r>
      <w:r>
        <w:rPr>
          <w:rFonts w:hint="eastAsia" w:ascii="宋体" w:hAnsi="宋体" w:eastAsia="宋体" w:cs="宋体"/>
          <w:sz w:val="32"/>
          <w:szCs w:val="32"/>
          <w:highlight w:val="none"/>
          <w:lang w:eastAsia="zh-CN"/>
        </w:rPr>
        <w:t>增加</w:t>
      </w:r>
      <w:r>
        <w:rPr>
          <w:rFonts w:hint="eastAsia" w:ascii="宋体" w:hAnsi="宋体" w:eastAsia="宋体" w:cs="宋体"/>
          <w:sz w:val="32"/>
          <w:szCs w:val="32"/>
          <w:highlight w:val="none"/>
          <w:lang w:val="en-US" w:eastAsia="zh-CN"/>
        </w:rPr>
        <w:t>250.77</w:t>
      </w:r>
      <w:r>
        <w:rPr>
          <w:rFonts w:hint="eastAsia" w:ascii="宋体" w:hAnsi="宋体" w:cs="宋体"/>
          <w:sz w:val="32"/>
          <w:szCs w:val="32"/>
          <w:highlight w:val="none"/>
        </w:rPr>
        <w:t>万元,因20</w:t>
      </w:r>
      <w:r>
        <w:rPr>
          <w:rFonts w:hint="eastAsia" w:ascii="宋体" w:hAnsi="宋体" w:eastAsia="宋体" w:cs="宋体"/>
          <w:sz w:val="32"/>
          <w:szCs w:val="32"/>
          <w:highlight w:val="none"/>
          <w:lang w:val="en-US" w:eastAsia="zh-CN"/>
        </w:rPr>
        <w:t>22</w:t>
      </w:r>
      <w:r>
        <w:rPr>
          <w:rFonts w:hint="eastAsia" w:ascii="宋体" w:hAnsi="宋体" w:cs="宋体"/>
          <w:sz w:val="32"/>
          <w:szCs w:val="32"/>
          <w:highlight w:val="none"/>
        </w:rPr>
        <w:t>年度有人员调</w:t>
      </w:r>
      <w:r>
        <w:rPr>
          <w:rFonts w:hint="eastAsia" w:ascii="宋体" w:hAnsi="宋体" w:cs="宋体"/>
          <w:sz w:val="32"/>
          <w:szCs w:val="32"/>
          <w:highlight w:val="none"/>
          <w:lang w:eastAsia="zh-CN"/>
        </w:rPr>
        <w:t>入</w:t>
      </w:r>
      <w:r>
        <w:rPr>
          <w:rFonts w:hint="eastAsia" w:ascii="宋体" w:hAnsi="宋体" w:cs="宋体"/>
          <w:sz w:val="32"/>
          <w:szCs w:val="32"/>
          <w:highlight w:val="none"/>
        </w:rPr>
        <w:t>，相应津贴和补贴有</w:t>
      </w:r>
      <w:r>
        <w:rPr>
          <w:rFonts w:hint="eastAsia" w:ascii="宋体" w:hAnsi="宋体" w:cs="宋体"/>
          <w:sz w:val="32"/>
          <w:szCs w:val="32"/>
          <w:highlight w:val="none"/>
          <w:lang w:eastAsia="zh-CN"/>
        </w:rPr>
        <w:t>增加，导致人员经费增加</w:t>
      </w:r>
      <w:r>
        <w:rPr>
          <w:rFonts w:hint="eastAsia" w:ascii="宋体" w:hAnsi="宋体" w:cs="宋体"/>
          <w:sz w:val="32"/>
          <w:szCs w:val="32"/>
          <w:highlight w:val="none"/>
        </w:rPr>
        <w:t>，</w:t>
      </w:r>
      <w:r>
        <w:rPr>
          <w:rFonts w:hint="eastAsia" w:ascii="宋体" w:hAnsi="宋体" w:eastAsia="宋体" w:cs="宋体"/>
          <w:sz w:val="32"/>
          <w:szCs w:val="32"/>
          <w:highlight w:val="none"/>
          <w:lang w:eastAsia="zh-CN"/>
        </w:rPr>
        <w:t>为了缩减开支，减少了</w:t>
      </w:r>
      <w:r>
        <w:rPr>
          <w:rFonts w:hint="eastAsia" w:ascii="宋体" w:hAnsi="宋体" w:cs="宋体"/>
          <w:sz w:val="32"/>
          <w:szCs w:val="32"/>
          <w:highlight w:val="none"/>
        </w:rPr>
        <w:t>日常公用经费，项目经费中</w:t>
      </w:r>
      <w:r>
        <w:rPr>
          <w:rFonts w:hint="eastAsia" w:ascii="宋体" w:hAnsi="宋体" w:eastAsia="宋体" w:cs="宋体"/>
          <w:sz w:val="32"/>
          <w:szCs w:val="32"/>
          <w:highlight w:val="none"/>
          <w:lang w:eastAsia="zh-CN"/>
        </w:rPr>
        <w:t>将食品抽检、“双随机、一公开”等项目纳入预算，同时，</w:t>
      </w:r>
      <w:r>
        <w:rPr>
          <w:rFonts w:hint="eastAsia" w:ascii="宋体" w:hAnsi="宋体" w:cs="宋体"/>
          <w:sz w:val="32"/>
          <w:szCs w:val="32"/>
          <w:highlight w:val="none"/>
        </w:rPr>
        <w:t>部分项目</w:t>
      </w:r>
      <w:r>
        <w:rPr>
          <w:rFonts w:hint="eastAsia" w:ascii="宋体" w:hAnsi="宋体" w:cs="宋体"/>
          <w:sz w:val="32"/>
          <w:szCs w:val="32"/>
          <w:highlight w:val="none"/>
          <w:lang w:eastAsia="zh-CN"/>
        </w:rPr>
        <w:t>只区级配套部分纳入项目经费预算中。</w:t>
      </w:r>
    </w:p>
    <w:p>
      <w:pPr>
        <w:pStyle w:val="16"/>
        <w:rPr>
          <w:highlight w:val="none"/>
        </w:rPr>
      </w:pPr>
    </w:p>
    <w:p>
      <w:pPr>
        <w:spacing w:before="10" w:after="10" w:line="360" w:lineRule="auto"/>
        <w:ind w:firstLine="640"/>
        <w:jc w:val="left"/>
        <w:outlineLvl w:val="2"/>
      </w:pPr>
      <w:r>
        <w:rPr>
          <w:rFonts w:ascii="黑体" w:hAnsi="黑体" w:eastAsia="黑体" w:cs="黑体"/>
          <w:color w:val="000000"/>
          <w:sz w:val="32"/>
        </w:rPr>
        <w:t>三、机关运行经费安排情况</w:t>
      </w:r>
    </w:p>
    <w:p>
      <w:pPr>
        <w:pStyle w:val="17"/>
      </w:pPr>
      <w:r>
        <w:rPr>
          <w:rFonts w:hint="eastAsia" w:ascii="宋体" w:hAnsi="宋体" w:cs="宋体"/>
          <w:sz w:val="32"/>
          <w:szCs w:val="32"/>
          <w:lang w:eastAsia="zh-CN"/>
        </w:rPr>
        <w:t>我部门</w:t>
      </w:r>
      <w:r>
        <w:rPr>
          <w:rFonts w:hint="eastAsia" w:ascii="宋体" w:hAnsi="宋体" w:cs="宋体"/>
          <w:sz w:val="32"/>
          <w:szCs w:val="32"/>
        </w:rPr>
        <w:t>机关运行经费共计安排</w:t>
      </w:r>
      <w:r>
        <w:rPr>
          <w:rFonts w:hint="eastAsia" w:ascii="宋体" w:hAnsi="宋体" w:cs="宋体"/>
          <w:sz w:val="32"/>
          <w:szCs w:val="32"/>
          <w:lang w:val="en-US" w:eastAsia="zh-CN"/>
        </w:rPr>
        <w:t>151.84</w:t>
      </w:r>
      <w:r>
        <w:rPr>
          <w:rFonts w:hint="eastAsia" w:ascii="宋体" w:hAnsi="宋体" w:cs="宋体"/>
          <w:sz w:val="32"/>
          <w:szCs w:val="32"/>
        </w:rPr>
        <w:t>万元，主要用于保证正常办公的基本需要和维持单位日常业务运转，包括：办公费、水电费、邮电费、取暖费、交通费、差旅费、公务用车运行维护费、工会经费、福利费和其他费。</w:t>
      </w:r>
    </w:p>
    <w:p>
      <w:pPr>
        <w:numPr>
          <w:ilvl w:val="0"/>
          <w:numId w:val="1"/>
        </w:numPr>
        <w:spacing w:before="10" w:after="10" w:line="360" w:lineRule="auto"/>
        <w:ind w:firstLine="640"/>
        <w:jc w:val="left"/>
        <w:outlineLvl w:val="2"/>
        <w:rPr>
          <w:rFonts w:ascii="宋体" w:hAnsi="宋体" w:cs="宋体"/>
          <w:sz w:val="32"/>
          <w:szCs w:val="32"/>
        </w:rPr>
      </w:pPr>
      <w:r>
        <w:rPr>
          <w:rFonts w:ascii="黑体" w:hAnsi="黑体" w:eastAsia="黑体" w:cs="黑体"/>
          <w:color w:val="000000"/>
          <w:sz w:val="32"/>
        </w:rPr>
        <w:t>财政拨款“三公”经费预算情况及增减变化原因</w:t>
      </w:r>
    </w:p>
    <w:p>
      <w:pPr>
        <w:numPr>
          <w:ilvl w:val="0"/>
          <w:numId w:val="0"/>
        </w:numPr>
        <w:spacing w:before="10" w:after="10" w:line="360" w:lineRule="auto"/>
        <w:ind w:firstLine="640" w:firstLineChars="200"/>
        <w:jc w:val="left"/>
        <w:outlineLvl w:val="2"/>
        <w:rPr>
          <w:rFonts w:ascii="宋体" w:hAnsi="宋体" w:cs="宋体"/>
          <w:sz w:val="32"/>
          <w:szCs w:val="32"/>
        </w:rPr>
      </w:pPr>
      <w:r>
        <w:rPr>
          <w:rFonts w:hint="eastAsia" w:ascii="宋体" w:hAnsi="宋体" w:eastAsia="宋体" w:cs="宋体"/>
          <w:sz w:val="32"/>
          <w:szCs w:val="32"/>
          <w:lang w:val="en-US" w:eastAsia="zh-CN"/>
        </w:rPr>
        <w:t>(一)</w:t>
      </w:r>
      <w:r>
        <w:rPr>
          <w:rFonts w:hint="eastAsia" w:ascii="宋体" w:hAnsi="宋体" w:cs="宋体"/>
          <w:sz w:val="32"/>
          <w:szCs w:val="32"/>
        </w:rPr>
        <w:t>公务用车购置及运行费。共计安排</w:t>
      </w:r>
      <w:r>
        <w:rPr>
          <w:rFonts w:hint="eastAsia" w:ascii="宋体" w:hAnsi="宋体" w:eastAsia="宋体" w:cs="宋体"/>
          <w:sz w:val="32"/>
          <w:szCs w:val="32"/>
          <w:lang w:val="en-US" w:eastAsia="zh-CN"/>
        </w:rPr>
        <w:t>30</w:t>
      </w:r>
      <w:r>
        <w:rPr>
          <w:rFonts w:hint="eastAsia" w:ascii="宋体" w:hAnsi="宋体" w:cs="宋体"/>
          <w:sz w:val="32"/>
          <w:szCs w:val="32"/>
        </w:rPr>
        <w:t>万元，</w:t>
      </w:r>
      <w:r>
        <w:rPr>
          <w:rFonts w:hint="eastAsia" w:ascii="宋体" w:hAnsi="宋体" w:eastAsia="宋体" w:cs="宋体"/>
          <w:sz w:val="32"/>
          <w:szCs w:val="32"/>
          <w:lang w:eastAsia="zh-CN"/>
        </w:rPr>
        <w:t>与上年持平</w:t>
      </w:r>
      <w:r>
        <w:rPr>
          <w:rFonts w:hint="eastAsia" w:ascii="宋体" w:hAnsi="宋体" w:cs="宋体"/>
          <w:sz w:val="32"/>
          <w:szCs w:val="32"/>
        </w:rPr>
        <w:t>。①公务用车购置安排0万元。与上年持平。②公车运行维护经费安排</w:t>
      </w:r>
      <w:r>
        <w:rPr>
          <w:rFonts w:hint="eastAsia" w:ascii="宋体" w:hAnsi="宋体" w:eastAsia="宋体" w:cs="宋体"/>
          <w:sz w:val="32"/>
          <w:szCs w:val="32"/>
          <w:lang w:val="en-US" w:eastAsia="zh-CN"/>
        </w:rPr>
        <w:t>30</w:t>
      </w:r>
      <w:r>
        <w:rPr>
          <w:rFonts w:hint="eastAsia" w:ascii="宋体" w:hAnsi="宋体" w:cs="宋体"/>
          <w:sz w:val="32"/>
          <w:szCs w:val="32"/>
        </w:rPr>
        <w:t>万元，</w:t>
      </w:r>
      <w:r>
        <w:rPr>
          <w:rFonts w:hint="eastAsia" w:ascii="宋体" w:hAnsi="宋体" w:eastAsia="宋体" w:cs="宋体"/>
          <w:sz w:val="32"/>
          <w:szCs w:val="32"/>
          <w:lang w:eastAsia="zh-CN"/>
        </w:rPr>
        <w:t>与上年持平</w:t>
      </w:r>
      <w:r>
        <w:rPr>
          <w:rFonts w:hint="eastAsia" w:ascii="宋体" w:hAnsi="宋体" w:cs="宋体"/>
          <w:sz w:val="32"/>
          <w:szCs w:val="32"/>
        </w:rPr>
        <w:t>。</w:t>
      </w:r>
    </w:p>
    <w:p>
      <w:pPr>
        <w:numPr>
          <w:ilvl w:val="0"/>
          <w:numId w:val="0"/>
        </w:numPr>
        <w:ind w:firstLine="320" w:firstLineChars="100"/>
        <w:rPr>
          <w:rFonts w:hint="eastAsia" w:ascii="宋体" w:hAnsi="宋体" w:cs="宋体"/>
          <w:sz w:val="32"/>
          <w:szCs w:val="32"/>
        </w:rPr>
      </w:pPr>
      <w:r>
        <w:rPr>
          <w:rFonts w:hint="eastAsia" w:ascii="宋体" w:hAnsi="宋体" w:eastAsia="宋体" w:cs="宋体"/>
          <w:sz w:val="32"/>
          <w:szCs w:val="32"/>
          <w:lang w:eastAsia="zh-CN"/>
        </w:rPr>
        <w:t>（二）</w:t>
      </w:r>
      <w:r>
        <w:rPr>
          <w:rFonts w:hint="eastAsia" w:ascii="宋体" w:hAnsi="宋体" w:cs="宋体"/>
          <w:sz w:val="32"/>
          <w:szCs w:val="32"/>
        </w:rPr>
        <w:t>公务接待费。安排0万元，与上年持平</w:t>
      </w:r>
      <w:r>
        <w:rPr>
          <w:rFonts w:hint="eastAsia" w:ascii="宋体" w:hAnsi="宋体" w:cs="宋体"/>
          <w:sz w:val="32"/>
          <w:szCs w:val="32"/>
          <w:lang w:eastAsia="zh-CN"/>
        </w:rPr>
        <w:t>，</w:t>
      </w:r>
      <w:r>
        <w:rPr>
          <w:rFonts w:hint="eastAsia" w:ascii="宋体" w:hAnsi="宋体" w:cs="宋体"/>
          <w:sz w:val="32"/>
          <w:szCs w:val="32"/>
        </w:rPr>
        <w:t>无增减变化。</w:t>
      </w:r>
    </w:p>
    <w:p>
      <w:pPr>
        <w:numPr>
          <w:ilvl w:val="0"/>
          <w:numId w:val="0"/>
        </w:numPr>
        <w:ind w:firstLine="320" w:firstLineChars="100"/>
        <w:rPr>
          <w:rFonts w:hint="eastAsia" w:ascii="宋体" w:hAnsi="宋体" w:cs="宋体"/>
          <w:sz w:val="32"/>
          <w:szCs w:val="32"/>
        </w:rPr>
      </w:pPr>
      <w:r>
        <w:rPr>
          <w:rFonts w:hint="eastAsia" w:ascii="宋体" w:hAnsi="宋体" w:eastAsia="宋体" w:cs="宋体"/>
          <w:sz w:val="32"/>
          <w:szCs w:val="32"/>
          <w:lang w:eastAsia="zh-CN"/>
        </w:rPr>
        <w:t>（三）</w:t>
      </w:r>
      <w:r>
        <w:rPr>
          <w:rFonts w:hint="eastAsia" w:ascii="宋体" w:hAnsi="宋体" w:cs="宋体"/>
          <w:sz w:val="32"/>
          <w:szCs w:val="32"/>
        </w:rPr>
        <w:t>因公出国（境）费安排0万元，与上年持平</w:t>
      </w:r>
      <w:r>
        <w:rPr>
          <w:rFonts w:hint="eastAsia" w:ascii="宋体" w:hAnsi="宋体" w:cs="宋体"/>
          <w:sz w:val="32"/>
          <w:szCs w:val="32"/>
          <w:lang w:eastAsia="zh-CN"/>
        </w:rPr>
        <w:t>，</w:t>
      </w:r>
      <w:r>
        <w:rPr>
          <w:rFonts w:hint="eastAsia" w:ascii="宋体" w:hAnsi="宋体" w:cs="宋体"/>
          <w:sz w:val="32"/>
          <w:szCs w:val="32"/>
        </w:rPr>
        <w:t>无增减变化。</w:t>
      </w:r>
    </w:p>
    <w:p>
      <w:pPr>
        <w:numPr>
          <w:ilvl w:val="0"/>
          <w:numId w:val="0"/>
        </w:numPr>
        <w:spacing w:before="10" w:after="10" w:line="360" w:lineRule="auto"/>
        <w:jc w:val="left"/>
        <w:outlineLvl w:val="2"/>
        <w:rPr>
          <w:rFonts w:ascii="黑体" w:hAnsi="黑体" w:eastAsia="黑体" w:cs="黑体"/>
          <w:color w:val="000000"/>
          <w:sz w:val="32"/>
        </w:rPr>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1、“双随机、一公开”监管经费 本级绩效目标表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1.聘请会计师事务所更好、更专业的对辖区市场主体相关事宜开展抽查工作。</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调查企业户数</w:t>
            </w:r>
          </w:p>
        </w:tc>
        <w:tc>
          <w:tcPr>
            <w:tcW w:w="2835" w:type="dxa"/>
            <w:vAlign w:val="center"/>
          </w:tcPr>
          <w:p>
            <w:pPr>
              <w:pStyle w:val="10"/>
            </w:pPr>
            <w:r>
              <w:t>调查企业户数</w:t>
            </w:r>
          </w:p>
        </w:tc>
        <w:tc>
          <w:tcPr>
            <w:tcW w:w="2551" w:type="dxa"/>
            <w:vAlign w:val="center"/>
          </w:tcPr>
          <w:p>
            <w:pPr>
              <w:pStyle w:val="10"/>
            </w:pPr>
            <w:r>
              <w:t>379户</w:t>
            </w:r>
          </w:p>
        </w:tc>
        <w:tc>
          <w:tcPr>
            <w:tcW w:w="2268" w:type="dxa"/>
            <w:vAlign w:val="center"/>
          </w:tcPr>
          <w:p>
            <w:pPr>
              <w:pStyle w:val="10"/>
            </w:pPr>
            <w:r>
              <w:t>根据我域内市场主体总数百分比确定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执法评估报告完成数量</w:t>
            </w:r>
          </w:p>
        </w:tc>
        <w:tc>
          <w:tcPr>
            <w:tcW w:w="2835" w:type="dxa"/>
            <w:vAlign w:val="center"/>
          </w:tcPr>
          <w:p>
            <w:pPr>
              <w:pStyle w:val="10"/>
            </w:pPr>
            <w:r>
              <w:t>执法评估报告完成数量</w:t>
            </w:r>
          </w:p>
        </w:tc>
        <w:tc>
          <w:tcPr>
            <w:tcW w:w="2551" w:type="dxa"/>
            <w:vAlign w:val="center"/>
          </w:tcPr>
          <w:p>
            <w:pPr>
              <w:pStyle w:val="10"/>
            </w:pPr>
            <w:r>
              <w:t>≥379份</w:t>
            </w:r>
          </w:p>
        </w:tc>
        <w:tc>
          <w:tcPr>
            <w:tcW w:w="2268" w:type="dxa"/>
            <w:vAlign w:val="center"/>
          </w:tcPr>
          <w:p>
            <w:pPr>
              <w:pStyle w:val="10"/>
            </w:pPr>
            <w:r>
              <w:t>每户检查完成后形成评估报告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2835" w:type="dxa"/>
            <w:vAlign w:val="center"/>
          </w:tcPr>
          <w:p>
            <w:pPr>
              <w:pStyle w:val="10"/>
            </w:pPr>
            <w:r>
              <w:t>成本控制率(%)</w:t>
            </w:r>
          </w:p>
        </w:tc>
        <w:tc>
          <w:tcPr>
            <w:tcW w:w="2551" w:type="dxa"/>
            <w:vAlign w:val="center"/>
          </w:tcPr>
          <w:p>
            <w:pPr>
              <w:pStyle w:val="10"/>
            </w:pPr>
            <w:r>
              <w:t>≥90%</w:t>
            </w:r>
          </w:p>
        </w:tc>
        <w:tc>
          <w:tcPr>
            <w:tcW w:w="2268" w:type="dxa"/>
            <w:vAlign w:val="center"/>
          </w:tcPr>
          <w:p>
            <w:pPr>
              <w:pStyle w:val="10"/>
            </w:pPr>
            <w:r>
              <w:t>成本控制率大于等于90%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≥90%</w:t>
            </w:r>
          </w:p>
        </w:tc>
        <w:tc>
          <w:tcPr>
            <w:tcW w:w="2268" w:type="dxa"/>
            <w:vAlign w:val="center"/>
          </w:tcPr>
          <w:p>
            <w:pPr>
              <w:pStyle w:val="10"/>
            </w:pPr>
            <w:r>
              <w:t>市场主体抽查户数完成率高于90%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工作完成率</w:t>
            </w:r>
          </w:p>
        </w:tc>
        <w:tc>
          <w:tcPr>
            <w:tcW w:w="2835" w:type="dxa"/>
            <w:vAlign w:val="center"/>
          </w:tcPr>
          <w:p>
            <w:pPr>
              <w:pStyle w:val="10"/>
            </w:pPr>
            <w:r>
              <w:t>工作完成率</w:t>
            </w:r>
          </w:p>
        </w:tc>
        <w:tc>
          <w:tcPr>
            <w:tcW w:w="2551" w:type="dxa"/>
            <w:vAlign w:val="center"/>
          </w:tcPr>
          <w:p>
            <w:pPr>
              <w:pStyle w:val="10"/>
            </w:pPr>
            <w:r>
              <w:t>≥90%</w:t>
            </w:r>
          </w:p>
        </w:tc>
        <w:tc>
          <w:tcPr>
            <w:tcW w:w="2268" w:type="dxa"/>
            <w:vAlign w:val="center"/>
          </w:tcPr>
          <w:p>
            <w:pPr>
              <w:pStyle w:val="10"/>
            </w:pPr>
            <w:r>
              <w:t>完成至少90%以上检查户数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资金的使用效率</w:t>
            </w:r>
          </w:p>
        </w:tc>
        <w:tc>
          <w:tcPr>
            <w:tcW w:w="2835" w:type="dxa"/>
            <w:vAlign w:val="center"/>
          </w:tcPr>
          <w:p>
            <w:pPr>
              <w:pStyle w:val="10"/>
            </w:pPr>
            <w:r>
              <w:t>资金的使用效率</w:t>
            </w:r>
          </w:p>
        </w:tc>
        <w:tc>
          <w:tcPr>
            <w:tcW w:w="2551" w:type="dxa"/>
            <w:vAlign w:val="center"/>
          </w:tcPr>
          <w:p>
            <w:pPr>
              <w:pStyle w:val="10"/>
            </w:pPr>
            <w:r>
              <w:t>≥90%</w:t>
            </w:r>
          </w:p>
        </w:tc>
        <w:tc>
          <w:tcPr>
            <w:tcW w:w="2268" w:type="dxa"/>
            <w:vAlign w:val="center"/>
          </w:tcPr>
          <w:p>
            <w:pPr>
              <w:pStyle w:val="10"/>
            </w:pPr>
            <w:r>
              <w:t>资金使用效率完成90%以上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监测、评价完成率</w:t>
            </w:r>
          </w:p>
        </w:tc>
        <w:tc>
          <w:tcPr>
            <w:tcW w:w="2835" w:type="dxa"/>
            <w:vAlign w:val="center"/>
          </w:tcPr>
          <w:p>
            <w:pPr>
              <w:pStyle w:val="10"/>
            </w:pPr>
            <w:r>
              <w:t>监测、评价完成率</w:t>
            </w:r>
          </w:p>
        </w:tc>
        <w:tc>
          <w:tcPr>
            <w:tcW w:w="2551" w:type="dxa"/>
            <w:vAlign w:val="center"/>
          </w:tcPr>
          <w:p>
            <w:pPr>
              <w:pStyle w:val="10"/>
            </w:pPr>
            <w:r>
              <w:t>≥90%</w:t>
            </w:r>
          </w:p>
        </w:tc>
        <w:tc>
          <w:tcPr>
            <w:tcW w:w="2268" w:type="dxa"/>
            <w:vAlign w:val="center"/>
          </w:tcPr>
          <w:p>
            <w:pPr>
              <w:pStyle w:val="10"/>
            </w:pPr>
            <w:r>
              <w:t>监测、评价完成率达到90%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≥90%</w:t>
            </w:r>
          </w:p>
        </w:tc>
        <w:tc>
          <w:tcPr>
            <w:tcW w:w="2268" w:type="dxa"/>
            <w:vAlign w:val="center"/>
          </w:tcPr>
          <w:p>
            <w:pPr>
              <w:pStyle w:val="10"/>
            </w:pPr>
            <w:r>
              <w:t>群众满意度大于等于90%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2、创文明城、食安城经费 本级绩效目标表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1.足额、足量的在创建文明城、食安城过程中制作满足创建标准监管公示牌宣传单、宣传册、条幅等，保证执法基础装备满足创建标准。</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印制计划完成量</w:t>
            </w:r>
          </w:p>
        </w:tc>
        <w:tc>
          <w:tcPr>
            <w:tcW w:w="2835" w:type="dxa"/>
            <w:vAlign w:val="center"/>
          </w:tcPr>
          <w:p>
            <w:pPr>
              <w:pStyle w:val="10"/>
            </w:pPr>
            <w:r>
              <w:t>印制计划完成量</w:t>
            </w:r>
          </w:p>
        </w:tc>
        <w:tc>
          <w:tcPr>
            <w:tcW w:w="2551" w:type="dxa"/>
            <w:vAlign w:val="center"/>
          </w:tcPr>
          <w:p>
            <w:pPr>
              <w:pStyle w:val="10"/>
            </w:pPr>
            <w:r>
              <w:t>≥500份</w:t>
            </w:r>
          </w:p>
        </w:tc>
        <w:tc>
          <w:tcPr>
            <w:tcW w:w="2268" w:type="dxa"/>
            <w:vAlign w:val="center"/>
          </w:tcPr>
          <w:p>
            <w:pPr>
              <w:pStyle w:val="10"/>
            </w:pPr>
            <w:r>
              <w:t>食安城创建细则要求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正常使用率</w:t>
            </w:r>
          </w:p>
        </w:tc>
        <w:tc>
          <w:tcPr>
            <w:tcW w:w="2835" w:type="dxa"/>
            <w:vAlign w:val="center"/>
          </w:tcPr>
          <w:p>
            <w:pPr>
              <w:pStyle w:val="10"/>
            </w:pPr>
            <w:r>
              <w:t>正常使用率</w:t>
            </w:r>
          </w:p>
        </w:tc>
        <w:tc>
          <w:tcPr>
            <w:tcW w:w="2551" w:type="dxa"/>
            <w:vAlign w:val="center"/>
          </w:tcPr>
          <w:p>
            <w:pPr>
              <w:pStyle w:val="10"/>
            </w:pPr>
            <w:r>
              <w:t>≥90百分比</w:t>
            </w:r>
          </w:p>
        </w:tc>
        <w:tc>
          <w:tcPr>
            <w:tcW w:w="2268" w:type="dxa"/>
            <w:vAlign w:val="center"/>
          </w:tcPr>
          <w:p>
            <w:pPr>
              <w:pStyle w:val="10"/>
            </w:pPr>
            <w:r>
              <w:t>正常使用率高于90%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发放率</w:t>
            </w:r>
          </w:p>
        </w:tc>
        <w:tc>
          <w:tcPr>
            <w:tcW w:w="2835" w:type="dxa"/>
            <w:vAlign w:val="center"/>
          </w:tcPr>
          <w:p>
            <w:pPr>
              <w:pStyle w:val="10"/>
            </w:pPr>
            <w:r>
              <w:t>发放率</w:t>
            </w:r>
          </w:p>
        </w:tc>
        <w:tc>
          <w:tcPr>
            <w:tcW w:w="2551" w:type="dxa"/>
            <w:vAlign w:val="center"/>
          </w:tcPr>
          <w:p>
            <w:pPr>
              <w:pStyle w:val="10"/>
            </w:pPr>
            <w:r>
              <w:t>≥90百分比</w:t>
            </w:r>
          </w:p>
        </w:tc>
        <w:tc>
          <w:tcPr>
            <w:tcW w:w="2268" w:type="dxa"/>
            <w:vAlign w:val="center"/>
          </w:tcPr>
          <w:p>
            <w:pPr>
              <w:pStyle w:val="10"/>
            </w:pPr>
            <w:r>
              <w:t>监管公示牌等发放率高于90%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采购成本控制率</w:t>
            </w:r>
          </w:p>
        </w:tc>
        <w:tc>
          <w:tcPr>
            <w:tcW w:w="2835" w:type="dxa"/>
            <w:vAlign w:val="center"/>
          </w:tcPr>
          <w:p>
            <w:pPr>
              <w:pStyle w:val="10"/>
            </w:pPr>
            <w:r>
              <w:t>采购成本控制率</w:t>
            </w:r>
          </w:p>
        </w:tc>
        <w:tc>
          <w:tcPr>
            <w:tcW w:w="2551" w:type="dxa"/>
            <w:vAlign w:val="center"/>
          </w:tcPr>
          <w:p>
            <w:pPr>
              <w:pStyle w:val="10"/>
            </w:pPr>
            <w:r>
              <w:t>≥90百分比</w:t>
            </w:r>
          </w:p>
        </w:tc>
        <w:tc>
          <w:tcPr>
            <w:tcW w:w="2268" w:type="dxa"/>
            <w:vAlign w:val="center"/>
          </w:tcPr>
          <w:p>
            <w:pPr>
              <w:pStyle w:val="10"/>
            </w:pPr>
            <w:r>
              <w:t>采购成本控制率高于90%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覆盖范围扩大效果</w:t>
            </w:r>
          </w:p>
        </w:tc>
        <w:tc>
          <w:tcPr>
            <w:tcW w:w="2835" w:type="dxa"/>
            <w:vAlign w:val="center"/>
          </w:tcPr>
          <w:p>
            <w:pPr>
              <w:pStyle w:val="10"/>
            </w:pPr>
            <w:r>
              <w:t>覆盖范围扩大效果</w:t>
            </w:r>
          </w:p>
        </w:tc>
        <w:tc>
          <w:tcPr>
            <w:tcW w:w="2551" w:type="dxa"/>
            <w:vAlign w:val="center"/>
          </w:tcPr>
          <w:p>
            <w:pPr>
              <w:pStyle w:val="10"/>
            </w:pPr>
            <w:r>
              <w:t>≥90百分比</w:t>
            </w:r>
          </w:p>
        </w:tc>
        <w:tc>
          <w:tcPr>
            <w:tcW w:w="2268" w:type="dxa"/>
            <w:vAlign w:val="center"/>
          </w:tcPr>
          <w:p>
            <w:pPr>
              <w:pStyle w:val="10"/>
            </w:pPr>
            <w:r>
              <w:t>覆盖范围扩大效果增加90%以上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成本利用率</w:t>
            </w:r>
          </w:p>
        </w:tc>
        <w:tc>
          <w:tcPr>
            <w:tcW w:w="2835" w:type="dxa"/>
            <w:vAlign w:val="center"/>
          </w:tcPr>
          <w:p>
            <w:pPr>
              <w:pStyle w:val="10"/>
            </w:pPr>
            <w:r>
              <w:t>成本利用率</w:t>
            </w:r>
          </w:p>
        </w:tc>
        <w:tc>
          <w:tcPr>
            <w:tcW w:w="2551" w:type="dxa"/>
            <w:vAlign w:val="center"/>
          </w:tcPr>
          <w:p>
            <w:pPr>
              <w:pStyle w:val="10"/>
            </w:pPr>
            <w:r>
              <w:t>≥90百分比</w:t>
            </w:r>
          </w:p>
        </w:tc>
        <w:tc>
          <w:tcPr>
            <w:tcW w:w="2268" w:type="dxa"/>
            <w:vAlign w:val="center"/>
          </w:tcPr>
          <w:p>
            <w:pPr>
              <w:pStyle w:val="10"/>
            </w:pPr>
            <w:r>
              <w:t>成本利用率高于90%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提升行业管理水平</w:t>
            </w:r>
          </w:p>
        </w:tc>
        <w:tc>
          <w:tcPr>
            <w:tcW w:w="2835" w:type="dxa"/>
            <w:vAlign w:val="center"/>
          </w:tcPr>
          <w:p>
            <w:pPr>
              <w:pStyle w:val="10"/>
            </w:pPr>
            <w:r>
              <w:t>提升行业管理水平</w:t>
            </w:r>
          </w:p>
        </w:tc>
        <w:tc>
          <w:tcPr>
            <w:tcW w:w="2551" w:type="dxa"/>
            <w:vAlign w:val="center"/>
          </w:tcPr>
          <w:p>
            <w:pPr>
              <w:pStyle w:val="10"/>
            </w:pPr>
            <w:r>
              <w:t>≥90百分比</w:t>
            </w:r>
          </w:p>
        </w:tc>
        <w:tc>
          <w:tcPr>
            <w:tcW w:w="2268" w:type="dxa"/>
            <w:vAlign w:val="center"/>
          </w:tcPr>
          <w:p>
            <w:pPr>
              <w:pStyle w:val="10"/>
            </w:pPr>
            <w:r>
              <w:t>提升行业管理水平高于90%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≥90百分比</w:t>
            </w:r>
          </w:p>
        </w:tc>
        <w:tc>
          <w:tcPr>
            <w:tcW w:w="2268" w:type="dxa"/>
            <w:vAlign w:val="center"/>
          </w:tcPr>
          <w:p>
            <w:pPr>
              <w:pStyle w:val="10"/>
            </w:pPr>
            <w:r>
              <w:t>群众满意度高于90%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3、日常监管、执法办案、风险监测、监督抽检等经费 本级绩效目标表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1.加强日常监管、执法办案、风险监测、监督抽检等能力.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季度农产品抽检数量</w:t>
            </w:r>
          </w:p>
        </w:tc>
        <w:tc>
          <w:tcPr>
            <w:tcW w:w="2835" w:type="dxa"/>
            <w:vAlign w:val="center"/>
          </w:tcPr>
          <w:p>
            <w:pPr>
              <w:pStyle w:val="10"/>
            </w:pPr>
            <w:r>
              <w:t>季度农产品抽检数量</w:t>
            </w:r>
          </w:p>
        </w:tc>
        <w:tc>
          <w:tcPr>
            <w:tcW w:w="2551" w:type="dxa"/>
            <w:vAlign w:val="center"/>
          </w:tcPr>
          <w:p>
            <w:pPr>
              <w:pStyle w:val="10"/>
            </w:pPr>
            <w:r>
              <w:t>≥30批次</w:t>
            </w:r>
          </w:p>
        </w:tc>
        <w:tc>
          <w:tcPr>
            <w:tcW w:w="2268" w:type="dxa"/>
            <w:vAlign w:val="center"/>
          </w:tcPr>
          <w:p>
            <w:pPr>
              <w:pStyle w:val="10"/>
            </w:pPr>
            <w:r>
              <w:t>每季度农产品抽检批次大于等于30批次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抽检项目、频率</w:t>
            </w:r>
          </w:p>
        </w:tc>
        <w:tc>
          <w:tcPr>
            <w:tcW w:w="2835" w:type="dxa"/>
            <w:vAlign w:val="center"/>
          </w:tcPr>
          <w:p>
            <w:pPr>
              <w:pStyle w:val="10"/>
            </w:pPr>
            <w:r>
              <w:t>抽检项目、频率</w:t>
            </w:r>
          </w:p>
        </w:tc>
        <w:tc>
          <w:tcPr>
            <w:tcW w:w="2551" w:type="dxa"/>
            <w:vAlign w:val="center"/>
          </w:tcPr>
          <w:p>
            <w:pPr>
              <w:pStyle w:val="10"/>
            </w:pPr>
            <w:r>
              <w:t>≥90百分数</w:t>
            </w:r>
          </w:p>
        </w:tc>
        <w:tc>
          <w:tcPr>
            <w:tcW w:w="2268" w:type="dxa"/>
            <w:vAlign w:val="center"/>
          </w:tcPr>
          <w:p>
            <w:pPr>
              <w:pStyle w:val="10"/>
            </w:pPr>
            <w:r>
              <w:t>抽检项目、频率大于等于90%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监督抽检信息公布</w:t>
            </w:r>
          </w:p>
        </w:tc>
        <w:tc>
          <w:tcPr>
            <w:tcW w:w="2835" w:type="dxa"/>
            <w:vAlign w:val="center"/>
          </w:tcPr>
          <w:p>
            <w:pPr>
              <w:pStyle w:val="10"/>
            </w:pPr>
            <w:r>
              <w:t>监督抽检信息公布</w:t>
            </w:r>
          </w:p>
        </w:tc>
        <w:tc>
          <w:tcPr>
            <w:tcW w:w="2551" w:type="dxa"/>
            <w:vAlign w:val="center"/>
          </w:tcPr>
          <w:p>
            <w:pPr>
              <w:pStyle w:val="10"/>
            </w:pPr>
            <w:r>
              <w:t>≥90百分数</w:t>
            </w:r>
          </w:p>
        </w:tc>
        <w:tc>
          <w:tcPr>
            <w:tcW w:w="2268" w:type="dxa"/>
            <w:vAlign w:val="center"/>
          </w:tcPr>
          <w:p>
            <w:pPr>
              <w:pStyle w:val="10"/>
            </w:pPr>
            <w:r>
              <w:t>监督抽检信息公布及时性在90%以上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按预算资金完成率</w:t>
            </w:r>
          </w:p>
        </w:tc>
        <w:tc>
          <w:tcPr>
            <w:tcW w:w="2835" w:type="dxa"/>
            <w:vAlign w:val="center"/>
          </w:tcPr>
          <w:p>
            <w:pPr>
              <w:pStyle w:val="10"/>
            </w:pPr>
            <w:r>
              <w:t>按预算资金完成率</w:t>
            </w:r>
          </w:p>
        </w:tc>
        <w:tc>
          <w:tcPr>
            <w:tcW w:w="2551" w:type="dxa"/>
            <w:vAlign w:val="center"/>
          </w:tcPr>
          <w:p>
            <w:pPr>
              <w:pStyle w:val="10"/>
            </w:pPr>
            <w:r>
              <w:t>≥90百分数</w:t>
            </w:r>
          </w:p>
        </w:tc>
        <w:tc>
          <w:tcPr>
            <w:tcW w:w="2268" w:type="dxa"/>
            <w:vAlign w:val="center"/>
          </w:tcPr>
          <w:p>
            <w:pPr>
              <w:pStyle w:val="10"/>
            </w:pPr>
            <w:r>
              <w:t>按照预算资金完成90%以上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专项资金投入产出效益</w:t>
            </w:r>
          </w:p>
        </w:tc>
        <w:tc>
          <w:tcPr>
            <w:tcW w:w="2835" w:type="dxa"/>
            <w:vAlign w:val="center"/>
          </w:tcPr>
          <w:p>
            <w:pPr>
              <w:pStyle w:val="10"/>
            </w:pPr>
            <w:r>
              <w:t>专项资金投入产出效益</w:t>
            </w:r>
          </w:p>
        </w:tc>
        <w:tc>
          <w:tcPr>
            <w:tcW w:w="2551" w:type="dxa"/>
            <w:vAlign w:val="center"/>
          </w:tcPr>
          <w:p>
            <w:pPr>
              <w:pStyle w:val="10"/>
            </w:pPr>
            <w:r>
              <w:t>≥90百分数</w:t>
            </w:r>
          </w:p>
        </w:tc>
        <w:tc>
          <w:tcPr>
            <w:tcW w:w="2268" w:type="dxa"/>
            <w:vAlign w:val="center"/>
          </w:tcPr>
          <w:p>
            <w:pPr>
              <w:pStyle w:val="10"/>
            </w:pPr>
            <w:r>
              <w:t>专项资金投入产出效益达到90%以上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群众投诉下降率（%）</w:t>
            </w:r>
          </w:p>
        </w:tc>
        <w:tc>
          <w:tcPr>
            <w:tcW w:w="2835" w:type="dxa"/>
            <w:vAlign w:val="center"/>
          </w:tcPr>
          <w:p>
            <w:pPr>
              <w:pStyle w:val="10"/>
            </w:pPr>
            <w:r>
              <w:t>群众投诉下降率（%）</w:t>
            </w:r>
          </w:p>
        </w:tc>
        <w:tc>
          <w:tcPr>
            <w:tcW w:w="2551" w:type="dxa"/>
            <w:vAlign w:val="center"/>
          </w:tcPr>
          <w:p>
            <w:pPr>
              <w:pStyle w:val="10"/>
            </w:pPr>
            <w:r>
              <w:t>≥10百分数</w:t>
            </w:r>
          </w:p>
        </w:tc>
        <w:tc>
          <w:tcPr>
            <w:tcW w:w="2268" w:type="dxa"/>
            <w:vAlign w:val="center"/>
          </w:tcPr>
          <w:p>
            <w:pPr>
              <w:pStyle w:val="10"/>
            </w:pPr>
            <w:r>
              <w:t>群众投诉下降率下降10%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检测能力</w:t>
            </w:r>
          </w:p>
        </w:tc>
        <w:tc>
          <w:tcPr>
            <w:tcW w:w="2835" w:type="dxa"/>
            <w:vAlign w:val="center"/>
          </w:tcPr>
          <w:p>
            <w:pPr>
              <w:pStyle w:val="10"/>
            </w:pPr>
            <w:r>
              <w:t>检测能力</w:t>
            </w:r>
          </w:p>
        </w:tc>
        <w:tc>
          <w:tcPr>
            <w:tcW w:w="2551" w:type="dxa"/>
            <w:vAlign w:val="center"/>
          </w:tcPr>
          <w:p>
            <w:pPr>
              <w:pStyle w:val="10"/>
            </w:pPr>
            <w:r>
              <w:t>检测能力持续提升</w:t>
            </w:r>
          </w:p>
        </w:tc>
        <w:tc>
          <w:tcPr>
            <w:tcW w:w="2268" w:type="dxa"/>
            <w:vAlign w:val="center"/>
          </w:tcPr>
          <w:p>
            <w:pPr>
              <w:pStyle w:val="10"/>
            </w:pPr>
            <w:r>
              <w:t>《食品安全考核细则》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群众满意率</w:t>
            </w:r>
          </w:p>
        </w:tc>
        <w:tc>
          <w:tcPr>
            <w:tcW w:w="2835" w:type="dxa"/>
            <w:vAlign w:val="center"/>
          </w:tcPr>
          <w:p>
            <w:pPr>
              <w:pStyle w:val="10"/>
            </w:pPr>
            <w:r>
              <w:t>群众满意率</w:t>
            </w:r>
          </w:p>
        </w:tc>
        <w:tc>
          <w:tcPr>
            <w:tcW w:w="2551" w:type="dxa"/>
            <w:vAlign w:val="center"/>
          </w:tcPr>
          <w:p>
            <w:pPr>
              <w:pStyle w:val="10"/>
            </w:pPr>
            <w:r>
              <w:t>≥90百分数</w:t>
            </w:r>
          </w:p>
        </w:tc>
        <w:tc>
          <w:tcPr>
            <w:tcW w:w="2268" w:type="dxa"/>
            <w:vAlign w:val="center"/>
          </w:tcPr>
          <w:p>
            <w:pPr>
              <w:pStyle w:val="10"/>
            </w:pPr>
            <w:r>
              <w:t>群众满意度达到90%以上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4、食品安全协管员补贴区级配套 本级绩效目标表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1.及时、足额的对食品安全协管员按照以奖代补的形式给与补助。</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补贴的人数</w:t>
            </w:r>
          </w:p>
        </w:tc>
        <w:tc>
          <w:tcPr>
            <w:tcW w:w="2835" w:type="dxa"/>
            <w:vAlign w:val="center"/>
          </w:tcPr>
          <w:p>
            <w:pPr>
              <w:pStyle w:val="10"/>
            </w:pPr>
            <w:r>
              <w:t>符合补贴政策，给与补贴的人员数</w:t>
            </w:r>
          </w:p>
        </w:tc>
        <w:tc>
          <w:tcPr>
            <w:tcW w:w="2551" w:type="dxa"/>
            <w:vAlign w:val="center"/>
          </w:tcPr>
          <w:p>
            <w:pPr>
              <w:pStyle w:val="10"/>
            </w:pPr>
            <w:r>
              <w:t>≥200人</w:t>
            </w:r>
          </w:p>
        </w:tc>
        <w:tc>
          <w:tcPr>
            <w:tcW w:w="2268" w:type="dxa"/>
            <w:vAlign w:val="center"/>
          </w:tcPr>
          <w:p>
            <w:pPr>
              <w:pStyle w:val="10"/>
            </w:pPr>
            <w:r>
              <w:t>符合补贴政策，给与补贴的人员数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食品安全协管员补贴发放标准</w:t>
            </w:r>
          </w:p>
        </w:tc>
        <w:tc>
          <w:tcPr>
            <w:tcW w:w="2835" w:type="dxa"/>
            <w:vAlign w:val="center"/>
          </w:tcPr>
          <w:p>
            <w:pPr>
              <w:pStyle w:val="10"/>
            </w:pPr>
            <w:r>
              <w:t>符合补贴政策，给与补贴的人员标准数（元/年）</w:t>
            </w:r>
          </w:p>
        </w:tc>
        <w:tc>
          <w:tcPr>
            <w:tcW w:w="2551" w:type="dxa"/>
            <w:vAlign w:val="center"/>
          </w:tcPr>
          <w:p>
            <w:pPr>
              <w:pStyle w:val="10"/>
            </w:pPr>
            <w:r>
              <w:t>≥1200元</w:t>
            </w:r>
          </w:p>
        </w:tc>
        <w:tc>
          <w:tcPr>
            <w:tcW w:w="2268" w:type="dxa"/>
            <w:vAlign w:val="center"/>
          </w:tcPr>
          <w:p>
            <w:pPr>
              <w:pStyle w:val="10"/>
            </w:pPr>
            <w:r>
              <w:t>符合补贴政策，给予补贴的人员标准数（元/年）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开展宣传方式的品种或数量（次或种）</w:t>
            </w:r>
          </w:p>
        </w:tc>
        <w:tc>
          <w:tcPr>
            <w:tcW w:w="2835" w:type="dxa"/>
            <w:vAlign w:val="center"/>
          </w:tcPr>
          <w:p>
            <w:pPr>
              <w:pStyle w:val="10"/>
            </w:pPr>
            <w:r>
              <w:t>开展宣传方式的品种或数量（次或种）</w:t>
            </w:r>
          </w:p>
        </w:tc>
        <w:tc>
          <w:tcPr>
            <w:tcW w:w="2551" w:type="dxa"/>
            <w:vAlign w:val="center"/>
          </w:tcPr>
          <w:p>
            <w:pPr>
              <w:pStyle w:val="10"/>
            </w:pPr>
            <w:r>
              <w:t>≥50次</w:t>
            </w:r>
          </w:p>
        </w:tc>
        <w:tc>
          <w:tcPr>
            <w:tcW w:w="2268" w:type="dxa"/>
            <w:vAlign w:val="center"/>
          </w:tcPr>
          <w:p>
            <w:pPr>
              <w:pStyle w:val="10"/>
            </w:pPr>
            <w:r>
              <w:t>开展宣传方式的品种或数量（次或种）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纠正意见或建议的采纳率</w:t>
            </w:r>
          </w:p>
        </w:tc>
        <w:tc>
          <w:tcPr>
            <w:tcW w:w="2835" w:type="dxa"/>
            <w:vAlign w:val="center"/>
          </w:tcPr>
          <w:p>
            <w:pPr>
              <w:pStyle w:val="10"/>
            </w:pPr>
            <w:r>
              <w:t>纠正意见或建议的采纳率</w:t>
            </w:r>
          </w:p>
        </w:tc>
        <w:tc>
          <w:tcPr>
            <w:tcW w:w="2551" w:type="dxa"/>
            <w:vAlign w:val="center"/>
          </w:tcPr>
          <w:p>
            <w:pPr>
              <w:pStyle w:val="10"/>
            </w:pPr>
            <w:r>
              <w:t>≥95%</w:t>
            </w:r>
          </w:p>
        </w:tc>
        <w:tc>
          <w:tcPr>
            <w:tcW w:w="2268" w:type="dxa"/>
            <w:vAlign w:val="center"/>
          </w:tcPr>
          <w:p>
            <w:pPr>
              <w:pStyle w:val="10"/>
            </w:pPr>
            <w:r>
              <w:t>纠正意见或建议的采纳率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带动社会资金投资比率</w:t>
            </w:r>
          </w:p>
        </w:tc>
        <w:tc>
          <w:tcPr>
            <w:tcW w:w="2835" w:type="dxa"/>
            <w:vAlign w:val="center"/>
          </w:tcPr>
          <w:p>
            <w:pPr>
              <w:pStyle w:val="10"/>
            </w:pPr>
            <w:r>
              <w:t>带动社会资金投入增长比率（%）</w:t>
            </w:r>
          </w:p>
        </w:tc>
        <w:tc>
          <w:tcPr>
            <w:tcW w:w="2551" w:type="dxa"/>
            <w:vAlign w:val="center"/>
          </w:tcPr>
          <w:p>
            <w:pPr>
              <w:pStyle w:val="10"/>
            </w:pPr>
            <w:r>
              <w:t>≥95%</w:t>
            </w:r>
          </w:p>
        </w:tc>
        <w:tc>
          <w:tcPr>
            <w:tcW w:w="2268" w:type="dxa"/>
            <w:vAlign w:val="center"/>
          </w:tcPr>
          <w:p>
            <w:pPr>
              <w:pStyle w:val="10"/>
            </w:pPr>
            <w:r>
              <w:t>带动社会资金投入增长比率（%）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意见建议采纳率</w:t>
            </w:r>
          </w:p>
        </w:tc>
        <w:tc>
          <w:tcPr>
            <w:tcW w:w="2835" w:type="dxa"/>
            <w:vAlign w:val="center"/>
          </w:tcPr>
          <w:p>
            <w:pPr>
              <w:pStyle w:val="10"/>
            </w:pPr>
            <w:r>
              <w:t>被采纳的意见数量占总数量的比率（%）</w:t>
            </w:r>
          </w:p>
        </w:tc>
        <w:tc>
          <w:tcPr>
            <w:tcW w:w="2551" w:type="dxa"/>
            <w:vAlign w:val="center"/>
          </w:tcPr>
          <w:p>
            <w:pPr>
              <w:pStyle w:val="10"/>
            </w:pPr>
            <w:r>
              <w:t>≥50%</w:t>
            </w:r>
          </w:p>
        </w:tc>
        <w:tc>
          <w:tcPr>
            <w:tcW w:w="2268" w:type="dxa"/>
            <w:vAlign w:val="center"/>
          </w:tcPr>
          <w:p>
            <w:pPr>
              <w:pStyle w:val="10"/>
            </w:pPr>
            <w:r>
              <w:t>被采纳的意见数量占总数量的比率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群众认可比率</w:t>
            </w:r>
          </w:p>
        </w:tc>
        <w:tc>
          <w:tcPr>
            <w:tcW w:w="2835" w:type="dxa"/>
            <w:vAlign w:val="center"/>
          </w:tcPr>
          <w:p>
            <w:pPr>
              <w:pStyle w:val="10"/>
            </w:pPr>
            <w:r>
              <w:t>在全区产生的重要影响，得到广大受众的充分认可。群众认可占全部人口的比率(%)</w:t>
            </w:r>
          </w:p>
        </w:tc>
        <w:tc>
          <w:tcPr>
            <w:tcW w:w="2551" w:type="dxa"/>
            <w:vAlign w:val="center"/>
          </w:tcPr>
          <w:p>
            <w:pPr>
              <w:pStyle w:val="10"/>
            </w:pPr>
            <w:r>
              <w:t>≥90%</w:t>
            </w:r>
          </w:p>
        </w:tc>
        <w:tc>
          <w:tcPr>
            <w:tcW w:w="2268" w:type="dxa"/>
            <w:vAlign w:val="center"/>
          </w:tcPr>
          <w:p>
            <w:pPr>
              <w:pStyle w:val="10"/>
            </w:pPr>
            <w:r>
              <w:t>在全区产生的重要影响，得到广大受众的充分认可。群众认可占全部人口的比率(%)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w:t>
            </w:r>
          </w:p>
        </w:tc>
        <w:tc>
          <w:tcPr>
            <w:tcW w:w="2268" w:type="dxa"/>
            <w:vAlign w:val="center"/>
          </w:tcPr>
          <w:p>
            <w:pPr>
              <w:pStyle w:val="10"/>
            </w:pPr>
            <w:r>
              <w:t>群众满意数量占总数的比例（%）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5、试剂食品快检室试剂补贴经费本级绩效目标表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1.更好的推进我辖区对食品快检室的运行，以保证辖区内食品安全。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资金足额率</w:t>
            </w:r>
          </w:p>
        </w:tc>
        <w:tc>
          <w:tcPr>
            <w:tcW w:w="2835" w:type="dxa"/>
            <w:vAlign w:val="center"/>
          </w:tcPr>
          <w:p>
            <w:pPr>
              <w:pStyle w:val="10"/>
            </w:pPr>
            <w:r>
              <w:t>实际拨付资金占应付资金比率</w:t>
            </w:r>
          </w:p>
        </w:tc>
        <w:tc>
          <w:tcPr>
            <w:tcW w:w="2551" w:type="dxa"/>
            <w:vAlign w:val="center"/>
          </w:tcPr>
          <w:p>
            <w:pPr>
              <w:pStyle w:val="10"/>
            </w:pPr>
            <w:r>
              <w:t>100%</w:t>
            </w:r>
          </w:p>
        </w:tc>
        <w:tc>
          <w:tcPr>
            <w:tcW w:w="2268" w:type="dxa"/>
            <w:vAlign w:val="center"/>
          </w:tcPr>
          <w:p>
            <w:pPr>
              <w:pStyle w:val="10"/>
            </w:pPr>
            <w:r>
              <w:t>《关于在食品销售企业设立食品快检室和开展“公众开放日”活动的通知》工作的统一部署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资金支付合规率（%）</w:t>
            </w:r>
          </w:p>
        </w:tc>
        <w:tc>
          <w:tcPr>
            <w:tcW w:w="2835" w:type="dxa"/>
            <w:vAlign w:val="center"/>
          </w:tcPr>
          <w:p>
            <w:pPr>
              <w:pStyle w:val="10"/>
            </w:pPr>
            <w:r>
              <w:t>支付方式是否合规</w:t>
            </w:r>
          </w:p>
        </w:tc>
        <w:tc>
          <w:tcPr>
            <w:tcW w:w="2551" w:type="dxa"/>
            <w:vAlign w:val="center"/>
          </w:tcPr>
          <w:p>
            <w:pPr>
              <w:pStyle w:val="10"/>
            </w:pPr>
            <w:r>
              <w:t>100%</w:t>
            </w:r>
          </w:p>
        </w:tc>
        <w:tc>
          <w:tcPr>
            <w:tcW w:w="2268" w:type="dxa"/>
            <w:vAlign w:val="center"/>
          </w:tcPr>
          <w:p>
            <w:pPr>
              <w:pStyle w:val="10"/>
            </w:pPr>
            <w:r>
              <w:t>《关于在食品销售企业设立食品快检室和开展“公众开放日”活动的通知》工作的统一部署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支付及时率</w:t>
            </w:r>
          </w:p>
        </w:tc>
        <w:tc>
          <w:tcPr>
            <w:tcW w:w="2835" w:type="dxa"/>
            <w:vAlign w:val="center"/>
          </w:tcPr>
          <w:p>
            <w:pPr>
              <w:pStyle w:val="10"/>
            </w:pPr>
            <w:r>
              <w:t>是否按时拨付</w:t>
            </w:r>
          </w:p>
        </w:tc>
        <w:tc>
          <w:tcPr>
            <w:tcW w:w="2551" w:type="dxa"/>
            <w:vAlign w:val="center"/>
          </w:tcPr>
          <w:p>
            <w:pPr>
              <w:pStyle w:val="10"/>
            </w:pPr>
            <w:r>
              <w:t>100%</w:t>
            </w:r>
          </w:p>
        </w:tc>
        <w:tc>
          <w:tcPr>
            <w:tcW w:w="2268" w:type="dxa"/>
            <w:vAlign w:val="center"/>
          </w:tcPr>
          <w:p>
            <w:pPr>
              <w:pStyle w:val="10"/>
            </w:pPr>
            <w:r>
              <w:t>《关于在食品销售企业设立食品快检室和开展“公众开放日”活动的通知》工作的统一部署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经费发放率</w:t>
            </w:r>
          </w:p>
        </w:tc>
        <w:tc>
          <w:tcPr>
            <w:tcW w:w="2835" w:type="dxa"/>
            <w:vAlign w:val="center"/>
          </w:tcPr>
          <w:p>
            <w:pPr>
              <w:pStyle w:val="10"/>
            </w:pPr>
            <w:r>
              <w:t>按照预算标准足额发放</w:t>
            </w:r>
          </w:p>
        </w:tc>
        <w:tc>
          <w:tcPr>
            <w:tcW w:w="2551" w:type="dxa"/>
            <w:vAlign w:val="center"/>
          </w:tcPr>
          <w:p>
            <w:pPr>
              <w:pStyle w:val="10"/>
            </w:pPr>
            <w:r>
              <w:t>100%</w:t>
            </w:r>
          </w:p>
        </w:tc>
        <w:tc>
          <w:tcPr>
            <w:tcW w:w="2268" w:type="dxa"/>
            <w:vAlign w:val="center"/>
          </w:tcPr>
          <w:p>
            <w:pPr>
              <w:pStyle w:val="10"/>
            </w:pPr>
            <w:r>
              <w:t>《关于在食品销售企业设立食品快检室和开展“公众开放日”活动的通知》工作的统一部署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提高工作效率</w:t>
            </w:r>
          </w:p>
        </w:tc>
        <w:tc>
          <w:tcPr>
            <w:tcW w:w="2268" w:type="dxa"/>
            <w:vAlign w:val="center"/>
          </w:tcPr>
          <w:p>
            <w:pPr>
              <w:pStyle w:val="10"/>
            </w:pPr>
            <w:r>
              <w:t>《关于在食品销售企业设立食品快检室和开展“公众开放日”活动的通知》工作的统一部署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业务保障能力</w:t>
            </w:r>
          </w:p>
        </w:tc>
        <w:tc>
          <w:tcPr>
            <w:tcW w:w="2835" w:type="dxa"/>
            <w:vAlign w:val="center"/>
          </w:tcPr>
          <w:p>
            <w:pPr>
              <w:pStyle w:val="10"/>
            </w:pPr>
            <w:r>
              <w:t>保障相关业务、工作等开展的情况</w:t>
            </w:r>
          </w:p>
        </w:tc>
        <w:tc>
          <w:tcPr>
            <w:tcW w:w="2551" w:type="dxa"/>
            <w:vAlign w:val="center"/>
          </w:tcPr>
          <w:p>
            <w:pPr>
              <w:pStyle w:val="10"/>
            </w:pPr>
            <w:r>
              <w:t>工作正常运转</w:t>
            </w:r>
          </w:p>
        </w:tc>
        <w:tc>
          <w:tcPr>
            <w:tcW w:w="2268" w:type="dxa"/>
            <w:vAlign w:val="center"/>
          </w:tcPr>
          <w:p>
            <w:pPr>
              <w:pStyle w:val="10"/>
            </w:pPr>
            <w:r>
              <w:t>《关于在食品销售企业设立食品快检室和开展“公众开放日”活动的通知》工作的统一部署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检测能力</w:t>
            </w:r>
          </w:p>
        </w:tc>
        <w:tc>
          <w:tcPr>
            <w:tcW w:w="2835" w:type="dxa"/>
            <w:vAlign w:val="center"/>
          </w:tcPr>
          <w:p>
            <w:pPr>
              <w:pStyle w:val="10"/>
            </w:pPr>
            <w:r>
              <w:t>检测能力</w:t>
            </w:r>
          </w:p>
        </w:tc>
        <w:tc>
          <w:tcPr>
            <w:tcW w:w="2551" w:type="dxa"/>
            <w:vAlign w:val="center"/>
          </w:tcPr>
          <w:p>
            <w:pPr>
              <w:pStyle w:val="10"/>
            </w:pPr>
            <w:r>
              <w:t>检测能力增强</w:t>
            </w:r>
          </w:p>
        </w:tc>
        <w:tc>
          <w:tcPr>
            <w:tcW w:w="2268" w:type="dxa"/>
            <w:vAlign w:val="center"/>
          </w:tcPr>
          <w:p>
            <w:pPr>
              <w:pStyle w:val="10"/>
            </w:pPr>
            <w:r>
              <w:t>《关于在食品销售企业设立食品快检室和开展“公众开放日”活动的通知》工作的统一部署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满意度</w:t>
            </w:r>
          </w:p>
        </w:tc>
        <w:tc>
          <w:tcPr>
            <w:tcW w:w="2551" w:type="dxa"/>
            <w:vAlign w:val="center"/>
          </w:tcPr>
          <w:p>
            <w:pPr>
              <w:pStyle w:val="10"/>
            </w:pPr>
            <w:r>
              <w:t>≥95%</w:t>
            </w:r>
          </w:p>
        </w:tc>
        <w:tc>
          <w:tcPr>
            <w:tcW w:w="2268" w:type="dxa"/>
            <w:vAlign w:val="center"/>
          </w:tcPr>
          <w:p>
            <w:pPr>
              <w:pStyle w:val="10"/>
            </w:pPr>
            <w:r>
              <w:t>《关于在食品销售企业设立食品快检室和开展“公众开放日”活动的通知》工作的统一部署</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6、专利奖补经费 本级绩效目标表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1.及时、足额的对企事业单位及个人获得授权国内发明专利的，按照其获得专利授权所缴纳官方费用的50%进行资助。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资金到位率</w:t>
            </w:r>
          </w:p>
        </w:tc>
        <w:tc>
          <w:tcPr>
            <w:tcW w:w="2835" w:type="dxa"/>
            <w:vAlign w:val="center"/>
          </w:tcPr>
          <w:p>
            <w:pPr>
              <w:pStyle w:val="10"/>
            </w:pPr>
            <w:r>
              <w:t>资金到位率</w:t>
            </w:r>
          </w:p>
        </w:tc>
        <w:tc>
          <w:tcPr>
            <w:tcW w:w="2551" w:type="dxa"/>
            <w:vAlign w:val="center"/>
          </w:tcPr>
          <w:p>
            <w:pPr>
              <w:pStyle w:val="10"/>
            </w:pPr>
            <w:r>
              <w:t>100百分比</w:t>
            </w:r>
          </w:p>
        </w:tc>
        <w:tc>
          <w:tcPr>
            <w:tcW w:w="2268" w:type="dxa"/>
            <w:vAlign w:val="center"/>
          </w:tcPr>
          <w:p>
            <w:pPr>
              <w:pStyle w:val="10"/>
            </w:pPr>
            <w:r>
              <w:t>《开平区专利资助管理办法》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资金支付率</w:t>
            </w:r>
          </w:p>
        </w:tc>
        <w:tc>
          <w:tcPr>
            <w:tcW w:w="2835" w:type="dxa"/>
            <w:vAlign w:val="center"/>
          </w:tcPr>
          <w:p>
            <w:pPr>
              <w:pStyle w:val="10"/>
            </w:pPr>
            <w:r>
              <w:t>资金支付率</w:t>
            </w:r>
          </w:p>
        </w:tc>
        <w:tc>
          <w:tcPr>
            <w:tcW w:w="2551" w:type="dxa"/>
            <w:vAlign w:val="center"/>
          </w:tcPr>
          <w:p>
            <w:pPr>
              <w:pStyle w:val="10"/>
            </w:pPr>
            <w:r>
              <w:t>100百分比</w:t>
            </w:r>
          </w:p>
        </w:tc>
        <w:tc>
          <w:tcPr>
            <w:tcW w:w="2268" w:type="dxa"/>
            <w:vAlign w:val="center"/>
          </w:tcPr>
          <w:p>
            <w:pPr>
              <w:pStyle w:val="10"/>
            </w:pPr>
            <w:r>
              <w:t>《开平区专利资助管理办法》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支付完成率</w:t>
            </w:r>
          </w:p>
        </w:tc>
        <w:tc>
          <w:tcPr>
            <w:tcW w:w="2835" w:type="dxa"/>
            <w:vAlign w:val="center"/>
          </w:tcPr>
          <w:p>
            <w:pPr>
              <w:pStyle w:val="10"/>
            </w:pPr>
            <w:r>
              <w:t>按时有序支付</w:t>
            </w:r>
          </w:p>
        </w:tc>
        <w:tc>
          <w:tcPr>
            <w:tcW w:w="2551" w:type="dxa"/>
            <w:vAlign w:val="center"/>
          </w:tcPr>
          <w:p>
            <w:pPr>
              <w:pStyle w:val="10"/>
            </w:pPr>
            <w:r>
              <w:t>100百分比</w:t>
            </w:r>
          </w:p>
        </w:tc>
        <w:tc>
          <w:tcPr>
            <w:tcW w:w="2268" w:type="dxa"/>
            <w:vAlign w:val="center"/>
          </w:tcPr>
          <w:p>
            <w:pPr>
              <w:pStyle w:val="10"/>
            </w:pPr>
            <w:r>
              <w:t>《开平区专利资助管理办法》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补助金额</w:t>
            </w:r>
          </w:p>
        </w:tc>
        <w:tc>
          <w:tcPr>
            <w:tcW w:w="2835" w:type="dxa"/>
            <w:vAlign w:val="center"/>
          </w:tcPr>
          <w:p>
            <w:pPr>
              <w:pStyle w:val="10"/>
            </w:pPr>
            <w:r>
              <w:t>补助金额</w:t>
            </w:r>
          </w:p>
        </w:tc>
        <w:tc>
          <w:tcPr>
            <w:tcW w:w="2551" w:type="dxa"/>
            <w:vAlign w:val="center"/>
          </w:tcPr>
          <w:p>
            <w:pPr>
              <w:pStyle w:val="10"/>
            </w:pPr>
            <w:r>
              <w:t>≥2000元</w:t>
            </w:r>
          </w:p>
        </w:tc>
        <w:tc>
          <w:tcPr>
            <w:tcW w:w="2268" w:type="dxa"/>
            <w:vAlign w:val="center"/>
          </w:tcPr>
          <w:p>
            <w:pPr>
              <w:pStyle w:val="10"/>
            </w:pPr>
            <w:r>
              <w:t>《开平区专利资助管理办法》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100百分比</w:t>
            </w:r>
          </w:p>
        </w:tc>
        <w:tc>
          <w:tcPr>
            <w:tcW w:w="2268" w:type="dxa"/>
            <w:vAlign w:val="center"/>
          </w:tcPr>
          <w:p>
            <w:pPr>
              <w:pStyle w:val="10"/>
            </w:pPr>
            <w:r>
              <w:t>《开平区专利资助管理办法》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政策建议采纳率</w:t>
            </w:r>
          </w:p>
        </w:tc>
        <w:tc>
          <w:tcPr>
            <w:tcW w:w="2835" w:type="dxa"/>
            <w:vAlign w:val="center"/>
          </w:tcPr>
          <w:p>
            <w:pPr>
              <w:pStyle w:val="10"/>
            </w:pPr>
            <w:r>
              <w:t>政策建议采纳率</w:t>
            </w:r>
          </w:p>
        </w:tc>
        <w:tc>
          <w:tcPr>
            <w:tcW w:w="2551" w:type="dxa"/>
            <w:vAlign w:val="center"/>
          </w:tcPr>
          <w:p>
            <w:pPr>
              <w:pStyle w:val="10"/>
            </w:pPr>
            <w:r>
              <w:t>≥3次</w:t>
            </w:r>
          </w:p>
        </w:tc>
        <w:tc>
          <w:tcPr>
            <w:tcW w:w="2268" w:type="dxa"/>
            <w:vAlign w:val="center"/>
          </w:tcPr>
          <w:p>
            <w:pPr>
              <w:pStyle w:val="10"/>
            </w:pPr>
            <w:r>
              <w:t>《开平区专利资助管理办法》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增强影响力</w:t>
            </w:r>
          </w:p>
        </w:tc>
        <w:tc>
          <w:tcPr>
            <w:tcW w:w="2835" w:type="dxa"/>
            <w:vAlign w:val="center"/>
          </w:tcPr>
          <w:p>
            <w:pPr>
              <w:pStyle w:val="10"/>
            </w:pPr>
            <w:r>
              <w:t>增强影响力</w:t>
            </w:r>
          </w:p>
        </w:tc>
        <w:tc>
          <w:tcPr>
            <w:tcW w:w="2551" w:type="dxa"/>
            <w:vAlign w:val="center"/>
          </w:tcPr>
          <w:p>
            <w:pPr>
              <w:pStyle w:val="10"/>
            </w:pPr>
            <w:r>
              <w:t>≥90百分比</w:t>
            </w:r>
          </w:p>
        </w:tc>
        <w:tc>
          <w:tcPr>
            <w:tcW w:w="2268" w:type="dxa"/>
            <w:vAlign w:val="center"/>
          </w:tcPr>
          <w:p>
            <w:pPr>
              <w:pStyle w:val="10"/>
            </w:pPr>
            <w:r>
              <w:t>《开平区专利资助管理办法》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≥95百分比</w:t>
            </w:r>
          </w:p>
        </w:tc>
        <w:tc>
          <w:tcPr>
            <w:tcW w:w="2268" w:type="dxa"/>
            <w:vAlign w:val="center"/>
          </w:tcPr>
          <w:p>
            <w:pPr>
              <w:pStyle w:val="10"/>
            </w:pPr>
            <w:r>
              <w:t>《开平区专利资助管理办法》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7、唐财行【2021】36号省级关于提前下达市场监管专项补助经费的通知绩效目标表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1.更好的完成市场监管工作。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监督检查次数</w:t>
            </w:r>
          </w:p>
        </w:tc>
        <w:tc>
          <w:tcPr>
            <w:tcW w:w="2835" w:type="dxa"/>
            <w:vAlign w:val="center"/>
          </w:tcPr>
          <w:p>
            <w:pPr>
              <w:pStyle w:val="10"/>
            </w:pPr>
            <w:r>
              <w:t>监督检查次数</w:t>
            </w:r>
          </w:p>
        </w:tc>
        <w:tc>
          <w:tcPr>
            <w:tcW w:w="2551" w:type="dxa"/>
            <w:vAlign w:val="center"/>
          </w:tcPr>
          <w:p>
            <w:pPr>
              <w:pStyle w:val="10"/>
            </w:pPr>
            <w:r>
              <w:t>≥50件</w:t>
            </w:r>
          </w:p>
        </w:tc>
        <w:tc>
          <w:tcPr>
            <w:tcW w:w="2268" w:type="dxa"/>
            <w:vAlign w:val="center"/>
          </w:tcPr>
          <w:p>
            <w:pPr>
              <w:pStyle w:val="10"/>
            </w:pPr>
            <w:r>
              <w:t>检查行动次数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案件办结率</w:t>
            </w:r>
          </w:p>
        </w:tc>
        <w:tc>
          <w:tcPr>
            <w:tcW w:w="2835" w:type="dxa"/>
            <w:vAlign w:val="center"/>
          </w:tcPr>
          <w:p>
            <w:pPr>
              <w:pStyle w:val="10"/>
            </w:pPr>
            <w:r>
              <w:t>案件办理数量</w:t>
            </w:r>
          </w:p>
        </w:tc>
        <w:tc>
          <w:tcPr>
            <w:tcW w:w="2551" w:type="dxa"/>
            <w:vAlign w:val="center"/>
          </w:tcPr>
          <w:p>
            <w:pPr>
              <w:pStyle w:val="10"/>
            </w:pPr>
            <w:r>
              <w:t>≥50件</w:t>
            </w:r>
          </w:p>
        </w:tc>
        <w:tc>
          <w:tcPr>
            <w:tcW w:w="2268" w:type="dxa"/>
            <w:vAlign w:val="center"/>
          </w:tcPr>
          <w:p>
            <w:pPr>
              <w:pStyle w:val="10"/>
            </w:pPr>
            <w:r>
              <w:t>查出案件数量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监管执法假话完成率</w:t>
            </w:r>
          </w:p>
        </w:tc>
        <w:tc>
          <w:tcPr>
            <w:tcW w:w="2835" w:type="dxa"/>
            <w:vAlign w:val="center"/>
          </w:tcPr>
          <w:p>
            <w:pPr>
              <w:pStyle w:val="10"/>
            </w:pPr>
            <w:r>
              <w:t>监管执法假话完成率</w:t>
            </w:r>
          </w:p>
        </w:tc>
        <w:tc>
          <w:tcPr>
            <w:tcW w:w="2551" w:type="dxa"/>
            <w:vAlign w:val="center"/>
          </w:tcPr>
          <w:p>
            <w:pPr>
              <w:pStyle w:val="10"/>
            </w:pPr>
            <w:r>
              <w:t>≥95比率</w:t>
            </w:r>
          </w:p>
        </w:tc>
        <w:tc>
          <w:tcPr>
            <w:tcW w:w="2268" w:type="dxa"/>
            <w:vAlign w:val="center"/>
          </w:tcPr>
          <w:p>
            <w:pPr>
              <w:pStyle w:val="10"/>
            </w:pPr>
            <w:r>
              <w:t>市场主体抽查率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案件合规</w:t>
            </w:r>
          </w:p>
        </w:tc>
        <w:tc>
          <w:tcPr>
            <w:tcW w:w="2835" w:type="dxa"/>
            <w:vAlign w:val="center"/>
          </w:tcPr>
          <w:p>
            <w:pPr>
              <w:pStyle w:val="10"/>
            </w:pPr>
            <w:r>
              <w:t>正确案件信息数占全部案件信息数的比例</w:t>
            </w:r>
          </w:p>
        </w:tc>
        <w:tc>
          <w:tcPr>
            <w:tcW w:w="2551" w:type="dxa"/>
            <w:vAlign w:val="center"/>
          </w:tcPr>
          <w:p>
            <w:pPr>
              <w:pStyle w:val="10"/>
            </w:pPr>
            <w:r>
              <w:t>≥95比率</w:t>
            </w:r>
          </w:p>
        </w:tc>
        <w:tc>
          <w:tcPr>
            <w:tcW w:w="2268" w:type="dxa"/>
            <w:vAlign w:val="center"/>
          </w:tcPr>
          <w:p>
            <w:pPr>
              <w:pStyle w:val="10"/>
            </w:pPr>
            <w:r>
              <w:t>正确案件信息数占全部案件信息数的比例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提升参训人员综合能力</w:t>
            </w:r>
          </w:p>
        </w:tc>
        <w:tc>
          <w:tcPr>
            <w:tcW w:w="2835" w:type="dxa"/>
            <w:vAlign w:val="center"/>
          </w:tcPr>
          <w:p>
            <w:pPr>
              <w:pStyle w:val="10"/>
            </w:pPr>
            <w:r>
              <w:t>通过培训提高参训人员素质，为经济社会和行业发展提供人才保证</w:t>
            </w:r>
          </w:p>
        </w:tc>
        <w:tc>
          <w:tcPr>
            <w:tcW w:w="2551" w:type="dxa"/>
            <w:vAlign w:val="center"/>
          </w:tcPr>
          <w:p>
            <w:pPr>
              <w:pStyle w:val="10"/>
            </w:pPr>
            <w:r>
              <w:t>≥20次</w:t>
            </w:r>
          </w:p>
        </w:tc>
        <w:tc>
          <w:tcPr>
            <w:tcW w:w="2268" w:type="dxa"/>
            <w:vAlign w:val="center"/>
          </w:tcPr>
          <w:p>
            <w:pPr>
              <w:pStyle w:val="10"/>
            </w:pPr>
            <w:r>
              <w:t>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配套相关宣传活动</w:t>
            </w:r>
          </w:p>
        </w:tc>
        <w:tc>
          <w:tcPr>
            <w:tcW w:w="2835" w:type="dxa"/>
            <w:vAlign w:val="center"/>
          </w:tcPr>
          <w:p>
            <w:pPr>
              <w:pStyle w:val="10"/>
            </w:pPr>
            <w:r>
              <w:t>提高群众食品药品安全意识的宣传品发放次数</w:t>
            </w:r>
          </w:p>
        </w:tc>
        <w:tc>
          <w:tcPr>
            <w:tcW w:w="2551" w:type="dxa"/>
            <w:vAlign w:val="center"/>
          </w:tcPr>
          <w:p>
            <w:pPr>
              <w:pStyle w:val="10"/>
            </w:pPr>
            <w:r>
              <w:t>≥20次</w:t>
            </w:r>
          </w:p>
        </w:tc>
        <w:tc>
          <w:tcPr>
            <w:tcW w:w="2268" w:type="dxa"/>
            <w:vAlign w:val="center"/>
          </w:tcPr>
          <w:p>
            <w:pPr>
              <w:pStyle w:val="10"/>
            </w:pPr>
            <w:r>
              <w:t>宣传品的发放次数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社会影响力</w:t>
            </w:r>
          </w:p>
        </w:tc>
        <w:tc>
          <w:tcPr>
            <w:tcW w:w="2835" w:type="dxa"/>
            <w:vAlign w:val="center"/>
          </w:tcPr>
          <w:p>
            <w:pPr>
              <w:pStyle w:val="10"/>
            </w:pPr>
            <w:r>
              <w:t>在全区产生的重要影响，得到广大群众的充分认可</w:t>
            </w:r>
          </w:p>
        </w:tc>
        <w:tc>
          <w:tcPr>
            <w:tcW w:w="2551" w:type="dxa"/>
            <w:vAlign w:val="center"/>
          </w:tcPr>
          <w:p>
            <w:pPr>
              <w:pStyle w:val="10"/>
            </w:pPr>
            <w:r>
              <w:t>≥95比率</w:t>
            </w:r>
          </w:p>
        </w:tc>
        <w:tc>
          <w:tcPr>
            <w:tcW w:w="2268" w:type="dxa"/>
            <w:vAlign w:val="center"/>
          </w:tcPr>
          <w:p>
            <w:pPr>
              <w:pStyle w:val="10"/>
            </w:pPr>
            <w:r>
              <w:t>在全区产生的重要影响，得到广大群众的充分认可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监测、评价完成率</w:t>
            </w:r>
          </w:p>
        </w:tc>
        <w:tc>
          <w:tcPr>
            <w:tcW w:w="2835" w:type="dxa"/>
            <w:vAlign w:val="center"/>
          </w:tcPr>
          <w:p>
            <w:pPr>
              <w:pStyle w:val="10"/>
            </w:pPr>
            <w:r>
              <w:t>监测、评价完成率</w:t>
            </w:r>
          </w:p>
        </w:tc>
        <w:tc>
          <w:tcPr>
            <w:tcW w:w="2551" w:type="dxa"/>
            <w:vAlign w:val="center"/>
          </w:tcPr>
          <w:p>
            <w:pPr>
              <w:pStyle w:val="10"/>
            </w:pPr>
            <w:r>
              <w:t>≥95比率</w:t>
            </w:r>
          </w:p>
        </w:tc>
        <w:tc>
          <w:tcPr>
            <w:tcW w:w="2268" w:type="dxa"/>
            <w:vAlign w:val="center"/>
          </w:tcPr>
          <w:p>
            <w:pPr>
              <w:pStyle w:val="10"/>
            </w:pPr>
            <w:r>
              <w:t>监测、评价完成率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≥95比率</w:t>
            </w:r>
          </w:p>
        </w:tc>
        <w:tc>
          <w:tcPr>
            <w:tcW w:w="2268" w:type="dxa"/>
            <w:vAlign w:val="center"/>
          </w:tcPr>
          <w:p>
            <w:pPr>
              <w:pStyle w:val="10"/>
            </w:pPr>
            <w:r>
              <w:t>群众和服务对象满意率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2022年，唐山市开平区市场监督管理局本级安排政府采购预算113.84万元。具体内容见下表。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414001唐山市开平区市场监督管理局本级</w:t>
            </w:r>
          </w:p>
        </w:tc>
        <w:tc>
          <w:tcPr>
            <w:tcW w:w="8674" w:type="dxa"/>
            <w:gridSpan w:val="9"/>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113.84</w:t>
            </w:r>
          </w:p>
        </w:tc>
        <w:tc>
          <w:tcPr>
            <w:tcW w:w="964" w:type="dxa"/>
            <w:vAlign w:val="center"/>
          </w:tcPr>
          <w:p>
            <w:pPr>
              <w:pStyle w:val="13"/>
            </w:pPr>
            <w:r>
              <w:t>113.84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唐山市开平区市场监督管理局本级小计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113.84</w:t>
            </w:r>
          </w:p>
        </w:tc>
        <w:tc>
          <w:tcPr>
            <w:tcW w:w="964" w:type="dxa"/>
            <w:vAlign w:val="center"/>
          </w:tcPr>
          <w:p>
            <w:pPr>
              <w:pStyle w:val="13"/>
            </w:pPr>
            <w:r>
              <w:t>113.84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公用经费</w:t>
            </w:r>
          </w:p>
        </w:tc>
        <w:tc>
          <w:tcPr>
            <w:tcW w:w="964" w:type="dxa"/>
            <w:vAlign w:val="center"/>
          </w:tcPr>
          <w:p>
            <w:pPr>
              <w:pStyle w:val="11"/>
            </w:pPr>
            <w:r>
              <w:t>151.84</w:t>
            </w:r>
          </w:p>
        </w:tc>
        <w:tc>
          <w:tcPr>
            <w:tcW w:w="1134" w:type="dxa"/>
            <w:vAlign w:val="center"/>
          </w:tcPr>
          <w:p>
            <w:pPr>
              <w:pStyle w:val="10"/>
            </w:pPr>
            <w:r>
              <w:t>台式计算机</w:t>
            </w:r>
          </w:p>
        </w:tc>
        <w:tc>
          <w:tcPr>
            <w:tcW w:w="1134" w:type="dxa"/>
            <w:vAlign w:val="center"/>
          </w:tcPr>
          <w:p>
            <w:pPr>
              <w:pStyle w:val="10"/>
            </w:pPr>
            <w:r>
              <w:t>A02010104</w:t>
            </w:r>
          </w:p>
        </w:tc>
        <w:tc>
          <w:tcPr>
            <w:tcW w:w="709" w:type="dxa"/>
            <w:vAlign w:val="center"/>
          </w:tcPr>
          <w:p>
            <w:pPr>
              <w:pStyle w:val="9"/>
            </w:pPr>
            <w:r>
              <w:t>台</w:t>
            </w:r>
          </w:p>
        </w:tc>
        <w:tc>
          <w:tcPr>
            <w:tcW w:w="850" w:type="dxa"/>
            <w:vAlign w:val="center"/>
          </w:tcPr>
          <w:p>
            <w:pPr>
              <w:pStyle w:val="11"/>
            </w:pPr>
            <w:r>
              <w:t>8</w:t>
            </w:r>
          </w:p>
        </w:tc>
        <w:tc>
          <w:tcPr>
            <w:tcW w:w="850" w:type="dxa"/>
            <w:vAlign w:val="center"/>
          </w:tcPr>
          <w:p>
            <w:pPr>
              <w:pStyle w:val="11"/>
            </w:pPr>
            <w:r>
              <w:t>0.38</w:t>
            </w:r>
          </w:p>
        </w:tc>
        <w:tc>
          <w:tcPr>
            <w:tcW w:w="964" w:type="dxa"/>
            <w:vAlign w:val="center"/>
          </w:tcPr>
          <w:p>
            <w:pPr>
              <w:pStyle w:val="11"/>
            </w:pPr>
            <w:r>
              <w:t>3.04</w:t>
            </w:r>
          </w:p>
        </w:tc>
        <w:tc>
          <w:tcPr>
            <w:tcW w:w="964" w:type="dxa"/>
            <w:vAlign w:val="center"/>
          </w:tcPr>
          <w:p>
            <w:pPr>
              <w:pStyle w:val="11"/>
            </w:pPr>
            <w:r>
              <w:t>3.04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公用经费</w:t>
            </w:r>
          </w:p>
        </w:tc>
        <w:tc>
          <w:tcPr>
            <w:tcW w:w="964" w:type="dxa"/>
            <w:vAlign w:val="center"/>
          </w:tcPr>
          <w:p>
            <w:pPr>
              <w:pStyle w:val="11"/>
            </w:pPr>
            <w:r>
              <w:t>151.84</w:t>
            </w:r>
          </w:p>
        </w:tc>
        <w:tc>
          <w:tcPr>
            <w:tcW w:w="1134" w:type="dxa"/>
            <w:vAlign w:val="center"/>
          </w:tcPr>
          <w:p>
            <w:pPr>
              <w:pStyle w:val="10"/>
            </w:pPr>
            <w:r>
              <w:t>激光打印机</w:t>
            </w:r>
          </w:p>
        </w:tc>
        <w:tc>
          <w:tcPr>
            <w:tcW w:w="1134" w:type="dxa"/>
            <w:vAlign w:val="center"/>
          </w:tcPr>
          <w:p>
            <w:pPr>
              <w:pStyle w:val="10"/>
            </w:pPr>
            <w:r>
              <w:t>A0201060102</w:t>
            </w:r>
          </w:p>
        </w:tc>
        <w:tc>
          <w:tcPr>
            <w:tcW w:w="709" w:type="dxa"/>
            <w:vAlign w:val="center"/>
          </w:tcPr>
          <w:p>
            <w:pPr>
              <w:pStyle w:val="9"/>
            </w:pPr>
            <w:r>
              <w:t>台</w:t>
            </w:r>
          </w:p>
        </w:tc>
        <w:tc>
          <w:tcPr>
            <w:tcW w:w="850" w:type="dxa"/>
            <w:vAlign w:val="center"/>
          </w:tcPr>
          <w:p>
            <w:pPr>
              <w:pStyle w:val="11"/>
            </w:pPr>
            <w:r>
              <w:t>3</w:t>
            </w:r>
          </w:p>
        </w:tc>
        <w:tc>
          <w:tcPr>
            <w:tcW w:w="850" w:type="dxa"/>
            <w:vAlign w:val="center"/>
          </w:tcPr>
          <w:p>
            <w:pPr>
              <w:pStyle w:val="11"/>
            </w:pPr>
            <w:r>
              <w:t>0.15</w:t>
            </w:r>
          </w:p>
        </w:tc>
        <w:tc>
          <w:tcPr>
            <w:tcW w:w="964" w:type="dxa"/>
            <w:vAlign w:val="center"/>
          </w:tcPr>
          <w:p>
            <w:pPr>
              <w:pStyle w:val="11"/>
            </w:pPr>
            <w:r>
              <w:t>0.45</w:t>
            </w:r>
          </w:p>
        </w:tc>
        <w:tc>
          <w:tcPr>
            <w:tcW w:w="964" w:type="dxa"/>
            <w:vAlign w:val="center"/>
          </w:tcPr>
          <w:p>
            <w:pPr>
              <w:pStyle w:val="11"/>
            </w:pPr>
            <w:r>
              <w:t>0.45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r>
              <w:t>公用经费</w:t>
            </w:r>
          </w:p>
        </w:tc>
        <w:tc>
          <w:tcPr>
            <w:tcW w:w="964" w:type="dxa"/>
            <w:vAlign w:val="center"/>
          </w:tcPr>
          <w:p>
            <w:pPr>
              <w:pStyle w:val="11"/>
            </w:pPr>
            <w:r>
              <w:t>151.84</w:t>
            </w:r>
          </w:p>
        </w:tc>
        <w:tc>
          <w:tcPr>
            <w:tcW w:w="1134" w:type="dxa"/>
            <w:vAlign w:val="center"/>
          </w:tcPr>
          <w:p>
            <w:pPr>
              <w:pStyle w:val="10"/>
            </w:pPr>
            <w:r>
              <w:t>空调机</w:t>
            </w:r>
          </w:p>
        </w:tc>
        <w:tc>
          <w:tcPr>
            <w:tcW w:w="1134" w:type="dxa"/>
            <w:vAlign w:val="center"/>
          </w:tcPr>
          <w:p>
            <w:pPr>
              <w:pStyle w:val="10"/>
            </w:pPr>
            <w:r>
              <w:t>A0206180203</w:t>
            </w:r>
          </w:p>
        </w:tc>
        <w:tc>
          <w:tcPr>
            <w:tcW w:w="709" w:type="dxa"/>
            <w:vAlign w:val="center"/>
          </w:tcPr>
          <w:p>
            <w:pPr>
              <w:pStyle w:val="9"/>
            </w:pPr>
            <w:r>
              <w:t>台</w:t>
            </w:r>
          </w:p>
        </w:tc>
        <w:tc>
          <w:tcPr>
            <w:tcW w:w="850" w:type="dxa"/>
            <w:vAlign w:val="center"/>
          </w:tcPr>
          <w:p>
            <w:pPr>
              <w:pStyle w:val="11"/>
            </w:pPr>
            <w:r>
              <w:t>1</w:t>
            </w:r>
          </w:p>
        </w:tc>
        <w:tc>
          <w:tcPr>
            <w:tcW w:w="850" w:type="dxa"/>
            <w:vAlign w:val="center"/>
          </w:tcPr>
          <w:p>
            <w:pPr>
              <w:pStyle w:val="11"/>
            </w:pPr>
            <w:r>
              <w:t>0.35</w:t>
            </w:r>
          </w:p>
        </w:tc>
        <w:tc>
          <w:tcPr>
            <w:tcW w:w="964" w:type="dxa"/>
            <w:vAlign w:val="center"/>
          </w:tcPr>
          <w:p>
            <w:pPr>
              <w:pStyle w:val="11"/>
            </w:pPr>
            <w:r>
              <w:t>0.35</w:t>
            </w:r>
          </w:p>
        </w:tc>
        <w:tc>
          <w:tcPr>
            <w:tcW w:w="964" w:type="dxa"/>
            <w:vAlign w:val="center"/>
          </w:tcPr>
          <w:p>
            <w:pPr>
              <w:pStyle w:val="11"/>
            </w:pPr>
            <w:r>
              <w:t>0.35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日常监管、执法办案、风险监测、监督抽检等经费 本级</w:t>
            </w:r>
          </w:p>
        </w:tc>
        <w:tc>
          <w:tcPr>
            <w:tcW w:w="964" w:type="dxa"/>
            <w:vAlign w:val="center"/>
          </w:tcPr>
          <w:p>
            <w:pPr>
              <w:pStyle w:val="11"/>
            </w:pPr>
            <w:r>
              <w:t>160.00</w:t>
            </w:r>
          </w:p>
        </w:tc>
        <w:tc>
          <w:tcPr>
            <w:tcW w:w="1134" w:type="dxa"/>
            <w:vAlign w:val="center"/>
          </w:tcPr>
          <w:p>
            <w:pPr>
              <w:pStyle w:val="10"/>
            </w:pPr>
            <w:r>
              <w:t>其他服务</w:t>
            </w:r>
          </w:p>
        </w:tc>
        <w:tc>
          <w:tcPr>
            <w:tcW w:w="1134" w:type="dxa"/>
            <w:vAlign w:val="center"/>
          </w:tcPr>
          <w:p>
            <w:pPr>
              <w:pStyle w:val="10"/>
            </w:pPr>
            <w:r>
              <w:t>C99</w:t>
            </w:r>
          </w:p>
        </w:tc>
        <w:tc>
          <w:tcPr>
            <w:tcW w:w="709" w:type="dxa"/>
            <w:vAlign w:val="center"/>
          </w:tcPr>
          <w:p>
            <w:pPr>
              <w:pStyle w:val="9"/>
            </w:pPr>
            <w:r>
              <w:t>批次</w:t>
            </w:r>
          </w:p>
        </w:tc>
        <w:tc>
          <w:tcPr>
            <w:tcW w:w="850" w:type="dxa"/>
            <w:vAlign w:val="center"/>
          </w:tcPr>
          <w:p>
            <w:pPr>
              <w:pStyle w:val="11"/>
            </w:pPr>
            <w:r>
              <w:t>1760</w:t>
            </w:r>
          </w:p>
        </w:tc>
        <w:tc>
          <w:tcPr>
            <w:tcW w:w="850" w:type="dxa"/>
            <w:vAlign w:val="center"/>
          </w:tcPr>
          <w:p>
            <w:pPr>
              <w:pStyle w:val="11"/>
            </w:pPr>
            <w:r>
              <w:t>0.06</w:t>
            </w:r>
          </w:p>
        </w:tc>
        <w:tc>
          <w:tcPr>
            <w:tcW w:w="964" w:type="dxa"/>
            <w:vAlign w:val="center"/>
          </w:tcPr>
          <w:p>
            <w:pPr>
              <w:pStyle w:val="11"/>
            </w:pPr>
            <w:r>
              <w:t>110.00</w:t>
            </w:r>
          </w:p>
        </w:tc>
        <w:tc>
          <w:tcPr>
            <w:tcW w:w="964" w:type="dxa"/>
            <w:vAlign w:val="center"/>
          </w:tcPr>
          <w:p>
            <w:pPr>
              <w:pStyle w:val="11"/>
            </w:pPr>
            <w:r>
              <w:t>110.00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唐山市开平区市场监督管理局本级上年末固定资产金额为0.00万元（详见下表）。本年度拟购置固定资产总额为0.00万元，已按要求列入政府采购预算，详见政府采购预算表。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414001唐山市开平区市场监督管理局本级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p>
        </w:tc>
        <w:tc>
          <w:tcPr>
            <w:tcW w:w="2835" w:type="dxa"/>
            <w:vAlign w:val="center"/>
          </w:tcPr>
          <w:p>
            <w:pPr>
              <w:pStyle w:val="9"/>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A051F"/>
    <w:multiLevelType w:val="singleLevel"/>
    <w:tmpl w:val="90DA051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54393"/>
    <w:rsid w:val="44E543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2023-09-03T02:31:00Z</dcterms:created>
  <dc:creator>Administrator</dc:creator>
  <cp:lastModifiedBy>Administrator</cp:lastModifiedBy>
  <dcterms:modified xsi:type="dcterms:W3CDTF">2023-09-03T02:33:39Z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3A550AD856444BA99C40ADAE45C86675</vt:lpwstr>
  </property>
</Properties>
</file>