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348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唐山市开平区交通运输局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348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唐山市开平区交通运输局</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3"/>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4"/>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5"/>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jc w:val="both"/>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1、会同有关部门推进全区综合交通运输体系建设，统筹规划公路行业发展，建立健全与全区综合交通运输体系相适应的制度体制机制，优化全区交通运输主要通道和重要枢纽节点布局。</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2、会同有关部门组织拟订全区综合交通运输发展战略和政策，组织编制全区综合交通运输体系规划，拟订公路发展战略、政策和规划并监督实施，指导综合交通运输枢纽规划和管理。参与拟订物流业发战略和规划，拟订有关政策和标准并监督实施。</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3、指导全区交通运输综合执法和队伍建设有关工作。</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4、承担全区道路运输市场监管责任。组织拟订道路运输有关政策、准入退出制度、技术标准和运营规范并监督实施。指导城乡客运及有关设施规划和管理，指导辖区内客运工作。</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5、负责提出全区交通运输行业固定资产投资规模和方向，区财政资金安排意见，按区政府规定权限审批、核准区规划内和年度计划规模内的固定资产投资项目。负责交通国有资产管理和交通专项资金的管理、使用。承担交通运输行业财政预算资金的绩效监督和管理工作。</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6、组织协调公路有关重点工程建设、工程质量和安全生产监督管理工作，指导交通运输基础设施管理和维护。</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7、指导全区公路行业安全生产和应急管理。按规定组织协调国家、省、市、重点物资和紧急客货运输。承担国防交通战备工作。</w:t>
      </w:r>
    </w:p>
    <w:p>
      <w:pPr>
        <w:widowControl/>
        <w:spacing w:line="580" w:lineRule="exact"/>
        <w:ind w:firstLine="640" w:firstLineChars="20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8、指导全区交通运输信息化建设。承担综合交通运输统计工作，监测分析交通运输运行情况，发布有关信息。</w:t>
      </w:r>
    </w:p>
    <w:p>
      <w:pPr>
        <w:widowControl/>
        <w:spacing w:line="580" w:lineRule="exact"/>
        <w:ind w:firstLine="640" w:firstLineChars="200"/>
        <w:rPr>
          <w:rFonts w:ascii="仿宋_GB2312" w:hAnsi="Calibri" w:eastAsia="仿宋_GB2312" w:cs="ArialUnicodeMS"/>
          <w:kern w:val="0"/>
          <w:sz w:val="32"/>
          <w:szCs w:val="32"/>
          <w:highlight w:val="yellow"/>
        </w:rPr>
      </w:pPr>
      <w:r>
        <w:rPr>
          <w:rFonts w:hint="eastAsia" w:ascii="仿宋_GB2312" w:eastAsia="仿宋_GB2312" w:cs="ArialUnicodeMS"/>
          <w:kern w:val="0"/>
          <w:sz w:val="32"/>
          <w:szCs w:val="32"/>
          <w:highlight w:val="none"/>
        </w:rPr>
        <w:t>9、承办市交通运输局、区委、区政府交办的其它任务。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300"/>
        <w:gridCol w:w="267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3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30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67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77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8"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300"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唐山市开平区交通运输局</w:t>
            </w:r>
          </w:p>
        </w:tc>
        <w:tc>
          <w:tcPr>
            <w:tcW w:w="2670"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经费自理事业单位</w:t>
            </w:r>
          </w:p>
        </w:tc>
        <w:tc>
          <w:tcPr>
            <w:tcW w:w="2772"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财政性资金基本保证</w:t>
            </w:r>
          </w:p>
        </w:tc>
      </w:tr>
    </w:tbl>
    <w:p>
      <w:pPr>
        <w:ind w:firstLine="640" w:firstLineChars="200"/>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none"/>
        </w:rPr>
        <w:t>我部门无二级预算单位，因此，唐山市开平区交通运输局202</w:t>
      </w:r>
      <w:r>
        <w:rPr>
          <w:rFonts w:hint="eastAsia" w:ascii="Times New Roman" w:hAnsi="Times New Roman" w:eastAsia="黑体" w:cs="Times New Roman"/>
          <w:sz w:val="32"/>
          <w:szCs w:val="32"/>
          <w:highlight w:val="none"/>
          <w:lang w:val="en-US" w:eastAsia="zh-CN"/>
        </w:rPr>
        <w:t>3</w:t>
      </w:r>
      <w:r>
        <w:rPr>
          <w:rFonts w:hint="eastAsia" w:ascii="Times New Roman" w:hAnsi="Times New Roman" w:eastAsia="黑体" w:cs="Times New Roman"/>
          <w:sz w:val="32"/>
          <w:szCs w:val="32"/>
          <w:highlight w:val="none"/>
        </w:rPr>
        <w:t>年度部门决算即唐山市开平区交通运输局本级202</w:t>
      </w:r>
      <w:r>
        <w:rPr>
          <w:rFonts w:hint="eastAsia" w:ascii="Times New Roman" w:hAnsi="Times New Roman" w:eastAsia="黑体" w:cs="Times New Roman"/>
          <w:sz w:val="32"/>
          <w:szCs w:val="32"/>
          <w:highlight w:val="none"/>
          <w:lang w:val="en-US" w:eastAsia="zh-CN"/>
        </w:rPr>
        <w:t>3</w:t>
      </w:r>
      <w:r>
        <w:rPr>
          <w:rFonts w:hint="eastAsia" w:ascii="Times New Roman" w:hAnsi="Times New Roman" w:eastAsia="黑体" w:cs="Times New Roman"/>
          <w:sz w:val="32"/>
          <w:szCs w:val="32"/>
          <w:highlight w:val="none"/>
        </w:rPr>
        <w:t>年度决算。</w:t>
      </w:r>
      <w:r>
        <w:rPr>
          <w:rFonts w:hint="eastAsia" w:ascii="Times New Roman" w:hAnsi="Times New Roman" w:eastAsia="黑体" w:cs="Times New Roman"/>
          <w:sz w:val="32"/>
          <w:szCs w:val="32"/>
          <w:highlight w:val="yellow"/>
        </w:rPr>
        <w:br w:type="page"/>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r>
              <w:rPr>
                <w:rFonts w:hint="eastAsia" w:ascii="宋体" w:hAnsi="宋体" w:eastAsia="宋体" w:cs="宋体"/>
                <w:color w:val="000000"/>
                <w:kern w:val="0"/>
                <w:sz w:val="20"/>
                <w:szCs w:val="20"/>
                <w:lang w:bidi="ar"/>
              </w:rPr>
              <w:t xml:space="preserve">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2125.31</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57"/>
              </w:tabs>
              <w:jc w:val="right"/>
              <w:rPr>
                <w:rFonts w:hint="eastAsia" w:ascii="宋体" w:hAnsi="宋体" w:eastAsia="宋体" w:cs="宋体"/>
                <w:color w:val="000000"/>
                <w:sz w:val="22"/>
                <w:lang w:eastAsia="zh-CN"/>
              </w:rPr>
            </w:pPr>
            <w:r>
              <w:rPr>
                <w:rFonts w:hint="eastAsia" w:ascii="宋体" w:hAnsi="宋体" w:eastAsia="宋体" w:cs="宋体"/>
                <w:color w:val="000000"/>
                <w:sz w:val="22"/>
                <w:lang w:eastAsia="zh-CN"/>
              </w:rPr>
              <w:tab/>
            </w:r>
            <w:r>
              <w:rPr>
                <w:rFonts w:hint="eastAsia" w:ascii="宋体" w:hAnsi="宋体" w:eastAsia="宋体" w:cs="宋体"/>
                <w:color w:val="000000"/>
                <w:sz w:val="22"/>
                <w:lang w:eastAsia="zh-CN"/>
              </w:rPr>
              <w:t>278.56</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42.97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rPr>
            </w:pPr>
            <w:r>
              <w:rPr>
                <w:rFonts w:hint="eastAsia" w:ascii="宋体" w:hAnsi="宋体" w:eastAsia="宋体" w:cs="宋体"/>
                <w:color w:val="000000"/>
                <w:sz w:val="22"/>
              </w:rPr>
              <w:t>224.25</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color w:val="000000"/>
                <w:sz w:val="22"/>
              </w:rPr>
              <w:t>278.56</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color w:val="000000"/>
                <w:sz w:val="22"/>
              </w:rPr>
              <w:t>1238.02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color w:val="000000"/>
                <w:sz w:val="22"/>
              </w:rPr>
              <w:t>50.08</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color w:val="000000"/>
                <w:sz w:val="22"/>
              </w:rPr>
              <w:t>570</w:t>
            </w:r>
            <w:r>
              <w:rPr>
                <w:rFonts w:hint="eastAsia" w:ascii="宋体" w:hAnsi="宋体" w:eastAsia="宋体" w:cs="宋体"/>
                <w:color w:val="000000"/>
                <w:sz w:val="22"/>
                <w:lang w:val="en-US" w:eastAsia="zh-CN"/>
              </w:rPr>
              <w:t>.00</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7"/>
              </w:tabs>
              <w:jc w:val="right"/>
              <w:rPr>
                <w:rFonts w:hint="eastAsia" w:ascii="宋体" w:hAnsi="宋体" w:eastAsia="宋体" w:cs="宋体"/>
                <w:color w:val="000000"/>
                <w:sz w:val="22"/>
                <w:lang w:eastAsia="zh-CN"/>
              </w:rPr>
            </w:pPr>
            <w:r>
              <w:rPr>
                <w:rFonts w:hint="eastAsia" w:ascii="宋体" w:hAnsi="宋体" w:eastAsia="宋体" w:cs="宋体"/>
                <w:color w:val="000000"/>
                <w:sz w:val="22"/>
                <w:lang w:eastAsia="zh-CN"/>
              </w:rPr>
              <w:tab/>
            </w:r>
            <w:r>
              <w:rPr>
                <w:rFonts w:hint="eastAsia" w:ascii="宋体" w:hAnsi="宋体" w:eastAsia="宋体" w:cs="宋体"/>
                <w:color w:val="000000"/>
                <w:sz w:val="22"/>
                <w:lang w:eastAsia="zh-CN"/>
              </w:rPr>
              <w:t>2403.87</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color w:val="000000"/>
                <w:sz w:val="22"/>
              </w:rPr>
              <w:t>2403.88</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2403.88</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2403.88</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11"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245"/>
        <w:gridCol w:w="3915"/>
        <w:gridCol w:w="1185"/>
        <w:gridCol w:w="1080"/>
        <w:gridCol w:w="585"/>
        <w:gridCol w:w="570"/>
        <w:gridCol w:w="570"/>
        <w:gridCol w:w="570"/>
        <w:gridCol w:w="527"/>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245" w:type="dxa"/>
            <w:shd w:val="clear" w:color="auto" w:fill="FFFFFF"/>
            <w:vAlign w:val="center"/>
          </w:tcPr>
          <w:p>
            <w:pPr>
              <w:jc w:val="right"/>
              <w:rPr>
                <w:rFonts w:ascii="宋体" w:hAnsi="宋体" w:eastAsia="宋体" w:cs="宋体"/>
                <w:color w:val="000000"/>
                <w:sz w:val="24"/>
              </w:rPr>
            </w:pPr>
          </w:p>
        </w:tc>
        <w:tc>
          <w:tcPr>
            <w:tcW w:w="3915" w:type="dxa"/>
            <w:shd w:val="clear" w:color="auto" w:fill="FFFFFF"/>
            <w:vAlign w:val="center"/>
          </w:tcPr>
          <w:p>
            <w:pPr>
              <w:jc w:val="right"/>
              <w:rPr>
                <w:rFonts w:ascii="宋体" w:hAnsi="宋体" w:eastAsia="宋体" w:cs="宋体"/>
                <w:color w:val="000000"/>
                <w:sz w:val="24"/>
              </w:rPr>
            </w:pPr>
          </w:p>
        </w:tc>
        <w:tc>
          <w:tcPr>
            <w:tcW w:w="118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58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097"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4953"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1185" w:type="dxa"/>
            <w:shd w:val="clear" w:color="auto" w:fill="FFFFFF"/>
            <w:vAlign w:val="center"/>
          </w:tcPr>
          <w:p>
            <w:pPr>
              <w:jc w:val="right"/>
              <w:rPr>
                <w:rFonts w:ascii="宋体" w:hAnsi="宋体" w:eastAsia="宋体" w:cs="宋体"/>
                <w:color w:val="000000"/>
                <w:sz w:val="24"/>
              </w:rPr>
            </w:pPr>
          </w:p>
        </w:tc>
        <w:tc>
          <w:tcPr>
            <w:tcW w:w="1665"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570"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097"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49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49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49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2403.87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2403.87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42.97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42.97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0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华文中宋" w:hAnsi="华文中宋" w:eastAsia="华文中宋" w:cs="华文中宋"/>
                <w:color w:val="000000"/>
                <w:sz w:val="24"/>
              </w:rPr>
            </w:pPr>
            <w:r>
              <w:rPr>
                <w:rFonts w:hint="eastAsia" w:ascii="宋体" w:hAnsi="宋体" w:eastAsia="宋体" w:cs="宋体"/>
                <w:color w:val="000000"/>
                <w:sz w:val="24"/>
              </w:rPr>
              <w:t>42.97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42.97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事业单位离退休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42.97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42.97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224.25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224.25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公共卫生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147.01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147.01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2100410</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突发公共卫生事件应急处理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147.01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147.01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77.24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77.24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77.24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77.24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城乡社区支出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278.56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278.56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21208</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国有土地使用权出让收入安排的支出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81.67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2120804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农村基础设施建设支出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81.67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21213</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城市基础设施配套费安排的支出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196.89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196.89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2121301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城市公共设施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196.89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196.89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交通运输支出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1238.01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1238.01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公路水路运输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1238.01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1238.01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718.22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718.22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一般行政管理事务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500</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500</w:t>
            </w:r>
            <w:r>
              <w:rPr>
                <w:rFonts w:hint="eastAsia" w:ascii="宋体" w:hAnsi="宋体" w:eastAsia="宋体" w:cs="宋体"/>
                <w:color w:val="000000"/>
                <w:sz w:val="24"/>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2140106</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公路养护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13.43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50.08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22999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2299999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570</w:t>
            </w:r>
            <w:r>
              <w:rPr>
                <w:rFonts w:hint="eastAsia" w:ascii="宋体" w:hAnsi="宋体" w:eastAsia="宋体" w:cs="宋体"/>
                <w:color w:val="000000"/>
                <w:sz w:val="24"/>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671"/>
        <w:gridCol w:w="325"/>
        <w:gridCol w:w="3915"/>
        <w:gridCol w:w="1290"/>
        <w:gridCol w:w="1155"/>
        <w:gridCol w:w="1110"/>
        <w:gridCol w:w="570"/>
        <w:gridCol w:w="495"/>
        <w:gridCol w:w="75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325" w:type="dxa"/>
            <w:shd w:val="clear" w:color="auto" w:fill="FFFFFF"/>
            <w:vAlign w:val="center"/>
          </w:tcPr>
          <w:p>
            <w:pPr>
              <w:jc w:val="right"/>
              <w:rPr>
                <w:rFonts w:ascii="宋体" w:hAnsi="宋体" w:eastAsia="宋体" w:cs="宋体"/>
                <w:color w:val="000000"/>
                <w:sz w:val="24"/>
              </w:rPr>
            </w:pPr>
          </w:p>
        </w:tc>
        <w:tc>
          <w:tcPr>
            <w:tcW w:w="3915" w:type="dxa"/>
            <w:shd w:val="clear" w:color="auto" w:fill="FFFFFF"/>
            <w:vAlign w:val="center"/>
          </w:tcPr>
          <w:p>
            <w:pPr>
              <w:jc w:val="right"/>
              <w:rPr>
                <w:rFonts w:ascii="宋体" w:hAnsi="宋体" w:eastAsia="宋体" w:cs="宋体"/>
                <w:color w:val="000000"/>
                <w:sz w:val="24"/>
              </w:rPr>
            </w:pPr>
          </w:p>
        </w:tc>
        <w:tc>
          <w:tcPr>
            <w:tcW w:w="1290" w:type="dxa"/>
            <w:shd w:val="clear" w:color="auto" w:fill="FFFFFF"/>
            <w:vAlign w:val="center"/>
          </w:tcPr>
          <w:p>
            <w:pPr>
              <w:jc w:val="right"/>
              <w:rPr>
                <w:rFonts w:ascii="宋体" w:hAnsi="宋体" w:eastAsia="宋体" w:cs="宋体"/>
                <w:color w:val="000000"/>
                <w:sz w:val="24"/>
              </w:rPr>
            </w:pPr>
          </w:p>
        </w:tc>
        <w:tc>
          <w:tcPr>
            <w:tcW w:w="1155" w:type="dxa"/>
            <w:shd w:val="clear" w:color="auto" w:fill="FFFFFF"/>
            <w:vAlign w:val="center"/>
          </w:tcPr>
          <w:p>
            <w:pPr>
              <w:jc w:val="right"/>
              <w:rPr>
                <w:rFonts w:ascii="宋体" w:hAnsi="宋体" w:eastAsia="宋体" w:cs="宋体"/>
                <w:color w:val="000000"/>
                <w:sz w:val="24"/>
              </w:rPr>
            </w:pPr>
          </w:p>
        </w:tc>
        <w:tc>
          <w:tcPr>
            <w:tcW w:w="1110"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50"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4911"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129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155"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110" w:type="dxa"/>
            <w:shd w:val="clear" w:color="auto" w:fill="FFFFFF"/>
            <w:vAlign w:val="center"/>
          </w:tcPr>
          <w:p>
            <w:pPr>
              <w:jc w:val="center"/>
              <w:rPr>
                <w:rFonts w:ascii="宋体" w:hAnsi="宋体" w:eastAsia="宋体" w:cs="宋体"/>
                <w:color w:val="000000"/>
                <w:sz w:val="20"/>
                <w:szCs w:val="20"/>
              </w:rPr>
            </w:pPr>
          </w:p>
        </w:tc>
        <w:tc>
          <w:tcPr>
            <w:tcW w:w="570" w:type="dxa"/>
            <w:shd w:val="clear" w:color="auto" w:fill="FFFFFF"/>
            <w:vAlign w:val="center"/>
          </w:tcPr>
          <w:p>
            <w:pPr>
              <w:jc w:val="right"/>
              <w:rPr>
                <w:rFonts w:ascii="宋体" w:hAnsi="宋体" w:eastAsia="宋体" w:cs="宋体"/>
                <w:color w:val="000000"/>
                <w:sz w:val="24"/>
              </w:rPr>
            </w:pPr>
          </w:p>
        </w:tc>
        <w:tc>
          <w:tcPr>
            <w:tcW w:w="1250"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9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2,403.88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834.13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1,569.75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事业单位离退休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42.97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147.01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公共卫生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147.01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147.01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2100410</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突发公共卫生事件应急处理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147.01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147.01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城乡社区支出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278.56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278.56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21208</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国有土地使用权出让收入安排的支出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81.67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81.67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2120804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农村基础设施建设支出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81.67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81.67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21213</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城市基础设施配套费安排的支出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196.89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196.89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2121301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城市公共设施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196.89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196.89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交通运输支出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1,238.02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663.83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574.18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公路水路运输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1,238.02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663.83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574.18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718.23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663.83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54.40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一般行政管理事务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6.35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6.35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2140104</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2140106</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公路养护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13.43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13.43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50.08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22999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2299999</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570.00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6"/>
        <w:tblW w:w="10420" w:type="dxa"/>
        <w:jc w:val="center"/>
        <w:tblLayout w:type="fixed"/>
        <w:tblCellMar>
          <w:top w:w="15" w:type="dxa"/>
          <w:left w:w="15" w:type="dxa"/>
          <w:bottom w:w="15" w:type="dxa"/>
          <w:right w:w="15" w:type="dxa"/>
        </w:tblCellMar>
      </w:tblPr>
      <w:tblGrid>
        <w:gridCol w:w="2390"/>
        <w:gridCol w:w="413"/>
        <w:gridCol w:w="915"/>
        <w:gridCol w:w="2670"/>
        <w:gridCol w:w="389"/>
        <w:gridCol w:w="670"/>
        <w:gridCol w:w="306"/>
        <w:gridCol w:w="975"/>
        <w:gridCol w:w="855"/>
        <w:gridCol w:w="837"/>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2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3718"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702"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3718"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r>
              <w:rPr>
                <w:rFonts w:hint="eastAsia" w:ascii="宋体" w:hAnsi="宋体" w:eastAsia="宋体" w:cs="宋体"/>
                <w:color w:val="000000"/>
                <w:kern w:val="0"/>
                <w:sz w:val="20"/>
                <w:szCs w:val="20"/>
                <w:lang w:bidi="ar"/>
              </w:rPr>
              <w:t xml:space="preserve">                 </w:t>
            </w:r>
          </w:p>
        </w:tc>
        <w:tc>
          <w:tcPr>
            <w:tcW w:w="3729"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37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7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2,125.31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278.56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42.97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42.97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224.25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224.25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278.56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278.56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1,238.02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1,238.02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50.08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50.08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37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7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570.00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570.00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2,403.87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2,403.88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2,125.32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iCs w:val="0"/>
                <w:color w:val="000000"/>
                <w:kern w:val="0"/>
                <w:sz w:val="22"/>
                <w:szCs w:val="22"/>
                <w:u w:val="none"/>
                <w:lang w:val="en-US" w:eastAsia="zh-CN" w:bidi="ar"/>
              </w:rPr>
              <w:t>278.56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0.01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2,403.88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2,403.88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2,125.32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iCs w:val="0"/>
                <w:color w:val="000000"/>
                <w:kern w:val="0"/>
                <w:sz w:val="22"/>
                <w:szCs w:val="22"/>
                <w:u w:val="none"/>
                <w:lang w:val="en-US" w:eastAsia="zh-CN" w:bidi="ar"/>
              </w:rPr>
              <w:t>278.56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6"/>
        <w:tblW w:w="10900" w:type="dxa"/>
        <w:jc w:val="center"/>
        <w:tblLayout w:type="fixed"/>
        <w:tblCellMar>
          <w:top w:w="15" w:type="dxa"/>
          <w:left w:w="15" w:type="dxa"/>
          <w:bottom w:w="15" w:type="dxa"/>
          <w:right w:w="15" w:type="dxa"/>
        </w:tblCellMar>
      </w:tblPr>
      <w:tblGrid>
        <w:gridCol w:w="602"/>
        <w:gridCol w:w="281"/>
        <w:gridCol w:w="2970"/>
        <w:gridCol w:w="2568"/>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281" w:type="dxa"/>
            <w:shd w:val="clear" w:color="auto" w:fill="FFFFFF"/>
            <w:vAlign w:val="center"/>
          </w:tcPr>
          <w:p>
            <w:pPr>
              <w:jc w:val="center"/>
              <w:rPr>
                <w:rFonts w:ascii="宋体" w:hAnsi="宋体" w:eastAsia="宋体" w:cs="宋体"/>
                <w:color w:val="000000"/>
                <w:sz w:val="20"/>
                <w:szCs w:val="20"/>
              </w:rPr>
            </w:pPr>
          </w:p>
        </w:tc>
        <w:tc>
          <w:tcPr>
            <w:tcW w:w="2970" w:type="dxa"/>
            <w:shd w:val="clear" w:color="auto" w:fill="FFFFFF"/>
            <w:vAlign w:val="center"/>
          </w:tcPr>
          <w:p>
            <w:pPr>
              <w:jc w:val="center"/>
              <w:rPr>
                <w:rFonts w:ascii="宋体" w:hAnsi="宋体" w:eastAsia="宋体" w:cs="宋体"/>
                <w:color w:val="000000"/>
                <w:sz w:val="20"/>
                <w:szCs w:val="20"/>
              </w:rPr>
            </w:pPr>
          </w:p>
        </w:tc>
        <w:tc>
          <w:tcPr>
            <w:tcW w:w="2568"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CellMar>
            <w:top w:w="15" w:type="dxa"/>
            <w:left w:w="15" w:type="dxa"/>
            <w:bottom w:w="15" w:type="dxa"/>
            <w:right w:w="15" w:type="dxa"/>
          </w:tblCellMar>
        </w:tblPrEx>
        <w:trPr>
          <w:trHeight w:val="327" w:hRule="atLeast"/>
          <w:jc w:val="center"/>
        </w:trPr>
        <w:tc>
          <w:tcPr>
            <w:tcW w:w="3853" w:type="dxa"/>
            <w:gridSpan w:val="3"/>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r>
              <w:rPr>
                <w:rFonts w:hint="eastAsia" w:ascii="宋体" w:hAnsi="宋体" w:eastAsia="宋体" w:cs="宋体"/>
                <w:color w:val="000000"/>
                <w:sz w:val="20"/>
                <w:szCs w:val="20"/>
              </w:rPr>
              <w:t xml:space="preserve">             </w:t>
            </w:r>
          </w:p>
        </w:tc>
        <w:tc>
          <w:tcPr>
            <w:tcW w:w="2568"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7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60" w:hRule="atLeast"/>
          <w:jc w:val="center"/>
        </w:trPr>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2,125.32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834.13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1,291.19</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208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20805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行政事业单位养老支出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2080502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事业单位离退休</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42.97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卫生健康支出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224.25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77.24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147.01</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21004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公共卫生</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147.01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147.01</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2100410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突发公共卫生事件应急处理</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147.01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147.01</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21011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行政事业单位医疗</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77.24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77.24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2101102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事业单位医疗</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77.24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77.24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交通运输支出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1,238.02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663.83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574.18</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公路水路运输</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1,238.02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663.83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574.18</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2140101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行政运行</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718.23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663.83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54.40</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2140102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一般行政管理事务</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6.35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6.35</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2140104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公路建设</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500.00</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2140106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公路养护</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13.43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13.43</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住房保障支出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22102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住房改革支出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2210201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住房公积金</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50.08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其他支出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22999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其他支出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r>
      <w:tr>
        <w:tblPrEx>
          <w:tblCellMar>
            <w:top w:w="15" w:type="dxa"/>
            <w:left w:w="15" w:type="dxa"/>
            <w:bottom w:w="15" w:type="dxa"/>
            <w:right w:w="15" w:type="dxa"/>
          </w:tblCellMar>
        </w:tblPrEx>
        <w:trPr>
          <w:trHeight w:val="360" w:hRule="atLeast"/>
          <w:jc w:val="center"/>
        </w:trPr>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2299999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其他支出</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570.00</w:t>
            </w: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440"/>
        <w:gridCol w:w="860"/>
        <w:gridCol w:w="675"/>
        <w:gridCol w:w="1650"/>
        <w:gridCol w:w="585"/>
        <w:gridCol w:w="615"/>
        <w:gridCol w:w="2490"/>
        <w:gridCol w:w="782"/>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4"/>
                <w:rFonts w:hint="default"/>
                <w:b/>
                <w:bCs/>
                <w:lang w:bidi="ar"/>
              </w:rPr>
              <w:t>明细</w:t>
            </w:r>
            <w:r>
              <w:rPr>
                <w:rStyle w:val="15"/>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440" w:type="dxa"/>
            <w:shd w:val="clear" w:color="auto" w:fill="FFFFFF"/>
            <w:vAlign w:val="center"/>
          </w:tcPr>
          <w:p>
            <w:pPr>
              <w:jc w:val="center"/>
              <w:rPr>
                <w:rFonts w:ascii="宋体" w:hAnsi="宋体" w:eastAsia="宋体" w:cs="宋体"/>
                <w:color w:val="000000"/>
                <w:sz w:val="20"/>
                <w:szCs w:val="20"/>
              </w:rPr>
            </w:pPr>
          </w:p>
        </w:tc>
        <w:tc>
          <w:tcPr>
            <w:tcW w:w="860" w:type="dxa"/>
            <w:shd w:val="clear" w:color="auto" w:fill="FFFFFF"/>
            <w:vAlign w:val="center"/>
          </w:tcPr>
          <w:p>
            <w:pPr>
              <w:jc w:val="center"/>
              <w:rPr>
                <w:rFonts w:ascii="宋体" w:hAnsi="宋体" w:eastAsia="宋体" w:cs="宋体"/>
                <w:color w:val="000000"/>
                <w:sz w:val="20"/>
                <w:szCs w:val="20"/>
              </w:rPr>
            </w:pPr>
          </w:p>
        </w:tc>
        <w:tc>
          <w:tcPr>
            <w:tcW w:w="675" w:type="dxa"/>
            <w:shd w:val="clear" w:color="auto" w:fill="FFFFFF"/>
            <w:vAlign w:val="center"/>
          </w:tcPr>
          <w:p>
            <w:pPr>
              <w:rPr>
                <w:rFonts w:ascii="宋体" w:hAnsi="宋体" w:eastAsia="宋体" w:cs="宋体"/>
                <w:color w:val="000000"/>
                <w:sz w:val="20"/>
                <w:szCs w:val="20"/>
              </w:rPr>
            </w:pPr>
          </w:p>
        </w:tc>
        <w:tc>
          <w:tcPr>
            <w:tcW w:w="1650" w:type="dxa"/>
            <w:shd w:val="clear" w:color="auto" w:fill="FFFFFF"/>
            <w:vAlign w:val="center"/>
          </w:tcPr>
          <w:p>
            <w:pPr>
              <w:rPr>
                <w:rFonts w:ascii="宋体" w:hAnsi="宋体" w:eastAsia="宋体" w:cs="宋体"/>
                <w:color w:val="000000"/>
                <w:sz w:val="20"/>
                <w:szCs w:val="20"/>
              </w:rPr>
            </w:pPr>
          </w:p>
        </w:tc>
        <w:tc>
          <w:tcPr>
            <w:tcW w:w="585"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3963" w:type="dxa"/>
            <w:gridSpan w:val="3"/>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675" w:type="dxa"/>
            <w:shd w:val="clear" w:color="auto" w:fill="auto"/>
            <w:vAlign w:val="center"/>
          </w:tcPr>
          <w:p>
            <w:pPr>
              <w:rPr>
                <w:rFonts w:ascii="宋体" w:hAnsi="宋体" w:eastAsia="宋体" w:cs="宋体"/>
                <w:color w:val="000000"/>
                <w:sz w:val="20"/>
                <w:szCs w:val="20"/>
              </w:rPr>
            </w:pPr>
          </w:p>
        </w:tc>
        <w:tc>
          <w:tcPr>
            <w:tcW w:w="1650"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585"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745.01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46.39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135.63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1.39</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189.53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1.39</w:t>
            </w: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104.41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94.85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18.76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22"/>
                <w:szCs w:val="22"/>
                <w:lang w:val="en-US" w:eastAsia="zh-CN"/>
              </w:rPr>
              <w:t>47.78</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6"/>
        <w:tblW w:w="10350" w:type="dxa"/>
        <w:jc w:val="center"/>
        <w:tblLayout w:type="fixed"/>
        <w:tblCellMar>
          <w:top w:w="15" w:type="dxa"/>
          <w:left w:w="15" w:type="dxa"/>
          <w:bottom w:w="15" w:type="dxa"/>
          <w:right w:w="15" w:type="dxa"/>
        </w:tblCellMar>
      </w:tblPr>
      <w:tblGrid>
        <w:gridCol w:w="555"/>
        <w:gridCol w:w="428"/>
        <w:gridCol w:w="3975"/>
        <w:gridCol w:w="645"/>
        <w:gridCol w:w="810"/>
        <w:gridCol w:w="900"/>
        <w:gridCol w:w="1230"/>
        <w:gridCol w:w="1065"/>
        <w:gridCol w:w="742"/>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428" w:type="dxa"/>
            <w:shd w:val="clear" w:color="auto" w:fill="FFFFFF"/>
            <w:vAlign w:val="center"/>
          </w:tcPr>
          <w:p>
            <w:pPr>
              <w:jc w:val="center"/>
              <w:rPr>
                <w:rFonts w:ascii="宋体" w:hAnsi="宋体" w:eastAsia="宋体" w:cs="宋体"/>
                <w:color w:val="000000"/>
                <w:sz w:val="20"/>
                <w:szCs w:val="20"/>
              </w:rPr>
            </w:pPr>
          </w:p>
        </w:tc>
        <w:tc>
          <w:tcPr>
            <w:tcW w:w="3975" w:type="dxa"/>
            <w:shd w:val="clear" w:color="auto" w:fill="FFFFFF"/>
            <w:vAlign w:val="center"/>
          </w:tcPr>
          <w:p>
            <w:pPr>
              <w:jc w:val="center"/>
              <w:rPr>
                <w:rFonts w:ascii="宋体" w:hAnsi="宋体" w:eastAsia="宋体" w:cs="宋体"/>
                <w:color w:val="000000"/>
                <w:sz w:val="20"/>
                <w:szCs w:val="20"/>
              </w:rPr>
            </w:pPr>
          </w:p>
        </w:tc>
        <w:tc>
          <w:tcPr>
            <w:tcW w:w="645" w:type="dxa"/>
            <w:shd w:val="clear" w:color="auto" w:fill="auto"/>
            <w:vAlign w:val="bottom"/>
          </w:tcPr>
          <w:p>
            <w:pPr>
              <w:rPr>
                <w:rFonts w:ascii="宋体" w:hAnsi="宋体" w:eastAsia="宋体" w:cs="宋体"/>
                <w:color w:val="000000"/>
                <w:sz w:val="24"/>
              </w:rPr>
            </w:pPr>
          </w:p>
        </w:tc>
        <w:tc>
          <w:tcPr>
            <w:tcW w:w="810" w:type="dxa"/>
            <w:shd w:val="clear" w:color="auto" w:fill="auto"/>
            <w:vAlign w:val="bottom"/>
          </w:tcPr>
          <w:p>
            <w:pPr>
              <w:rPr>
                <w:rFonts w:ascii="宋体" w:hAnsi="宋体" w:eastAsia="宋体" w:cs="宋体"/>
                <w:color w:val="000000"/>
                <w:sz w:val="24"/>
              </w:rPr>
            </w:pPr>
          </w:p>
        </w:tc>
        <w:tc>
          <w:tcPr>
            <w:tcW w:w="900" w:type="dxa"/>
            <w:shd w:val="clear" w:color="auto" w:fill="auto"/>
            <w:vAlign w:val="bottom"/>
          </w:tcPr>
          <w:p>
            <w:pPr>
              <w:rPr>
                <w:rFonts w:ascii="宋体" w:hAnsi="宋体" w:eastAsia="宋体" w:cs="宋体"/>
                <w:color w:val="000000"/>
                <w:sz w:val="24"/>
              </w:rPr>
            </w:pPr>
          </w:p>
        </w:tc>
        <w:tc>
          <w:tcPr>
            <w:tcW w:w="1230" w:type="dxa"/>
            <w:shd w:val="clear" w:color="auto" w:fill="auto"/>
            <w:vAlign w:val="bottom"/>
          </w:tcPr>
          <w:p>
            <w:pPr>
              <w:rPr>
                <w:rFonts w:ascii="宋体" w:hAnsi="宋体" w:eastAsia="宋体" w:cs="宋体"/>
                <w:color w:val="000000"/>
                <w:sz w:val="24"/>
              </w:rPr>
            </w:pPr>
          </w:p>
        </w:tc>
        <w:tc>
          <w:tcPr>
            <w:tcW w:w="1807" w:type="dxa"/>
            <w:gridSpan w:val="2"/>
            <w:shd w:val="clear" w:color="auto" w:fill="auto"/>
            <w:vAlign w:val="bottom"/>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4958" w:type="dxa"/>
            <w:gridSpan w:val="3"/>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645" w:type="dxa"/>
            <w:shd w:val="clear" w:color="auto" w:fill="FFFFFF"/>
            <w:vAlign w:val="center"/>
          </w:tcPr>
          <w:p>
            <w:pPr>
              <w:rPr>
                <w:rFonts w:ascii="宋体" w:hAnsi="宋体" w:eastAsia="宋体" w:cs="宋体"/>
                <w:color w:val="000000"/>
                <w:sz w:val="20"/>
                <w:szCs w:val="20"/>
              </w:rPr>
            </w:pPr>
          </w:p>
        </w:tc>
        <w:tc>
          <w:tcPr>
            <w:tcW w:w="1710" w:type="dxa"/>
            <w:gridSpan w:val="2"/>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230" w:type="dxa"/>
            <w:shd w:val="clear" w:color="auto" w:fill="FFFFFF"/>
            <w:vAlign w:val="center"/>
          </w:tcPr>
          <w:p>
            <w:pPr>
              <w:rPr>
                <w:rFonts w:ascii="宋体" w:hAnsi="宋体" w:eastAsia="宋体" w:cs="宋体"/>
                <w:color w:val="000000"/>
                <w:sz w:val="20"/>
                <w:szCs w:val="20"/>
              </w:rPr>
            </w:pPr>
          </w:p>
        </w:tc>
        <w:tc>
          <w:tcPr>
            <w:tcW w:w="1807"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4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6"/>
                <w:rFonts w:hint="default"/>
                <w:b/>
                <w:bCs/>
                <w:lang w:bidi="ar"/>
              </w:rPr>
              <w:t>目</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4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4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城乡社区支出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278.56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国有土地使用权出让收入安排的支出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2120804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农村基础设施建设支出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81.67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rPr>
          <w:trHeight w:val="450" w:hRule="atLeast"/>
          <w:jc w:val="center"/>
        </w:trPr>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21213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城市基础设施配套费安排的支出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2121301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城市公共设施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196.89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3067"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sz w:val="24"/>
                <w:szCs w:val="24"/>
                <w:highlight w:val="none"/>
              </w:rPr>
              <w:t>本部门无相关数据，空表列示。</w:t>
            </w:r>
            <w:r>
              <w:rPr>
                <w:b/>
              </w:rPr>
              <w:br w:type="page"/>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唐山市开平区交通运输局</w:t>
            </w: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20.00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18.76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18.76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18.76</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本部门2023年度收、支总计（含结转和结余）</w:t>
      </w:r>
      <w:r>
        <w:rPr>
          <w:rFonts w:hint="eastAsia" w:ascii="仿宋_GB2312" w:hAnsi="Times New Roman" w:eastAsia="仿宋_GB2312" w:cs="DengXian-Regular"/>
          <w:sz w:val="32"/>
          <w:szCs w:val="32"/>
          <w:lang w:val="en-US" w:eastAsia="zh-CN"/>
        </w:rPr>
        <w:t>2403.88</w:t>
      </w:r>
      <w:r>
        <w:rPr>
          <w:rFonts w:hint="eastAsia" w:ascii="仿宋_GB2312" w:hAnsi="Times New Roman" w:eastAsia="仿宋_GB2312" w:cs="DengXian-Regular"/>
          <w:sz w:val="32"/>
          <w:szCs w:val="32"/>
        </w:rPr>
        <w:t>万元。与2022年度决算相比，收支各增加</w:t>
      </w:r>
      <w:r>
        <w:rPr>
          <w:rFonts w:hint="eastAsia" w:ascii="仿宋_GB2312" w:hAnsi="Times New Roman" w:eastAsia="仿宋_GB2312" w:cs="DengXian-Regular"/>
          <w:sz w:val="32"/>
          <w:szCs w:val="32"/>
          <w:lang w:val="en-US" w:eastAsia="zh-CN"/>
        </w:rPr>
        <w:t>262.27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12.24</w:t>
      </w:r>
      <w:r>
        <w:rPr>
          <w:rFonts w:hint="eastAsia" w:ascii="仿宋_GB2312" w:hAnsi="Times New Roman" w:eastAsia="仿宋_GB2312" w:cs="DengXian-Regular"/>
          <w:sz w:val="32"/>
          <w:szCs w:val="32"/>
        </w:rPr>
        <w:t>%，主要原因是202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，收支</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w:t>
      </w:r>
      <w:r>
        <w:rPr>
          <w:rFonts w:hint="eastAsia" w:ascii="仿宋_GB2312" w:hAnsi="Times New Roman" w:eastAsia="仿宋_GB2312" w:cs="DengXian-Regular"/>
          <w:sz w:val="32"/>
          <w:szCs w:val="32"/>
          <w:lang w:val="en-US" w:eastAsia="zh-CN"/>
        </w:rPr>
        <w:t>2403.87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2403.87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%；上级补助收入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w:t>
      </w:r>
      <w:r>
        <w:rPr>
          <w:rFonts w:hint="eastAsia" w:ascii="仿宋_GB2312" w:hAnsi="Times New Roman" w:eastAsia="仿宋_GB2312" w:cs="DengXian-Regular"/>
          <w:sz w:val="32"/>
          <w:szCs w:val="32"/>
          <w:lang w:val="en-US" w:eastAsia="zh-CN"/>
        </w:rPr>
        <w:t>2403.88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834.13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34.69</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1569.75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65.31</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%；上缴上级支出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2403.87</w:t>
      </w:r>
      <w:r>
        <w:rPr>
          <w:rFonts w:hint="eastAsia" w:ascii="仿宋_GB2312" w:hAnsi="Times New Roman" w:eastAsia="仿宋_GB2312" w:cs="DengXian-Regular"/>
          <w:sz w:val="32"/>
          <w:szCs w:val="32"/>
        </w:rPr>
        <w:t>万元,比2022年度增加</w:t>
      </w:r>
      <w:r>
        <w:rPr>
          <w:rFonts w:hint="eastAsia" w:ascii="仿宋_GB2312" w:hAnsi="Times New Roman" w:eastAsia="仿宋_GB2312" w:cs="DengXian-Regular"/>
          <w:sz w:val="32"/>
          <w:szCs w:val="32"/>
          <w:lang w:val="en-US" w:eastAsia="zh-CN"/>
        </w:rPr>
        <w:t>265.42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12.41</w:t>
      </w:r>
      <w:r>
        <w:rPr>
          <w:rFonts w:hint="eastAsia" w:ascii="仿宋_GB2312" w:hAnsi="Times New Roman" w:eastAsia="仿宋_GB2312" w:cs="DengXian-Regular"/>
          <w:sz w:val="32"/>
          <w:szCs w:val="32"/>
        </w:rPr>
        <w:t>%，主要是202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2403.88</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265.43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12.41</w:t>
      </w:r>
      <w:r>
        <w:rPr>
          <w:rFonts w:hint="eastAsia" w:ascii="仿宋_GB2312" w:hAnsi="Times New Roman" w:eastAsia="仿宋_GB2312" w:cs="DengXian-Regular"/>
          <w:sz w:val="32"/>
          <w:szCs w:val="32"/>
        </w:rPr>
        <w:t>%，主要是202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支出增加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2125.31</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227.99</w:t>
      </w:r>
      <w:r>
        <w:rPr>
          <w:rFonts w:hint="eastAsia" w:ascii="仿宋_GB2312" w:hAnsi="Times New Roman" w:eastAsia="仿宋_GB2312" w:cs="DengXian-Regular"/>
          <w:sz w:val="32"/>
          <w:szCs w:val="32"/>
        </w:rPr>
        <w:t>万元；主要是202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2125.32</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228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12.01</w:t>
      </w:r>
      <w:r>
        <w:rPr>
          <w:rFonts w:hint="eastAsia" w:ascii="仿宋_GB2312" w:hAnsi="Times New Roman" w:eastAsia="仿宋_GB2312" w:cs="DengXian-Regular"/>
          <w:sz w:val="32"/>
          <w:szCs w:val="32"/>
        </w:rPr>
        <w:t>%，主要是202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278.56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37.44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15.52</w:t>
      </w:r>
      <w:r>
        <w:rPr>
          <w:rFonts w:hint="eastAsia" w:ascii="仿宋_GB2312" w:hAnsi="Times New Roman" w:eastAsia="仿宋_GB2312" w:cs="DengXian-Regular"/>
          <w:sz w:val="32"/>
          <w:szCs w:val="32"/>
        </w:rPr>
        <w:t>%，主要原因是202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278.56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37.44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15.52</w:t>
      </w:r>
      <w:r>
        <w:rPr>
          <w:rFonts w:hint="eastAsia" w:ascii="仿宋_GB2312" w:hAnsi="Times New Roman" w:eastAsia="仿宋_GB2312" w:cs="DengXian-Regular"/>
          <w:sz w:val="32"/>
          <w:szCs w:val="32"/>
        </w:rPr>
        <w:t>%，主要是202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年度预算项目</w:t>
      </w:r>
      <w:r>
        <w:rPr>
          <w:rFonts w:hint="eastAsia" w:ascii="仿宋_GB2312" w:hAnsi="Times New Roman" w:eastAsia="仿宋_GB2312" w:cs="DengXian-Regular"/>
          <w:sz w:val="32"/>
          <w:szCs w:val="32"/>
          <w:lang w:val="en-US" w:eastAsia="zh-CN"/>
        </w:rPr>
        <w:t>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2022年与2023年本部门无国有资本经营预算财政收入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2022年与2023年本部门无国有资本经营预算财政支出</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2403.87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年初预算数为2298.51万元，调整预算数为2403.87万元，</w:t>
      </w:r>
      <w:r>
        <w:rPr>
          <w:rFonts w:hint="eastAsia" w:ascii="仿宋_GB2312" w:hAnsi="Times New Roman" w:eastAsia="仿宋_GB2312" w:cs="DengXian-Regular"/>
          <w:sz w:val="32"/>
          <w:szCs w:val="32"/>
        </w:rPr>
        <w:t>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122.43</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2023年度预算项目增加，收入增加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2403.88</w:t>
      </w:r>
      <w:r>
        <w:rPr>
          <w:rFonts w:hint="eastAsia" w:ascii="仿宋_GB2312" w:hAnsi="Times New Roman" w:eastAsia="仿宋_GB2312" w:cs="DengXian-Regular"/>
          <w:sz w:val="32"/>
          <w:szCs w:val="32"/>
        </w:rPr>
        <w:t>万元，完成</w:t>
      </w:r>
      <w:r>
        <w:rPr>
          <w:rFonts w:hint="eastAsia" w:ascii="仿宋_GB2312" w:hAnsi="Times New Roman" w:eastAsia="仿宋_GB2312" w:cs="DengXian-Regular"/>
          <w:sz w:val="32"/>
          <w:szCs w:val="32"/>
          <w:lang w:val="en-US" w:eastAsia="zh-CN"/>
        </w:rPr>
        <w:t>调整</w:t>
      </w:r>
      <w:r>
        <w:rPr>
          <w:rFonts w:hint="eastAsia" w:ascii="仿宋_GB2312" w:hAnsi="Times New Roman" w:eastAsia="仿宋_GB2312" w:cs="DengXian-Regular"/>
          <w:sz w:val="32"/>
          <w:szCs w:val="32"/>
        </w:rPr>
        <w:t>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122.44</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2023年度预算项目增加，支出增加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2125.31万元，年初预算数为1262.25万元，调整预算数为2125.31万元，</w:t>
      </w:r>
      <w:r>
        <w:rPr>
          <w:rFonts w:hint="eastAsia" w:ascii="仿宋_GB2312" w:hAnsi="Times New Roman" w:eastAsia="仿宋_GB2312" w:cs="DengXian-Regular"/>
          <w:sz w:val="32"/>
          <w:szCs w:val="32"/>
        </w:rPr>
        <w:t>完成预算</w:t>
      </w:r>
      <w:r>
        <w:rPr>
          <w:rFonts w:hint="eastAsia" w:ascii="仿宋_GB2312" w:hAnsi="Times New Roman" w:eastAsia="仿宋_GB2312" w:cs="DengXian-Regular"/>
          <w:sz w:val="32"/>
          <w:szCs w:val="32"/>
          <w:lang w:val="en-US" w:eastAsia="zh-CN"/>
        </w:rPr>
        <w:t>的100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863.06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2023年度预算项目增加，收入增加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本年支出2125.31万元，</w:t>
      </w:r>
      <w:r>
        <w:rPr>
          <w:rFonts w:hint="eastAsia" w:ascii="仿宋_GB2312" w:hAnsi="Times New Roman" w:eastAsia="仿宋_GB2312" w:cs="DengXian-Regular"/>
          <w:sz w:val="32"/>
          <w:szCs w:val="32"/>
        </w:rPr>
        <w:t>完成</w:t>
      </w:r>
      <w:r>
        <w:rPr>
          <w:rFonts w:hint="eastAsia" w:ascii="仿宋_GB2312" w:hAnsi="Times New Roman" w:eastAsia="仿宋_GB2312" w:cs="DengXian-Regular"/>
          <w:sz w:val="32"/>
          <w:szCs w:val="32"/>
          <w:lang w:val="en-US" w:eastAsia="zh-CN"/>
        </w:rPr>
        <w:t>调整</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val="en-US" w:eastAsia="zh-CN"/>
        </w:rPr>
        <w:t>的100</w:t>
      </w:r>
      <w:bookmarkStart w:id="1" w:name="_GoBack"/>
      <w:bookmarkEnd w:id="1"/>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863.06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2023年度预算项目增加，支出增加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27.33</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740.64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2023年度预算项目减少，收入减少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27.33</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740.64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2023年度预算项目减少，支出减少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2022年度与2023年度无此类费用收入</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2022年度与2023年度无此类费用支出</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2023年度财政拨款支出</w:t>
      </w:r>
      <w:r>
        <w:rPr>
          <w:rFonts w:hint="eastAsia" w:ascii="仿宋_GB2312" w:hAnsi="Times New Roman" w:eastAsia="仿宋_GB2312" w:cs="DengXian-Regular"/>
          <w:sz w:val="32"/>
          <w:szCs w:val="32"/>
          <w:lang w:val="en-US" w:eastAsia="zh-CN"/>
        </w:rPr>
        <w:t>2403.88</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lang w:val="en-US" w:eastAsia="zh-CN"/>
        </w:rPr>
        <w:t>卫生健康</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224.25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9.32</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行政事业单位医疗与事业单位医疗</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城乡社区</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278.56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11.58</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国有土地使用权出让收入安排与农村基础设施建设</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交通运输</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1238.02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51.50</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val="en-US" w:eastAsia="zh-CN"/>
        </w:rPr>
        <w:t>公路水路运输、行政运行、一般行政管理事务、公路养护、其他公路水路运输、成品油价格改革对交通运输的补贴、对农村道路客运的补贴、车辆购置税其他支出、其他交通运输</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其他</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570.00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23.71</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其他类别</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 xml:space="preserve">社会保障和就业支出 </w:t>
      </w:r>
      <w:r>
        <w:rPr>
          <w:rFonts w:hint="eastAsia" w:ascii="仿宋_GB2312" w:hAnsi="Times New Roman" w:eastAsia="仿宋_GB2312" w:cs="Wingdings"/>
          <w:sz w:val="32"/>
          <w:szCs w:val="32"/>
          <w:lang w:val="en-US" w:eastAsia="zh-CN"/>
        </w:rPr>
        <w:t>42.97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1.78</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行政事业单位养老与事业单位离退休</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；住房保障支出</w:t>
      </w:r>
      <w:r>
        <w:rPr>
          <w:rFonts w:hint="eastAsia" w:ascii="仿宋_GB2312" w:hAnsi="Times New Roman" w:eastAsia="仿宋_GB2312" w:cs="Wingdings"/>
          <w:sz w:val="32"/>
          <w:szCs w:val="32"/>
          <w:lang w:val="en-US" w:eastAsia="zh-CN"/>
        </w:rPr>
        <w:t>50.08</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2.11</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val="en-US" w:eastAsia="zh-CN"/>
        </w:rPr>
        <w:t>住房改革与住房公积金支出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w:t>
      </w:r>
      <w:r>
        <w:rPr>
          <w:rFonts w:hint="eastAsia" w:ascii="仿宋_GB2312" w:hAnsi="Times New Roman" w:eastAsia="仿宋_GB2312" w:cs="DengXian-Regular"/>
          <w:sz w:val="32"/>
          <w:szCs w:val="32"/>
          <w:lang w:val="en-US" w:eastAsia="zh-CN"/>
        </w:rPr>
        <w:t>834.13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786.35</w:t>
      </w:r>
      <w:r>
        <w:rPr>
          <w:rFonts w:hint="eastAsia" w:ascii="仿宋_GB2312" w:hAnsi="Times New Roman" w:eastAsia="仿宋_GB2312" w:cs="DengXian-Regular"/>
          <w:sz w:val="32"/>
          <w:szCs w:val="32"/>
        </w:rPr>
        <w:t>万元，主要包括</w:t>
      </w:r>
      <w:r>
        <w:rPr>
          <w:rFonts w:hint="eastAsia" w:ascii="仿宋_GB2312" w:hAnsi="Times New Roman" w:eastAsia="仿宋_GB2312" w:cs="DengXian-Regular"/>
          <w:color w:val="auto"/>
          <w:sz w:val="32"/>
          <w:szCs w:val="32"/>
        </w:rPr>
        <w:t>基本工资、津贴补贴、奖金、绩效工资、机关事业单位基本养老保险缴费、职业年金缴费、职工基本医疗保险缴费、住房公积金、其他社会保障缴费、其他工资福利支出、退休费、生活补助、奖励金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47.78</w:t>
      </w:r>
      <w:r>
        <w:rPr>
          <w:rFonts w:hint="eastAsia" w:ascii="仿宋_GB2312" w:hAnsi="Times New Roman" w:eastAsia="仿宋_GB2312" w:cs="DengXian-Regular"/>
          <w:sz w:val="32"/>
          <w:szCs w:val="32"/>
        </w:rPr>
        <w:t>万元，主要包括</w:t>
      </w:r>
      <w:r>
        <w:rPr>
          <w:rFonts w:hint="eastAsia" w:ascii="仿宋_GB2312" w:hAnsi="Times New Roman" w:eastAsia="仿宋_GB2312" w:cs="DengXian-Regular"/>
          <w:color w:val="auto"/>
          <w:sz w:val="32"/>
          <w:szCs w:val="32"/>
        </w:rPr>
        <w:t>办公费、印刷费、电费、邮电费、差旅费、维修（护）费、工会经费、福利费、公务用车运行维护费、其他交通费用、其他商品和服务支出、办公设备购置。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18.76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93.8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1.24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2023年度预算项目减少，支出减少</w:t>
      </w:r>
      <w:r>
        <w:rPr>
          <w:rFonts w:hint="eastAsia" w:ascii="仿宋_GB2312" w:hAnsi="Times New Roman" w:eastAsia="仿宋_GB2312" w:cs="DengXian-Regular"/>
          <w:sz w:val="32"/>
          <w:szCs w:val="32"/>
        </w:rPr>
        <w:t>；较2022年度决算增加</w:t>
      </w:r>
      <w:r>
        <w:rPr>
          <w:rFonts w:hint="eastAsia" w:ascii="仿宋_GB2312" w:hAnsi="Times New Roman" w:eastAsia="仿宋_GB2312" w:cs="DengXian-Regular"/>
          <w:sz w:val="32"/>
          <w:szCs w:val="32"/>
          <w:lang w:val="en-US" w:eastAsia="zh-CN"/>
        </w:rPr>
        <w:t>4.03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27.35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2023年度较2022年度预算项目增加，支出增加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本部门2023年度未发生此类费用</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本部门2022年度与2023年度均未发生此类费用</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无本部门组织的出国（境）团组。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18.76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93.8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1.24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2023年度预算项目减少，支出减少</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4.03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27.35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2023年度较2022年度预算项目增加，支出增加</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本部门2023年度未发生此类费用</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本部门2022年度与2023年度均未发生此类费用</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18.76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1.24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2023年度预算项目减少，支出减少</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4.03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27.35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2023年度较2022年度预算项目增加，支出增加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%。公务接待费支出较预算增加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本部门2023年度未发生此类费用</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本部门2022年度与2023年度均未发生此类费用</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万元，较2022年度增加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本部门2022年度与2023年度均未发生此类费用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本部门2023年度政府采购支出总额</w:t>
      </w:r>
      <w:r>
        <w:rPr>
          <w:rFonts w:hint="eastAsia" w:ascii="仿宋_GB2312" w:hAnsi="Times New Roman" w:eastAsia="仿宋_GB2312" w:cs="DengXian-Regular"/>
          <w:sz w:val="32"/>
          <w:szCs w:val="32"/>
          <w:lang w:val="en-US" w:eastAsia="zh-CN"/>
        </w:rPr>
        <w:t>2071.07</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Times New Roman" w:eastAsia="仿宋_GB2312" w:cs="DengXian-Regular"/>
          <w:sz w:val="32"/>
          <w:szCs w:val="32"/>
          <w:lang w:val="en-US" w:eastAsia="zh-CN"/>
        </w:rPr>
        <w:t>2071.07</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Times New Roman" w:eastAsia="仿宋_GB2312" w:cs="DengXian-Regular"/>
          <w:sz w:val="32"/>
          <w:szCs w:val="32"/>
          <w:lang w:val="en-US" w:eastAsia="zh-CN"/>
        </w:rPr>
        <w:t>2071.07</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Times New Roman" w:eastAsia="仿宋_GB2312" w:cs="DengXian-Regular"/>
          <w:sz w:val="32"/>
          <w:szCs w:val="32"/>
          <w:lang w:val="en-US" w:eastAsia="zh-CN"/>
        </w:rPr>
        <w:t>2071.07</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2023年度没有新购车辆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辆，其他用车主要是</w:t>
      </w:r>
      <w:r>
        <w:rPr>
          <w:rFonts w:hint="eastAsia" w:ascii="仿宋_GB2312" w:hAnsi="仿宋_GB2312" w:eastAsia="仿宋_GB2312" w:cs="仿宋_GB2312"/>
          <w:sz w:val="32"/>
          <w:szCs w:val="32"/>
        </w:rPr>
        <w:t>损坏无法使用车辆</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highlight w:val="none"/>
          <w:lang w:val="en-US" w:eastAsia="zh-CN"/>
        </w:rPr>
        <w:t>1</w:t>
      </w:r>
      <w:r>
        <w:rPr>
          <w:rFonts w:hint="eastAsia" w:ascii="仿宋_GB2312" w:hAnsi="Times New Roman" w:eastAsia="仿宋_GB2312" w:cs="DengXian-Regular"/>
          <w:sz w:val="32"/>
          <w:szCs w:val="32"/>
        </w:rPr>
        <w:t>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1291.19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%。组织对2023年度</w:t>
      </w:r>
      <w:r>
        <w:rPr>
          <w:rFonts w:hint="eastAsia" w:ascii="仿宋_GB2312" w:hAnsi="仿宋_GB2312" w:eastAsia="仿宋_GB2312" w:cs="仿宋_GB2312"/>
          <w:sz w:val="32"/>
          <w:szCs w:val="32"/>
          <w:lang w:val="en-US" w:eastAsia="zh-CN"/>
        </w:rPr>
        <w:t>唐财建【2023】22号市级下达2023年农村公路日常养护市级补助资金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本级行政处罚停车场租金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278.56</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%。组织对2023年度等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个国有资本经营预算项目支出开展绩效自评，共涉及资金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万元，占国有资本经营预算项目支出总额的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val="en-US" w:eastAsia="zh-CN"/>
        </w:rPr>
        <w:t>唐财预【2023】6号疫情防控补助中央（直达）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唐财建【2023】22号市级下达2023年农村公路日常养护市级补助资金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个项目开展了部门评价，涉及一般公共预算支出</w:t>
      </w:r>
      <w:r>
        <w:rPr>
          <w:rFonts w:hint="eastAsia" w:ascii="仿宋_GB2312" w:hAnsi="仿宋_GB2312" w:eastAsia="仿宋_GB2312" w:cs="仿宋_GB2312"/>
          <w:sz w:val="32"/>
          <w:szCs w:val="32"/>
          <w:lang w:val="en-US" w:eastAsia="zh-CN"/>
        </w:rPr>
        <w:t>1291.19</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278.56</w:t>
      </w:r>
      <w:r>
        <w:rPr>
          <w:rFonts w:hint="eastAsia" w:ascii="仿宋_GB2312" w:hAnsi="仿宋_GB2312" w:eastAsia="仿宋_GB2312" w:cs="仿宋_GB2312"/>
          <w:sz w:val="32"/>
          <w:szCs w:val="32"/>
        </w:rPr>
        <w:t>万元，国有资本经营预算支出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ascii="仿宋_GB2312" w:hAnsi="仿宋_GB2312" w:eastAsia="仿宋_GB2312" w:cs="仿宋_GB2312"/>
          <w:b w:val="0"/>
          <w:sz w:val="32"/>
          <w:szCs w:val="32"/>
        </w:rPr>
        <w:t>这些项目资金起到了完成全年养护工程量，保证路域环境整洁，保证群众的出行安全，提高受益对象满意度，提升社会服务能力。</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_GB2312" w:hAnsi="仿宋_GB2312" w:eastAsia="仿宋_GB2312" w:cs="仿宋_GB2312"/>
          <w:sz w:val="32"/>
          <w:szCs w:val="32"/>
          <w:lang w:val="en-US" w:eastAsia="zh-CN"/>
        </w:rPr>
        <w:t>唐财预【2023】6号疫情防控补助中央（直达）</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val="en-US" w:eastAsia="zh-CN"/>
        </w:rPr>
        <w:t>唐财建【2023】22号市级下达2023年农村公路日常养护市级补助资金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个项目绩效自评结果。</w:t>
      </w:r>
    </w:p>
    <w:p>
      <w:pPr>
        <w:numPr>
          <w:ilvl w:val="0"/>
          <w:numId w:val="3"/>
        </w:numPr>
        <w:adjustRightInd w:val="0"/>
        <w:snapToGrid w:val="0"/>
        <w:spacing w:line="580"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本级国防工役制</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本级国防工役制</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color w:val="auto"/>
          <w:sz w:val="32"/>
          <w:szCs w:val="32"/>
          <w:highlight w:val="none"/>
        </w:rPr>
        <w:t>补助资金及时发放；二是工役制人员生活水平稳步提升。未发现问题。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569"/>
        <w:gridCol w:w="793"/>
        <w:gridCol w:w="794"/>
        <w:gridCol w:w="169"/>
        <w:gridCol w:w="341"/>
        <w:gridCol w:w="311"/>
        <w:gridCol w:w="256"/>
        <w:gridCol w:w="595"/>
        <w:gridCol w:w="708"/>
      </w:tblGrid>
      <w:tr>
        <w:tblPrEx>
          <w:tblCellMar>
            <w:top w:w="0" w:type="dxa"/>
            <w:left w:w="0" w:type="dxa"/>
            <w:bottom w:w="0" w:type="dxa"/>
            <w:right w:w="0" w:type="dxa"/>
          </w:tblCellMar>
        </w:tblPrEx>
        <w:trPr>
          <w:trHeight w:val="454" w:hRule="exact"/>
        </w:trPr>
        <w:tc>
          <w:tcPr>
            <w:tcW w:w="9080" w:type="dxa"/>
            <w:gridSpan w:val="14"/>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4"/>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本级</w:t>
            </w:r>
            <w:r>
              <w:rPr>
                <w:rFonts w:ascii="宋体"/>
                <w:sz w:val="18"/>
                <w:szCs w:val="18"/>
              </w:rPr>
              <w:t>国防工役制</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338"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1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55</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54.4</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54.4</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55</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54.4</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54.4</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318"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174" w:type="dxa"/>
            <w:gridSpan w:val="7"/>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318"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按月及时足额发放补助金额，使工役制人员生活权益有所改善。</w:t>
            </w:r>
          </w:p>
        </w:tc>
        <w:tc>
          <w:tcPr>
            <w:tcW w:w="3174" w:type="dxa"/>
            <w:gridSpan w:val="7"/>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按月及时足额发放补助金额，使工役制人员生活权益有所改善。</w:t>
            </w:r>
          </w:p>
        </w:tc>
      </w:tr>
      <w:tr>
        <w:tblPrEx>
          <w:tblCellMar>
            <w:top w:w="0" w:type="dxa"/>
            <w:left w:w="0" w:type="dxa"/>
            <w:bottom w:w="0" w:type="dxa"/>
            <w:right w:w="0" w:type="dxa"/>
          </w:tblCellMar>
        </w:tblPrEx>
        <w:trPr>
          <w:trHeight w:val="598"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工役制人员补助人数（每月）</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76</w:t>
            </w:r>
            <w:r>
              <w:rPr>
                <w:rFonts w:ascii="宋体"/>
                <w:sz w:val="18"/>
                <w:szCs w:val="18"/>
              </w:rPr>
              <w:t>人</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76</w:t>
            </w:r>
            <w:r>
              <w:rPr>
                <w:rFonts w:ascii="宋体"/>
                <w:sz w:val="18"/>
                <w:szCs w:val="18"/>
              </w:rPr>
              <w:t>人</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63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工役制人员补助标准</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800</w:t>
            </w:r>
            <w:r>
              <w:rPr>
                <w:rFonts w:ascii="宋体"/>
                <w:sz w:val="18"/>
                <w:szCs w:val="18"/>
              </w:rPr>
              <w:t>元/人/月</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8</w:t>
            </w:r>
            <w:r>
              <w:rPr>
                <w:rFonts w:ascii="宋体"/>
                <w:sz w:val="18"/>
                <w:szCs w:val="18"/>
              </w:rPr>
              <w:t>00元/人/月</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7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工役制人员遗属补助标准</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2</w:t>
            </w:r>
            <w:r>
              <w:rPr>
                <w:rFonts w:ascii="宋体"/>
                <w:sz w:val="18"/>
                <w:szCs w:val="18"/>
              </w:rPr>
              <w:t>00元/人/月</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2</w:t>
            </w:r>
            <w:r>
              <w:rPr>
                <w:rFonts w:ascii="宋体"/>
                <w:sz w:val="18"/>
                <w:szCs w:val="18"/>
              </w:rPr>
              <w:t>00元/人/月</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补助资金及时发放率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61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工役制人员生活水平提升情况</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稳步提高</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稳步提高</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政策知晓率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社会公众满意度</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受助对象满意度</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00"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p>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本级集中管养道路养护经费</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本级集中管养道路养护经费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137.79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137.79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做好农村养护工作，完成了全年养护工程量</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保证路域环境整洁</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1135"/>
        <w:gridCol w:w="1125"/>
        <w:gridCol w:w="427"/>
        <w:gridCol w:w="290"/>
        <w:gridCol w:w="256"/>
        <w:gridCol w:w="595"/>
        <w:gridCol w:w="708"/>
      </w:tblGrid>
      <w:tr>
        <w:tblPrEx>
          <w:tblCellMar>
            <w:top w:w="0" w:type="dxa"/>
            <w:left w:w="0" w:type="dxa"/>
            <w:bottom w:w="0" w:type="dxa"/>
            <w:right w:w="0" w:type="dxa"/>
          </w:tblCellMar>
        </w:tblPrEx>
        <w:trPr>
          <w:trHeight w:val="454" w:hRule="exact"/>
        </w:trPr>
        <w:tc>
          <w:tcPr>
            <w:tcW w:w="9080" w:type="dxa"/>
            <w:gridSpan w:val="12"/>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2"/>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0"/>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本级集中管养道路养护经费</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11" w:type="dxa"/>
            <w:gridSpan w:val="4"/>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7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7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做好农村养护工作，完成全年养护工程量，保证路域环境整洁</w:t>
            </w:r>
            <w:r>
              <w:rPr>
                <w:rFonts w:ascii="宋体"/>
                <w:sz w:val="18"/>
                <w:szCs w:val="18"/>
              </w:rPr>
              <w:t>。</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做好了农村道路养护工作，及时完成了全年养护工程量</w:t>
            </w:r>
            <w:r>
              <w:rPr>
                <w:rFonts w:ascii="宋体"/>
                <w:sz w:val="18"/>
                <w:szCs w:val="18"/>
              </w:rPr>
              <w:t>。</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sz w:val="18"/>
                <w:szCs w:val="18"/>
              </w:rPr>
              <w:t>公路养护里程</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32公里</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公路养护工程合格率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公路养护工程完成率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8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137.79万元</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137.79万元</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县级公路列养率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社会公众满意度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8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w:t>
            </w:r>
            <w:r>
              <w:rPr>
                <w:rFonts w:hint="eastAsia" w:ascii="宋体"/>
                <w:sz w:val="18"/>
                <w:szCs w:val="18"/>
                <w:lang w:val="en-US" w:eastAsia="zh-CN"/>
              </w:rPr>
              <w:t>1小时</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受</w:t>
            </w:r>
            <w:r>
              <w:rPr>
                <w:rFonts w:hint="eastAsia" w:ascii="宋体"/>
                <w:color w:val="000000"/>
                <w:sz w:val="18"/>
                <w:szCs w:val="18"/>
                <w:lang w:val="en-US" w:eastAsia="zh-CN"/>
              </w:rPr>
              <w:t>益群众</w:t>
            </w:r>
            <w:r>
              <w:rPr>
                <w:rFonts w:ascii="宋体"/>
                <w:color w:val="000000"/>
                <w:sz w:val="18"/>
                <w:szCs w:val="18"/>
              </w:rPr>
              <w:t>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804"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27"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本级农村公路集中管养费用</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本级农村公路集中管养费用</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做好农村养护工作，完成了全年养护工程量</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保证路域环境整洁，保证群众的出行安全</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1135"/>
        <w:gridCol w:w="1125"/>
        <w:gridCol w:w="495"/>
        <w:gridCol w:w="222"/>
        <w:gridCol w:w="333"/>
        <w:gridCol w:w="518"/>
        <w:gridCol w:w="708"/>
      </w:tblGrid>
      <w:tr>
        <w:tblPrEx>
          <w:tblCellMar>
            <w:top w:w="0" w:type="dxa"/>
            <w:left w:w="0" w:type="dxa"/>
            <w:bottom w:w="0" w:type="dxa"/>
            <w:right w:w="0" w:type="dxa"/>
          </w:tblCellMar>
        </w:tblPrEx>
        <w:trPr>
          <w:trHeight w:val="454" w:hRule="exact"/>
        </w:trPr>
        <w:tc>
          <w:tcPr>
            <w:tcW w:w="9080" w:type="dxa"/>
            <w:gridSpan w:val="12"/>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2"/>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0"/>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本级农村公路集中管养费用</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11" w:type="dxa"/>
            <w:gridSpan w:val="4"/>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7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7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2.4</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2.4</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做好农村养护工作，完成全年养护工程量，保证路域环境整洁，保证群众的出行安全</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做好了农村道路养护工作，及时完成了全年养护工程量</w:t>
            </w:r>
            <w:r>
              <w:rPr>
                <w:rFonts w:ascii="宋体"/>
                <w:sz w:val="18"/>
                <w:szCs w:val="18"/>
              </w:rPr>
              <w:t>。</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sz w:val="18"/>
                <w:szCs w:val="18"/>
              </w:rPr>
              <w:t>公路养护里程</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32公里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公路养护工程合格率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公路养护工程完成率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8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2.35万元</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2.35万元</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hAnsi="宋体" w:eastAsia="宋体" w:cs="宋体"/>
                <w:sz w:val="18"/>
                <w:szCs w:val="18"/>
                <w:lang w:val="en-US" w:eastAsia="zh-CN"/>
              </w:rPr>
              <w:t>≤</w:t>
            </w:r>
            <w:r>
              <w:rPr>
                <w:rFonts w:hint="eastAsia" w:ascii="宋体"/>
                <w:sz w:val="18"/>
                <w:szCs w:val="18"/>
                <w:lang w:val="en-US" w:eastAsia="zh-CN"/>
              </w:rPr>
              <w:t>1小时</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hAnsi="宋体" w:eastAsia="宋体" w:cs="宋体"/>
                <w:sz w:val="18"/>
                <w:szCs w:val="18"/>
                <w:lang w:val="en-US" w:eastAsia="zh-CN"/>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8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改善生态环境质量</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明显</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明显</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社会公众满意度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县级公路列养率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受</w:t>
            </w:r>
            <w:r>
              <w:rPr>
                <w:rFonts w:hint="eastAsia" w:ascii="宋体"/>
                <w:color w:val="000000"/>
                <w:sz w:val="18"/>
                <w:szCs w:val="18"/>
                <w:lang w:val="en-US" w:eastAsia="zh-CN"/>
              </w:rPr>
              <w:t>益群众</w:t>
            </w:r>
            <w:r>
              <w:rPr>
                <w:rFonts w:ascii="宋体"/>
                <w:color w:val="000000"/>
                <w:sz w:val="18"/>
                <w:szCs w:val="18"/>
              </w:rPr>
              <w:t>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804"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本级农村公路日常养护补助</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本级农村公路日常养护补助</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11.07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做好农村养护工作，完成了全年养护工程量</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保证路域环境整洁，保证群众的出行安全</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1135"/>
        <w:gridCol w:w="1125"/>
        <w:gridCol w:w="495"/>
        <w:gridCol w:w="222"/>
        <w:gridCol w:w="333"/>
        <w:gridCol w:w="518"/>
        <w:gridCol w:w="708"/>
      </w:tblGrid>
      <w:tr>
        <w:tblPrEx>
          <w:tblCellMar>
            <w:top w:w="0" w:type="dxa"/>
            <w:left w:w="0" w:type="dxa"/>
            <w:bottom w:w="0" w:type="dxa"/>
            <w:right w:w="0" w:type="dxa"/>
          </w:tblCellMar>
        </w:tblPrEx>
        <w:trPr>
          <w:trHeight w:val="454" w:hRule="exact"/>
        </w:trPr>
        <w:tc>
          <w:tcPr>
            <w:tcW w:w="9080" w:type="dxa"/>
            <w:gridSpan w:val="12"/>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2"/>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0"/>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本级农村公路日常养护补助</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11" w:type="dxa"/>
            <w:gridSpan w:val="4"/>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7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7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11.19</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11.19</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做好农村养护工作，完成全年养护工程量，保证路域环境整洁，保证群众的出行安全</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做好了农村道路养护工作，及时完成了全年养护工程量</w:t>
            </w:r>
            <w:r>
              <w:rPr>
                <w:rFonts w:ascii="宋体"/>
                <w:sz w:val="18"/>
                <w:szCs w:val="18"/>
              </w:rPr>
              <w:t>。</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sz w:val="18"/>
                <w:szCs w:val="18"/>
              </w:rPr>
              <w:t>公路养护里程</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32公里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公路养护工程合格率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公路养护工程完成率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8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11.07万元</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11.07万元</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hAnsi="宋体" w:eastAsia="宋体" w:cs="宋体"/>
                <w:sz w:val="18"/>
                <w:szCs w:val="18"/>
                <w:lang w:val="en-US" w:eastAsia="zh-CN"/>
              </w:rPr>
              <w:t>≤</w:t>
            </w:r>
            <w:r>
              <w:rPr>
                <w:rFonts w:hint="eastAsia" w:ascii="宋体"/>
                <w:sz w:val="18"/>
                <w:szCs w:val="18"/>
                <w:lang w:val="en-US" w:eastAsia="zh-CN"/>
              </w:rPr>
              <w:t>1小时</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hAnsi="宋体" w:eastAsia="宋体" w:cs="宋体"/>
                <w:sz w:val="18"/>
                <w:szCs w:val="18"/>
                <w:lang w:val="en-US" w:eastAsia="zh-CN"/>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8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改善生态环境质量</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明显</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明显</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社会公众满意度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县级公路列养率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ascii="宋体"/>
                <w:color w:val="000000"/>
                <w:sz w:val="18"/>
                <w:szCs w:val="18"/>
              </w:rPr>
              <w:t>受</w:t>
            </w:r>
            <w:r>
              <w:rPr>
                <w:rFonts w:hint="eastAsia" w:ascii="宋体"/>
                <w:color w:val="000000"/>
                <w:sz w:val="18"/>
                <w:szCs w:val="18"/>
                <w:lang w:val="en-US" w:eastAsia="zh-CN"/>
              </w:rPr>
              <w:t>益群众</w:t>
            </w:r>
            <w:r>
              <w:rPr>
                <w:rFonts w:ascii="宋体"/>
                <w:color w:val="000000"/>
                <w:sz w:val="18"/>
                <w:szCs w:val="18"/>
              </w:rPr>
              <w:t>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804"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5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226"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本级新建、续建农村公路改造提升、养护工程</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本级新建、续建农村公路改造提升、养护工程项目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解决沿线群众通行状况，改善道路条件，有效抑制道路扬尘的污染，改善道路通行能力。</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促进了沿线经济的发展</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377"/>
        <w:gridCol w:w="870"/>
        <w:gridCol w:w="945"/>
        <w:gridCol w:w="495"/>
        <w:gridCol w:w="290"/>
        <w:gridCol w:w="256"/>
        <w:gridCol w:w="595"/>
        <w:gridCol w:w="708"/>
      </w:tblGrid>
      <w:tr>
        <w:tblPrEx>
          <w:tblCellMar>
            <w:top w:w="0" w:type="dxa"/>
            <w:left w:w="0" w:type="dxa"/>
            <w:bottom w:w="0" w:type="dxa"/>
            <w:right w:w="0" w:type="dxa"/>
          </w:tblCellMar>
        </w:tblPrEx>
        <w:trPr>
          <w:trHeight w:val="454" w:hRule="exact"/>
        </w:trPr>
        <w:tc>
          <w:tcPr>
            <w:tcW w:w="9080" w:type="dxa"/>
            <w:gridSpan w:val="13"/>
            <w:tcBorders>
              <w:top w:val="nil"/>
              <w:left w:val="nil"/>
              <w:bottom w:val="nil"/>
              <w:right w:val="nil"/>
            </w:tcBorders>
            <w:tcMar>
              <w:left w:w="108" w:type="dxa"/>
              <w:right w:w="108" w:type="dxa"/>
            </w:tcMar>
            <w:vAlign w:val="center"/>
          </w:tcPr>
          <w:p>
            <w:pPr>
              <w:spacing w:line="320" w:lineRule="exact"/>
              <w:jc w:val="center"/>
              <w:rPr>
                <w:rFonts w:ascii="宋体"/>
                <w:b/>
              </w:rPr>
            </w:pPr>
            <w:r>
              <w:rPr>
                <w:rFonts w:hint="eastAsia" w:ascii="宋体"/>
                <w:b/>
                <w:lang w:val="en-US" w:eastAsia="zh-CN"/>
              </w:rPr>
              <w:t xml:space="preserve"> </w:t>
            </w: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3"/>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1"/>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本级新建、续建农村公路改造提升、养护工程</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223"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344"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800</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800</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解决沿线群众通行状况，改善道路条件，有效抑制道路扬尘的污染，改善道路通行能力，促进沿线经济发展。</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解决沿线群众通行状况，改善了道路条件，抑制道路扬尘污染。</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公路养护里程</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公路养护工程合格率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公路养护工程完成率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40万元</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40万元</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县级公路列养率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100%</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社会公众满意度</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0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9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ascii="宋体"/>
                <w:sz w:val="18"/>
                <w:szCs w:val="18"/>
              </w:rPr>
              <w:t>≥</w:t>
            </w:r>
            <w:r>
              <w:rPr>
                <w:rFonts w:hint="eastAsia" w:ascii="宋体"/>
                <w:sz w:val="18"/>
                <w:szCs w:val="18"/>
                <w:lang w:val="en-US" w:eastAsia="zh-CN"/>
              </w:rPr>
              <w:t>1小时</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受益群众</w:t>
            </w:r>
            <w:r>
              <w:rPr>
                <w:rFonts w:ascii="宋体"/>
                <w:color w:val="000000"/>
                <w:sz w:val="18"/>
                <w:szCs w:val="18"/>
              </w:rPr>
              <w:t>满意度</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36"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本级行政处罚停车场租金</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本级行政处罚停车场租金项目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治理了道路扬尘，规范了道路运输市场秩序。</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为消除违法、违规的行为提供停车场地</w:t>
      </w:r>
      <w:r>
        <w:rPr>
          <w:rFonts w:hint="eastAsia" w:ascii="仿宋_GB2312" w:hAnsi="仿宋_GB2312" w:eastAsia="仿宋_GB2312" w:cs="仿宋_GB2312"/>
          <w:color w:val="auto"/>
          <w:sz w:val="32"/>
          <w:szCs w:val="32"/>
          <w:highlight w:val="none"/>
        </w:rPr>
        <w:t>。未发现问题。</w:t>
      </w:r>
    </w:p>
    <w:tbl>
      <w:tblPr>
        <w:tblStyle w:val="6"/>
        <w:tblpPr w:vertAnchor="text" w:tblpX="1" w:tblpY="139"/>
        <w:tblW w:w="9251" w:type="dxa"/>
        <w:tblInd w:w="0" w:type="dxa"/>
        <w:tblLayout w:type="autofit"/>
        <w:tblCellMar>
          <w:top w:w="0" w:type="dxa"/>
          <w:left w:w="108" w:type="dxa"/>
          <w:bottom w:w="0" w:type="dxa"/>
          <w:right w:w="108" w:type="dxa"/>
        </w:tblCellMar>
      </w:tblPr>
      <w:tblGrid>
        <w:gridCol w:w="588"/>
        <w:gridCol w:w="980"/>
        <w:gridCol w:w="1112"/>
        <w:gridCol w:w="730"/>
        <w:gridCol w:w="1134"/>
        <w:gridCol w:w="284"/>
        <w:gridCol w:w="964"/>
        <w:gridCol w:w="1020"/>
        <w:gridCol w:w="569"/>
        <w:gridCol w:w="140"/>
        <w:gridCol w:w="427"/>
        <w:gridCol w:w="424"/>
        <w:gridCol w:w="879"/>
      </w:tblGrid>
      <w:tr>
        <w:tblPrEx>
          <w:tblCellMar>
            <w:top w:w="0" w:type="dxa"/>
            <w:left w:w="108" w:type="dxa"/>
            <w:bottom w:w="0" w:type="dxa"/>
            <w:right w:w="108" w:type="dxa"/>
          </w:tblCellMar>
        </w:tblPrEx>
        <w:trPr>
          <w:trHeight w:val="454" w:hRule="exact"/>
        </w:trPr>
        <w:tc>
          <w:tcPr>
            <w:tcW w:w="9251" w:type="dxa"/>
            <w:gridSpan w:val="13"/>
            <w:tcBorders>
              <w:top w:val="nil"/>
              <w:left w:val="nil"/>
              <w:bottom w:val="nil"/>
              <w:right w:val="nil"/>
            </w:tcBorders>
            <w:tcMar>
              <w:left w:w="108" w:type="dxa"/>
              <w:right w:w="108" w:type="dxa"/>
            </w:tcMar>
            <w:vAlign w:val="center"/>
          </w:tcPr>
          <w:p>
            <w:pPr>
              <w:spacing w:after="160" w:line="320" w:lineRule="exact"/>
              <w:jc w:val="center"/>
              <w:rPr>
                <w:rFonts w:ascii="宋体"/>
                <w:b/>
              </w:rPr>
            </w:pPr>
            <w:r>
              <w:rPr>
                <w:rFonts w:ascii="宋体"/>
                <w:b/>
              </w:rPr>
              <w:t>项目支出绩效自评表</w:t>
            </w:r>
          </w:p>
        </w:tc>
      </w:tr>
      <w:tr>
        <w:tblPrEx>
          <w:tblCellMar>
            <w:top w:w="0" w:type="dxa"/>
            <w:left w:w="108" w:type="dxa"/>
            <w:bottom w:w="0" w:type="dxa"/>
            <w:right w:w="108" w:type="dxa"/>
          </w:tblCellMar>
        </w:tblPrEx>
        <w:trPr>
          <w:trHeight w:val="201" w:hRule="atLeast"/>
        </w:trPr>
        <w:tc>
          <w:tcPr>
            <w:tcW w:w="9251" w:type="dxa"/>
            <w:gridSpan w:val="13"/>
            <w:tcBorders>
              <w:top w:val="nil"/>
              <w:left w:val="nil"/>
              <w:bottom w:val="nil"/>
              <w:right w:val="nil"/>
            </w:tcBorders>
            <w:tcMar>
              <w:left w:w="108" w:type="dxa"/>
              <w:right w:w="108" w:type="dxa"/>
            </w:tcMar>
          </w:tcPr>
          <w:p>
            <w:pPr>
              <w:spacing w:after="160"/>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项目名称</w:t>
            </w:r>
          </w:p>
        </w:tc>
        <w:tc>
          <w:tcPr>
            <w:tcW w:w="7683" w:type="dxa"/>
            <w:gridSpan w:val="11"/>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hint="eastAsia" w:ascii="宋体"/>
                <w:sz w:val="18"/>
                <w:szCs w:val="18"/>
                <w:lang w:val="en-US" w:eastAsia="zh-CN"/>
              </w:rPr>
              <w:t>本级</w:t>
            </w:r>
            <w:r>
              <w:rPr>
                <w:rFonts w:ascii="宋体"/>
                <w:sz w:val="18"/>
                <w:szCs w:val="18"/>
              </w:rPr>
              <w:t>行政处罚停车场租金</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主管部门</w:t>
            </w:r>
          </w:p>
        </w:tc>
        <w:tc>
          <w:tcPr>
            <w:tcW w:w="4224"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唐山市开平区交通运输局</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实施单位</w:t>
            </w:r>
          </w:p>
        </w:tc>
        <w:tc>
          <w:tcPr>
            <w:tcW w:w="2439"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唐山市开平区交通运输局</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年初预算数</w:t>
            </w:r>
          </w:p>
        </w:tc>
        <w:tc>
          <w:tcPr>
            <w:tcW w:w="1248"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全年预算数</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全年执行数</w:t>
            </w:r>
          </w:p>
        </w:tc>
        <w:tc>
          <w:tcPr>
            <w:tcW w:w="709"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执行率</w:t>
            </w:r>
          </w:p>
        </w:tc>
        <w:tc>
          <w:tcPr>
            <w:tcW w:w="87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得分</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1248"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709"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87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1248"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19.2</w:t>
            </w:r>
          </w:p>
        </w:tc>
        <w:tc>
          <w:tcPr>
            <w:tcW w:w="709"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87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248"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709"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87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248"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709"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87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年度总体目标</w:t>
            </w:r>
          </w:p>
        </w:tc>
        <w:tc>
          <w:tcPr>
            <w:tcW w:w="5204"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预期目标</w:t>
            </w:r>
          </w:p>
        </w:tc>
        <w:tc>
          <w:tcPr>
            <w:tcW w:w="345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实际完成情况</w:t>
            </w:r>
          </w:p>
        </w:tc>
      </w:tr>
      <w:tr>
        <w:tblPrEx>
          <w:tblCellMar>
            <w:top w:w="0" w:type="dxa"/>
            <w:left w:w="108" w:type="dxa"/>
            <w:bottom w:w="0" w:type="dxa"/>
            <w:right w:w="108"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204"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为治理道路扬尘，规范道路运输市场秩序，需对违法、违规车辆进行行政处罚，为消除违法、违规行为等提供停车场地。</w:t>
            </w:r>
          </w:p>
        </w:tc>
        <w:tc>
          <w:tcPr>
            <w:tcW w:w="345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为消除违法、违规行为等提供停车场地。</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一级指标</w:t>
            </w:r>
          </w:p>
        </w:tc>
        <w:tc>
          <w:tcPr>
            <w:tcW w:w="1112"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二级指标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三级指标</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年度指标值</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实际完成值</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分值</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产出指标</w:t>
            </w: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数量指标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车场免费停车率</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20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20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质量指标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车场交付验收合格率</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100%</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Arial" w:hAnsi="Arial" w:eastAsia="Arial" w:cs="Arial"/>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时效指标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车场正常使用率</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≥90%</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≥90%</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成本指标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19.2万元</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hint="eastAsia" w:ascii="宋体"/>
                <w:sz w:val="18"/>
                <w:szCs w:val="18"/>
                <w:lang w:val="en-US" w:eastAsia="zh-CN"/>
              </w:rPr>
              <w:t>19.2万元</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效益指标</w:t>
            </w: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经济效益</w:t>
            </w:r>
          </w:p>
          <w:p>
            <w:pPr>
              <w:spacing w:after="160" w:line="240" w:lineRule="exact"/>
              <w:jc w:val="center"/>
              <w:rPr>
                <w:rFonts w:ascii="宋体"/>
                <w:sz w:val="18"/>
                <w:szCs w:val="18"/>
              </w:rPr>
            </w:pPr>
            <w:r>
              <w:rPr>
                <w:rFonts w:ascii="宋体"/>
                <w:sz w:val="18"/>
                <w:szCs w:val="18"/>
              </w:rPr>
              <w:t>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社会效益</w:t>
            </w:r>
          </w:p>
          <w:p>
            <w:pPr>
              <w:spacing w:after="160" w:line="240" w:lineRule="exact"/>
              <w:jc w:val="center"/>
              <w:rPr>
                <w:rFonts w:ascii="宋体"/>
                <w:sz w:val="18"/>
                <w:szCs w:val="18"/>
              </w:rPr>
            </w:pPr>
            <w:r>
              <w:rPr>
                <w:rFonts w:ascii="宋体"/>
                <w:sz w:val="18"/>
                <w:szCs w:val="18"/>
              </w:rPr>
              <w:t>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车场服务满意度</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≥80%</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≥80%</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生态效益</w:t>
            </w:r>
          </w:p>
          <w:p>
            <w:pPr>
              <w:spacing w:after="160" w:line="240" w:lineRule="exact"/>
              <w:jc w:val="center"/>
              <w:rPr>
                <w:rFonts w:ascii="宋体"/>
                <w:sz w:val="18"/>
                <w:szCs w:val="18"/>
              </w:rPr>
            </w:pPr>
            <w:r>
              <w:rPr>
                <w:rFonts w:ascii="宋体"/>
                <w:sz w:val="18"/>
                <w:szCs w:val="18"/>
              </w:rPr>
              <w:t>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道路扬尘问题明显改善</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明显改善</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明显改善</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可持续影响指标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运输市场规范程度提高</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稳步提升</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稳步提升</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满意度</w:t>
            </w:r>
          </w:p>
          <w:p>
            <w:pPr>
              <w:spacing w:after="160" w:line="240" w:lineRule="exact"/>
              <w:jc w:val="center"/>
              <w:rPr>
                <w:rFonts w:ascii="宋体"/>
                <w:sz w:val="18"/>
                <w:szCs w:val="18"/>
              </w:rPr>
            </w:pPr>
            <w:r>
              <w:rPr>
                <w:rFonts w:ascii="宋体"/>
                <w:sz w:val="18"/>
                <w:szCs w:val="18"/>
              </w:rPr>
              <w:t>指标</w:t>
            </w:r>
          </w:p>
        </w:tc>
        <w:tc>
          <w:tcPr>
            <w:tcW w:w="1112"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r>
              <w:rPr>
                <w:rFonts w:ascii="宋体"/>
                <w:color w:val="000000"/>
                <w:sz w:val="18"/>
                <w:szCs w:val="18"/>
              </w:rPr>
              <w:t>受益群众满意度</w:t>
            </w: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≥80%</w:t>
            </w: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≥80%</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1112" w:type="dxa"/>
            <w:vMerge w:val="continue"/>
            <w:tcBorders>
              <w:top w:val="nil"/>
              <w:left w:val="single" w:color="auto" w:sz="4" w:space="0"/>
              <w:bottom w:val="single" w:color="auto" w:sz="4" w:space="0"/>
              <w:right w:val="single" w:color="auto" w:sz="4" w:space="0"/>
            </w:tcBorders>
            <w:vAlign w:val="center"/>
          </w:tcPr>
          <w:p/>
        </w:tc>
        <w:tc>
          <w:tcPr>
            <w:tcW w:w="2148"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left"/>
              <w:rPr>
                <w:rFonts w:ascii="宋体"/>
                <w:color w:val="000000"/>
                <w:sz w:val="18"/>
                <w:szCs w:val="18"/>
              </w:rPr>
            </w:pPr>
          </w:p>
        </w:tc>
        <w:tc>
          <w:tcPr>
            <w:tcW w:w="964"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020"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r>
        <w:tblPrEx>
          <w:tblCellMar>
            <w:top w:w="0" w:type="dxa"/>
            <w:left w:w="108" w:type="dxa"/>
            <w:bottom w:w="0" w:type="dxa"/>
            <w:right w:w="108" w:type="dxa"/>
          </w:tblCellMar>
        </w:tblPrEx>
        <w:trPr>
          <w:trHeight w:val="300" w:hRule="exact"/>
        </w:trPr>
        <w:tc>
          <w:tcPr>
            <w:tcW w:w="6812"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r>
              <w:rPr>
                <w:rFonts w:ascii="宋体"/>
                <w:color w:val="000000"/>
                <w:sz w:val="18"/>
                <w:szCs w:val="18"/>
              </w:rPr>
              <w:t>总分</w:t>
            </w:r>
          </w:p>
        </w:tc>
        <w:tc>
          <w:tcPr>
            <w:tcW w:w="569"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r>
              <w:rPr>
                <w:rFonts w:ascii="宋体"/>
                <w:color w:val="000000"/>
                <w:sz w:val="18"/>
                <w:szCs w:val="18"/>
              </w:rPr>
              <w:t>100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r>
              <w:rPr>
                <w:rFonts w:ascii="宋体"/>
                <w:color w:val="000000"/>
                <w:sz w:val="18"/>
                <w:szCs w:val="18"/>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本级疫情防控工作经费</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本级疫情防控工作经费项目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做好了本级防控新型冠状肺炎疫情工作</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569"/>
        <w:gridCol w:w="793"/>
        <w:gridCol w:w="794"/>
        <w:gridCol w:w="169"/>
        <w:gridCol w:w="341"/>
        <w:gridCol w:w="311"/>
        <w:gridCol w:w="256"/>
        <w:gridCol w:w="595"/>
        <w:gridCol w:w="708"/>
      </w:tblGrid>
      <w:tr>
        <w:tblPrEx>
          <w:tblCellMar>
            <w:top w:w="0" w:type="dxa"/>
            <w:left w:w="0" w:type="dxa"/>
            <w:bottom w:w="0" w:type="dxa"/>
            <w:right w:w="0" w:type="dxa"/>
          </w:tblCellMar>
        </w:tblPrEx>
        <w:trPr>
          <w:trHeight w:val="454" w:hRule="exact"/>
        </w:trPr>
        <w:tc>
          <w:tcPr>
            <w:tcW w:w="9080" w:type="dxa"/>
            <w:gridSpan w:val="14"/>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4"/>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本级疫情防控工作经费</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338"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1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6.35</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6.35</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100%</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6.35</w:t>
            </w: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6.35</w:t>
            </w: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100%</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6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63"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652"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318"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174" w:type="dxa"/>
            <w:gridSpan w:val="7"/>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318"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做好本级防控新型冠状肺炎疫情工作</w:t>
            </w:r>
          </w:p>
        </w:tc>
        <w:tc>
          <w:tcPr>
            <w:tcW w:w="3174" w:type="dxa"/>
            <w:gridSpan w:val="7"/>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完成了本级防控新型冠状肺炎疫情工作</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疫情防控点数量</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2个</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2个</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98"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突发公共卫生事件应急任务完成率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04"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防控执勤及时性</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63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6.35</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万元</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6.35</w:t>
            </w:r>
          </w:p>
          <w:p>
            <w:pPr>
              <w:spacing w:line="240" w:lineRule="exact"/>
              <w:jc w:val="center"/>
              <w:rPr>
                <w:rFonts w:ascii="宋体"/>
                <w:sz w:val="18"/>
                <w:szCs w:val="18"/>
              </w:rPr>
            </w:pPr>
            <w:r>
              <w:rPr>
                <w:rFonts w:hint="eastAsia" w:ascii="宋体"/>
                <w:sz w:val="18"/>
                <w:szCs w:val="18"/>
                <w:lang w:val="en-US" w:eastAsia="zh-CN"/>
              </w:rPr>
              <w:t>万元</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9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业务保障能力提升情况</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明显</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提升</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明显</w:t>
            </w:r>
          </w:p>
          <w:p>
            <w:pPr>
              <w:spacing w:line="240" w:lineRule="exact"/>
              <w:jc w:val="center"/>
              <w:rPr>
                <w:rFonts w:ascii="宋体"/>
                <w:sz w:val="18"/>
                <w:szCs w:val="18"/>
              </w:rPr>
            </w:pPr>
            <w:r>
              <w:rPr>
                <w:rFonts w:hint="eastAsia" w:ascii="宋体"/>
                <w:sz w:val="18"/>
                <w:szCs w:val="18"/>
                <w:lang w:val="en-US" w:eastAsia="zh-CN"/>
              </w:rPr>
              <w:t>提升</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1"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疫情防控点检查完成率</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100%</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color w:val="000000"/>
                <w:sz w:val="18"/>
                <w:szCs w:val="18"/>
                <w:lang w:val="en-US" w:eastAsia="zh-CN"/>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hint="default" w:ascii="宋体" w:eastAsia="宋体"/>
                <w:color w:val="000000"/>
                <w:sz w:val="18"/>
                <w:szCs w:val="18"/>
                <w:lang w:val="en-US" w:eastAsia="zh-CN"/>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54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疫情防控点周围生态环境</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提升</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ascii="宋体"/>
                <w:sz w:val="18"/>
                <w:szCs w:val="18"/>
              </w:rPr>
            </w:pPr>
            <w:r>
              <w:rPr>
                <w:rFonts w:hint="eastAsia" w:ascii="宋体"/>
                <w:sz w:val="18"/>
                <w:szCs w:val="18"/>
                <w:lang w:val="en-US" w:eastAsia="zh-CN"/>
              </w:rPr>
              <w:t>提升</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9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可持续性服务</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增强</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ascii="宋体"/>
                <w:sz w:val="18"/>
                <w:szCs w:val="18"/>
              </w:rPr>
            </w:pPr>
            <w:r>
              <w:rPr>
                <w:rFonts w:hint="eastAsia" w:ascii="宋体"/>
                <w:sz w:val="18"/>
                <w:szCs w:val="18"/>
                <w:lang w:val="en-US" w:eastAsia="zh-CN"/>
              </w:rPr>
              <w:t>增强</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服务</w:t>
            </w:r>
            <w:r>
              <w:rPr>
                <w:rFonts w:ascii="宋体"/>
                <w:color w:val="000000"/>
                <w:sz w:val="18"/>
                <w:szCs w:val="18"/>
              </w:rPr>
              <w:t>对象满意度</w:t>
            </w: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604"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793"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9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00"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51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100</w:t>
            </w:r>
          </w:p>
        </w:tc>
        <w:tc>
          <w:tcPr>
            <w:tcW w:w="56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采煤深陷区避险搬迁配套道路开凤路工程</w:t>
      </w:r>
      <w:r>
        <w:rPr>
          <w:rFonts w:hint="eastAsia" w:ascii="仿宋_GB2312" w:hAnsi="仿宋_GB2312" w:eastAsia="仿宋_GB2312" w:cs="仿宋_GB2312"/>
          <w:sz w:val="32"/>
          <w:szCs w:val="32"/>
        </w:rPr>
        <w:t>项目绩效自评情况：根据年初设定的绩效目标，</w:t>
      </w:r>
      <w:r>
        <w:rPr>
          <w:rFonts w:hint="eastAsia" w:ascii="仿宋_GB2312" w:hAnsi="仿宋_GB2312" w:eastAsia="仿宋_GB2312" w:cs="仿宋_GB2312"/>
          <w:sz w:val="32"/>
          <w:szCs w:val="32"/>
          <w:lang w:val="en-US" w:eastAsia="zh-CN"/>
        </w:rPr>
        <w:t>采煤深陷区避险搬迁配套道路开凤路工程项目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提高了公路通行水平，改善了路域环境</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是消除了出行安全隐患</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377"/>
        <w:gridCol w:w="870"/>
        <w:gridCol w:w="945"/>
        <w:gridCol w:w="495"/>
        <w:gridCol w:w="290"/>
        <w:gridCol w:w="256"/>
        <w:gridCol w:w="595"/>
        <w:gridCol w:w="708"/>
      </w:tblGrid>
      <w:tr>
        <w:tblPrEx>
          <w:tblCellMar>
            <w:top w:w="0" w:type="dxa"/>
            <w:left w:w="0" w:type="dxa"/>
            <w:bottom w:w="0" w:type="dxa"/>
            <w:right w:w="0" w:type="dxa"/>
          </w:tblCellMar>
        </w:tblPrEx>
        <w:trPr>
          <w:trHeight w:val="454" w:hRule="exact"/>
        </w:trPr>
        <w:tc>
          <w:tcPr>
            <w:tcW w:w="9080" w:type="dxa"/>
            <w:gridSpan w:val="13"/>
            <w:tcBorders>
              <w:top w:val="nil"/>
              <w:left w:val="nil"/>
              <w:bottom w:val="nil"/>
              <w:right w:val="nil"/>
            </w:tcBorders>
            <w:tcMar>
              <w:left w:w="108" w:type="dxa"/>
              <w:right w:w="108" w:type="dxa"/>
            </w:tcMar>
            <w:vAlign w:val="center"/>
          </w:tcPr>
          <w:p>
            <w:pPr>
              <w:spacing w:line="320" w:lineRule="exact"/>
              <w:jc w:val="center"/>
              <w:rPr>
                <w:rFonts w:ascii="宋体"/>
                <w:b/>
              </w:rPr>
            </w:pPr>
            <w:r>
              <w:rPr>
                <w:rFonts w:hint="eastAsia" w:ascii="宋体"/>
                <w:b/>
                <w:lang w:val="en-US" w:eastAsia="zh-CN"/>
              </w:rPr>
              <w:t xml:space="preserve"> </w:t>
            </w: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3"/>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1"/>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采煤深陷区避险搬迁配套道路开凤路工程</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223"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344"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300</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提高公路通行水平，改善路域环境，消除出行安全隐患。</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提高了公路通行水平，改善了路域环境。</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5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大修里程</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6.18</w:t>
            </w:r>
          </w:p>
          <w:p>
            <w:pPr>
              <w:spacing w:line="240" w:lineRule="exact"/>
              <w:jc w:val="center"/>
              <w:rPr>
                <w:rFonts w:hint="default" w:ascii="宋体"/>
                <w:sz w:val="18"/>
                <w:szCs w:val="18"/>
                <w:lang w:val="en-US"/>
              </w:rPr>
            </w:pPr>
            <w:r>
              <w:rPr>
                <w:rFonts w:hint="eastAsia" w:ascii="宋体"/>
                <w:sz w:val="18"/>
                <w:szCs w:val="18"/>
                <w:lang w:val="en-US" w:eastAsia="zh-CN"/>
              </w:rPr>
              <w:t>公里</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6.18</w:t>
            </w:r>
          </w:p>
          <w:p>
            <w:pPr>
              <w:spacing w:line="240" w:lineRule="exact"/>
              <w:jc w:val="center"/>
              <w:rPr>
                <w:rFonts w:hint="default" w:ascii="宋体"/>
                <w:sz w:val="18"/>
                <w:szCs w:val="18"/>
                <w:lang w:val="en-US"/>
              </w:rPr>
            </w:pPr>
            <w:r>
              <w:rPr>
                <w:rFonts w:hint="eastAsia" w:ascii="宋体"/>
                <w:sz w:val="18"/>
                <w:szCs w:val="18"/>
                <w:lang w:val="en-US" w:eastAsia="zh-CN"/>
              </w:rPr>
              <w:t>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项目（工程）验收合格率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 xml:space="preserve">项目（工程）完成及时率    </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受益人数</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82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对地区经济的贡献</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拉动地区经济发展</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拉动地区经济发展</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0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8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沿线环境改善情况</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路域环境大幅提升</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路域环境大幅提升</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4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受益人口满意度</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ascii="宋体"/>
                <w:sz w:val="18"/>
                <w:szCs w:val="18"/>
              </w:rPr>
              <w:t>≥</w:t>
            </w:r>
            <w:r>
              <w:rPr>
                <w:rFonts w:hint="eastAsia" w:ascii="宋体"/>
                <w:sz w:val="18"/>
                <w:szCs w:val="18"/>
                <w:lang w:val="en-US" w:eastAsia="zh-CN"/>
              </w:rPr>
              <w:t>95%</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受益人口满意度</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36"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马北路大修</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含园区一号路）</w:t>
      </w:r>
      <w:r>
        <w:rPr>
          <w:rFonts w:hint="eastAsia" w:ascii="仿宋_GB2312" w:hAnsi="仿宋_GB2312" w:eastAsia="仿宋_GB2312" w:cs="仿宋_GB2312"/>
          <w:sz w:val="32"/>
          <w:szCs w:val="32"/>
        </w:rPr>
        <w:t>绩效自评情况：根据年初设定的绩效目标，</w:t>
      </w:r>
      <w:r>
        <w:rPr>
          <w:rFonts w:hint="eastAsia" w:ascii="仿宋_GB2312" w:hAnsi="仿宋_GB2312" w:eastAsia="仿宋_GB2312" w:cs="仿宋_GB2312"/>
          <w:sz w:val="32"/>
          <w:szCs w:val="32"/>
          <w:lang w:val="en-US" w:eastAsia="zh-CN"/>
        </w:rPr>
        <w:t>马北路大修</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含园区一号路）</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提高了公路通行水平，改善了路域环境</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是消除了出行安全隐患</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1135"/>
        <w:gridCol w:w="1125"/>
        <w:gridCol w:w="495"/>
        <w:gridCol w:w="222"/>
        <w:gridCol w:w="348"/>
        <w:gridCol w:w="503"/>
        <w:gridCol w:w="708"/>
      </w:tblGrid>
      <w:tr>
        <w:tblPrEx>
          <w:tblCellMar>
            <w:top w:w="0" w:type="dxa"/>
            <w:left w:w="0" w:type="dxa"/>
            <w:bottom w:w="0" w:type="dxa"/>
            <w:right w:w="0" w:type="dxa"/>
          </w:tblCellMar>
        </w:tblPrEx>
        <w:trPr>
          <w:trHeight w:val="454" w:hRule="exact"/>
        </w:trPr>
        <w:tc>
          <w:tcPr>
            <w:tcW w:w="9080" w:type="dxa"/>
            <w:gridSpan w:val="12"/>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2"/>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0"/>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马北路大修项目（含园区一号路）</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11" w:type="dxa"/>
            <w:gridSpan w:val="4"/>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7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7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200</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提高公路通行水平，改善路域环境，消除出行安全隐患。</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提高了公路通行水平，改善了路域环境。</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大修里程</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8.56公里</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8.56公里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项目（工程）验收合格率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164"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8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 xml:space="preserve">项目（工程）完成及时率 </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8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对地区经济的贡献</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拉动地区经济发展</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拉动地区经济发展</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居民出行平均缩短时间</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1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6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68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沿线环境改善情况</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路域环境大幅提升</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路域环境大幅提升</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受益人口满意度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w:t>
            </w:r>
            <w:r>
              <w:rPr>
                <w:rFonts w:hint="eastAsia" w:ascii="宋体"/>
                <w:sz w:val="18"/>
                <w:szCs w:val="18"/>
                <w:lang w:val="en-US" w:eastAsia="zh-CN"/>
              </w:rPr>
              <w:t>95%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服务群体满意度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804"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唐财建【2023】22号市级下达2023年农村公路日常养护市级补助资金项目</w:t>
      </w:r>
      <w:r>
        <w:rPr>
          <w:rFonts w:hint="eastAsia" w:ascii="仿宋_GB2312" w:hAnsi="仿宋_GB2312" w:eastAsia="仿宋_GB2312" w:cs="仿宋_GB2312"/>
          <w:sz w:val="32"/>
          <w:szCs w:val="32"/>
        </w:rPr>
        <w:t>绩效自评情况：根据年初设定的绩效目标，</w:t>
      </w:r>
      <w:r>
        <w:rPr>
          <w:rFonts w:hint="eastAsia" w:ascii="仿宋_GB2312" w:hAnsi="仿宋_GB2312" w:eastAsia="仿宋_GB2312" w:cs="仿宋_GB2312"/>
          <w:sz w:val="32"/>
          <w:szCs w:val="32"/>
          <w:lang w:val="en-US" w:eastAsia="zh-CN"/>
        </w:rPr>
        <w:t>唐财建【2023】22号市级下达2023年农村公路日常养护市级补助资金项目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81.66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81.66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做好了农村养护工作，完成了全年养护工程量</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是保证路域环境整洁，保证了群众的出行安全</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55"/>
        <w:gridCol w:w="1095"/>
        <w:gridCol w:w="1042"/>
        <w:gridCol w:w="495"/>
        <w:gridCol w:w="290"/>
        <w:gridCol w:w="256"/>
        <w:gridCol w:w="595"/>
        <w:gridCol w:w="708"/>
      </w:tblGrid>
      <w:tr>
        <w:tblPrEx>
          <w:tblCellMar>
            <w:top w:w="0" w:type="dxa"/>
            <w:left w:w="0" w:type="dxa"/>
            <w:bottom w:w="0" w:type="dxa"/>
            <w:right w:w="0" w:type="dxa"/>
          </w:tblCellMar>
        </w:tblPrEx>
        <w:trPr>
          <w:trHeight w:val="454" w:hRule="exact"/>
        </w:trPr>
        <w:tc>
          <w:tcPr>
            <w:tcW w:w="9080" w:type="dxa"/>
            <w:gridSpan w:val="13"/>
            <w:tcBorders>
              <w:top w:val="nil"/>
              <w:left w:val="nil"/>
              <w:bottom w:val="nil"/>
              <w:right w:val="nil"/>
            </w:tcBorders>
            <w:tcMar>
              <w:left w:w="108" w:type="dxa"/>
              <w:right w:w="108" w:type="dxa"/>
            </w:tcMar>
            <w:vAlign w:val="center"/>
          </w:tcPr>
          <w:p>
            <w:pPr>
              <w:spacing w:line="320" w:lineRule="exact"/>
              <w:jc w:val="center"/>
              <w:rPr>
                <w:rFonts w:ascii="宋体"/>
                <w:b/>
              </w:rPr>
            </w:pPr>
            <w:r>
              <w:rPr>
                <w:rFonts w:hint="eastAsia" w:ascii="宋体"/>
                <w:b/>
                <w:lang w:val="en-US" w:eastAsia="zh-CN"/>
              </w:rPr>
              <w:t xml:space="preserve"> </w:t>
            </w: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3"/>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1"/>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唐财建【2023】22号市级下达2023年农村公路日常养护市级补助资金</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2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344"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5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88.43</w:t>
            </w:r>
          </w:p>
        </w:tc>
        <w:tc>
          <w:tcPr>
            <w:tcW w:w="115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88.43</w:t>
            </w:r>
          </w:p>
        </w:tc>
        <w:tc>
          <w:tcPr>
            <w:tcW w:w="115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5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5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106"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386"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106"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做好农村养护工作，完成全年养护工程量，保证路域环境整洁，保证群众的出行安全。</w:t>
            </w:r>
          </w:p>
        </w:tc>
        <w:tc>
          <w:tcPr>
            <w:tcW w:w="3386"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完成了全年农村养护工作，保证路域环境整洁，保证群众的出行安全。</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公路养护里程</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32公里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公路养护工程合格率</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公路养护工程完成率</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20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81.66万元</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81.66万元</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居民出行平均缩短时间</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hAnsi="宋体" w:eastAsia="宋体" w:cs="宋体"/>
                <w:sz w:val="18"/>
                <w:szCs w:val="18"/>
              </w:rPr>
              <w:t>≦</w:t>
            </w:r>
            <w:r>
              <w:rPr>
                <w:rFonts w:hint="eastAsia" w:ascii="宋体"/>
                <w:sz w:val="18"/>
                <w:szCs w:val="18"/>
                <w:lang w:val="en-US" w:eastAsia="zh-CN"/>
              </w:rPr>
              <w:t>1小时</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hAnsi="宋体" w:eastAsia="宋体" w:cs="宋体"/>
                <w:sz w:val="18"/>
                <w:szCs w:val="18"/>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县级公路列养率</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0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39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2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社会公众满意度</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ascii="宋体"/>
                <w:sz w:val="18"/>
                <w:szCs w:val="18"/>
              </w:rPr>
              <w:t>≥8</w:t>
            </w:r>
            <w:r>
              <w:rPr>
                <w:rFonts w:hint="eastAsia" w:ascii="宋体"/>
                <w:sz w:val="18"/>
                <w:szCs w:val="18"/>
                <w:lang w:val="en-US" w:eastAsia="zh-CN"/>
              </w:rPr>
              <w:t>0</w:t>
            </w:r>
            <w:r>
              <w:rPr>
                <w:rFonts w:ascii="宋体"/>
                <w:sz w:val="18"/>
                <w:szCs w:val="18"/>
              </w:rPr>
              <w:t>%</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受益群众</w:t>
            </w:r>
            <w:r>
              <w:rPr>
                <w:rFonts w:ascii="宋体"/>
                <w:color w:val="000000"/>
                <w:sz w:val="18"/>
                <w:szCs w:val="18"/>
              </w:rPr>
              <w:t>满意度</w:t>
            </w: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90"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0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042"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36"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唐财建【2023】56号中央下达2023年重点地区转移发展专项（资源型地区转型发展方向）第一批中央基建投资预算（唐山市开平区采煤沉陷区避险搬迁配套道路开凤路工程）项目</w:t>
      </w:r>
      <w:r>
        <w:rPr>
          <w:rFonts w:hint="eastAsia" w:ascii="仿宋_GB2312" w:hAnsi="仿宋_GB2312" w:eastAsia="仿宋_GB2312" w:cs="仿宋_GB2312"/>
          <w:sz w:val="32"/>
          <w:szCs w:val="32"/>
        </w:rPr>
        <w:t>绩效自评情况：根据年初设定的绩效目标，</w:t>
      </w:r>
      <w:r>
        <w:rPr>
          <w:rFonts w:hint="eastAsia" w:ascii="仿宋_GB2312" w:hAnsi="仿宋_GB2312" w:eastAsia="仿宋_GB2312" w:cs="仿宋_GB2312"/>
          <w:sz w:val="32"/>
          <w:szCs w:val="32"/>
          <w:lang w:val="en-US" w:eastAsia="zh-CN"/>
        </w:rPr>
        <w:t>唐财建【2023】56号中央下达2023年重点地区转移发展专项（资源型地区转型发展方向）第一批中央基建投资预算（唐山市开平区采煤沉陷区避险搬迁配套道路开凤路工程）项目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提高了公路通行水平，，改善路域环境</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是消除了出行安全隐患</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1135"/>
        <w:gridCol w:w="1125"/>
        <w:gridCol w:w="495"/>
        <w:gridCol w:w="222"/>
        <w:gridCol w:w="348"/>
        <w:gridCol w:w="503"/>
        <w:gridCol w:w="708"/>
      </w:tblGrid>
      <w:tr>
        <w:tblPrEx>
          <w:tblCellMar>
            <w:top w:w="0" w:type="dxa"/>
            <w:left w:w="0" w:type="dxa"/>
            <w:bottom w:w="0" w:type="dxa"/>
            <w:right w:w="0" w:type="dxa"/>
          </w:tblCellMar>
        </w:tblPrEx>
        <w:trPr>
          <w:trHeight w:val="454" w:hRule="exact"/>
        </w:trPr>
        <w:tc>
          <w:tcPr>
            <w:tcW w:w="9080" w:type="dxa"/>
            <w:gridSpan w:val="12"/>
            <w:tcBorders>
              <w:top w:val="nil"/>
              <w:left w:val="nil"/>
              <w:bottom w:val="nil"/>
              <w:right w:val="nil"/>
            </w:tcBorders>
            <w:tcMar>
              <w:left w:w="108" w:type="dxa"/>
              <w:right w:w="108" w:type="dxa"/>
            </w:tcMar>
            <w:vAlign w:val="center"/>
          </w:tcPr>
          <w:p>
            <w:pPr>
              <w:spacing w:line="320" w:lineRule="exact"/>
              <w:jc w:val="center"/>
              <w:rPr>
                <w:rFonts w:ascii="宋体"/>
                <w:b/>
              </w:rPr>
            </w:pP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2"/>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595"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0"/>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唐财建【2023】56号中央下达2023年重点地区转移发展专项（资源型地区转型发展方向）第一批中央基建投资预算（唐山市开平区采煤沉陷区避险搬迁配套道路开凤路工程）</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111" w:type="dxa"/>
            <w:gridSpan w:val="4"/>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276"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7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570</w:t>
            </w: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1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091"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提高公路通行水平，改善路域环境，消除出行安全隐患。</w:t>
            </w:r>
          </w:p>
        </w:tc>
        <w:tc>
          <w:tcPr>
            <w:tcW w:w="3401"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提高了公路通行水平，改善了路域环境。</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大修里程</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6.18公里</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6.18公里</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项目（工程）验收合格率</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164"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8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 xml:space="preserve">项目（工程）完成及时率 </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8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受益人数</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3万余人</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在公路建设中拉动地区经济发展</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拉动地区经济发展</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拉动地区经济发展</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居民出行平均缩短时间</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1小时</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1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6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68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沿线环境改善情况</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路域环境大幅提升</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路域环境大幅提升</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受益人口满意度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ascii="宋体"/>
                <w:sz w:val="18"/>
                <w:szCs w:val="18"/>
              </w:rPr>
              <w:t>≥</w:t>
            </w:r>
            <w:r>
              <w:rPr>
                <w:rFonts w:hint="eastAsia" w:ascii="宋体"/>
                <w:sz w:val="18"/>
                <w:szCs w:val="18"/>
                <w:lang w:val="en-US" w:eastAsia="zh-CN"/>
              </w:rPr>
              <w:t>95%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受益人口满意度</w:t>
            </w: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r>
              <w:rPr>
                <w:rFonts w:hint="eastAsia" w:ascii="宋体"/>
                <w:sz w:val="18"/>
                <w:szCs w:val="18"/>
                <w:lang w:val="en-US" w:eastAsia="zh-CN"/>
              </w:rPr>
              <w:t>95%</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035"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113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2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804"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70"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21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numPr>
          <w:ilvl w:val="0"/>
          <w:numId w:val="3"/>
        </w:numPr>
        <w:adjustRightInd w:val="0"/>
        <w:snapToGrid w:val="0"/>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唐财预【2023】6号疫情防控补助中央（直达）项目</w:t>
      </w:r>
      <w:r>
        <w:rPr>
          <w:rFonts w:hint="eastAsia" w:ascii="仿宋_GB2312" w:hAnsi="仿宋_GB2312" w:eastAsia="仿宋_GB2312" w:cs="仿宋_GB2312"/>
          <w:sz w:val="32"/>
          <w:szCs w:val="32"/>
        </w:rPr>
        <w:t>绩效自评情况：根据年初设定的绩效目标，</w:t>
      </w:r>
      <w:r>
        <w:rPr>
          <w:rFonts w:hint="eastAsia" w:ascii="仿宋_GB2312" w:hAnsi="仿宋_GB2312" w:eastAsia="仿宋_GB2312" w:cs="仿宋_GB2312"/>
          <w:sz w:val="32"/>
          <w:szCs w:val="32"/>
          <w:lang w:val="en-US" w:eastAsia="zh-CN"/>
        </w:rPr>
        <w:t>唐财预【2023】6号疫情防控补助中央（直达）项目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支付了新冠肺炎疫情防控时期产生的费用</w:t>
      </w:r>
      <w:r>
        <w:rPr>
          <w:rFonts w:hint="eastAsia" w:ascii="仿宋_GB2312" w:hAnsi="仿宋_GB2312" w:eastAsia="仿宋_GB2312" w:cs="仿宋_GB2312"/>
          <w:color w:val="auto"/>
          <w:sz w:val="32"/>
          <w:szCs w:val="32"/>
          <w:highlight w:val="none"/>
        </w:rPr>
        <w:t>。未发现问题。</w:t>
      </w:r>
    </w:p>
    <w:tbl>
      <w:tblPr>
        <w:tblStyle w:val="6"/>
        <w:tblpPr w:vertAnchor="text" w:tblpX="-14" w:tblpY="13"/>
        <w:tblW w:w="9080" w:type="dxa"/>
        <w:tblInd w:w="0" w:type="dxa"/>
        <w:tblLayout w:type="fixed"/>
        <w:tblCellMar>
          <w:top w:w="0" w:type="dxa"/>
          <w:left w:w="0" w:type="dxa"/>
          <w:bottom w:w="0" w:type="dxa"/>
          <w:right w:w="0" w:type="dxa"/>
        </w:tblCellMar>
      </w:tblPr>
      <w:tblGrid>
        <w:gridCol w:w="588"/>
        <w:gridCol w:w="980"/>
        <w:gridCol w:w="941"/>
        <w:gridCol w:w="901"/>
        <w:gridCol w:w="1134"/>
        <w:gridCol w:w="377"/>
        <w:gridCol w:w="870"/>
        <w:gridCol w:w="945"/>
        <w:gridCol w:w="495"/>
        <w:gridCol w:w="290"/>
        <w:gridCol w:w="256"/>
        <w:gridCol w:w="595"/>
        <w:gridCol w:w="708"/>
      </w:tblGrid>
      <w:tr>
        <w:tblPrEx>
          <w:tblCellMar>
            <w:top w:w="0" w:type="dxa"/>
            <w:left w:w="0" w:type="dxa"/>
            <w:bottom w:w="0" w:type="dxa"/>
            <w:right w:w="0" w:type="dxa"/>
          </w:tblCellMar>
        </w:tblPrEx>
        <w:trPr>
          <w:trHeight w:val="454" w:hRule="exact"/>
        </w:trPr>
        <w:tc>
          <w:tcPr>
            <w:tcW w:w="9080" w:type="dxa"/>
            <w:gridSpan w:val="13"/>
            <w:tcBorders>
              <w:top w:val="nil"/>
              <w:left w:val="nil"/>
              <w:bottom w:val="nil"/>
              <w:right w:val="nil"/>
            </w:tcBorders>
            <w:tcMar>
              <w:left w:w="108" w:type="dxa"/>
              <w:right w:w="108" w:type="dxa"/>
            </w:tcMar>
            <w:vAlign w:val="center"/>
          </w:tcPr>
          <w:p>
            <w:pPr>
              <w:spacing w:line="320" w:lineRule="exact"/>
              <w:jc w:val="center"/>
              <w:rPr>
                <w:rFonts w:ascii="宋体"/>
                <w:b/>
              </w:rPr>
            </w:pPr>
            <w:r>
              <w:rPr>
                <w:rFonts w:hint="eastAsia" w:ascii="宋体"/>
                <w:b/>
                <w:lang w:val="en-US" w:eastAsia="zh-CN"/>
              </w:rPr>
              <w:t>1</w:t>
            </w:r>
            <w:r>
              <w:rPr>
                <w:rFonts w:ascii="宋体"/>
                <w:b/>
              </w:rPr>
              <w:t>项目支出绩效自评表</w:t>
            </w:r>
          </w:p>
        </w:tc>
      </w:tr>
      <w:tr>
        <w:tblPrEx>
          <w:tblCellMar>
            <w:top w:w="0" w:type="dxa"/>
            <w:left w:w="0" w:type="dxa"/>
            <w:bottom w:w="0" w:type="dxa"/>
            <w:right w:w="0" w:type="dxa"/>
          </w:tblCellMar>
        </w:tblPrEx>
        <w:trPr>
          <w:trHeight w:val="201" w:hRule="atLeast"/>
        </w:trPr>
        <w:tc>
          <w:tcPr>
            <w:tcW w:w="9080" w:type="dxa"/>
            <w:gridSpan w:val="13"/>
            <w:tcBorders>
              <w:top w:val="nil"/>
              <w:left w:val="nil"/>
              <w:bottom w:val="nil"/>
              <w:right w:val="nil"/>
            </w:tcBorders>
            <w:tcMar>
              <w:left w:w="108" w:type="dxa"/>
              <w:right w:w="108" w:type="dxa"/>
            </w:tcMar>
          </w:tcPr>
          <w:p>
            <w:pPr>
              <w:jc w:val="center"/>
              <w:rPr>
                <w:rFonts w:ascii="宋体"/>
                <w:sz w:val="22"/>
                <w:szCs w:val="22"/>
              </w:rPr>
            </w:pPr>
            <w:r>
              <w:rPr>
                <w:rFonts w:ascii="宋体"/>
                <w:sz w:val="22"/>
                <w:szCs w:val="22"/>
              </w:rPr>
              <w:t>（202</w:t>
            </w:r>
            <w:r>
              <w:rPr>
                <w:rFonts w:hint="eastAsia" w:ascii="宋体"/>
                <w:sz w:val="22"/>
                <w:szCs w:val="22"/>
                <w:lang w:val="en-US" w:eastAsia="zh-CN"/>
              </w:rPr>
              <w:t>3</w:t>
            </w:r>
            <w:r>
              <w:rPr>
                <w:rFonts w:ascii="宋体"/>
                <w:sz w:val="22"/>
                <w:szCs w:val="22"/>
              </w:rPr>
              <w:t>年度）</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项目名称</w:t>
            </w:r>
          </w:p>
        </w:tc>
        <w:tc>
          <w:tcPr>
            <w:tcW w:w="7512" w:type="dxa"/>
            <w:gridSpan w:val="11"/>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唐财预【2023】6号疫情防控补助中央（直达）</w:t>
            </w:r>
          </w:p>
        </w:tc>
      </w:tr>
      <w:tr>
        <w:tblPrEx>
          <w:tblCellMar>
            <w:top w:w="0" w:type="dxa"/>
            <w:left w:w="0" w:type="dxa"/>
            <w:bottom w:w="0" w:type="dxa"/>
            <w:right w:w="0"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主管部门</w:t>
            </w:r>
          </w:p>
        </w:tc>
        <w:tc>
          <w:tcPr>
            <w:tcW w:w="4223"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实施单位</w:t>
            </w:r>
          </w:p>
        </w:tc>
        <w:tc>
          <w:tcPr>
            <w:tcW w:w="2344" w:type="dxa"/>
            <w:gridSpan w:val="5"/>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唐山市开平区交通运输局</w:t>
            </w:r>
          </w:p>
        </w:tc>
      </w:tr>
      <w:tr>
        <w:tblPrEx>
          <w:tblCellMar>
            <w:top w:w="0" w:type="dxa"/>
            <w:left w:w="0" w:type="dxa"/>
            <w:bottom w:w="0" w:type="dxa"/>
            <w:right w:w="0"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项目资金</w:t>
            </w:r>
            <w:r>
              <w:rPr>
                <w:rFonts w:ascii="宋体"/>
                <w:sz w:val="18"/>
                <w:szCs w:val="18"/>
              </w:rPr>
              <w:br w:type="textWrapping" w:clear="all"/>
            </w:r>
            <w:r>
              <w:rPr>
                <w:rFonts w:ascii="宋体"/>
                <w:sz w:val="18"/>
                <w:szCs w:val="18"/>
              </w:rPr>
              <w:t>（万元）</w:t>
            </w: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年初预算数</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全年预算数</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全年执行数</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执行率</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rPr>
                <w:rFonts w:ascii="宋体"/>
                <w:sz w:val="18"/>
                <w:szCs w:val="18"/>
              </w:rPr>
            </w:pPr>
            <w:r>
              <w:rPr>
                <w:rFonts w:ascii="宋体"/>
                <w:sz w:val="18"/>
                <w:szCs w:val="18"/>
              </w:rPr>
              <w:t>年度资金总额</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其中：当年财政拨款</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w:t>
            </w: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上年结转资金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842"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 xml:space="preserve">  其他资金</w:t>
            </w:r>
          </w:p>
        </w:tc>
        <w:tc>
          <w:tcPr>
            <w:tcW w:w="1134"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247"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85"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c>
          <w:tcPr>
            <w:tcW w:w="851"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708"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w:t>
            </w:r>
          </w:p>
        </w:tc>
      </w:tr>
      <w:tr>
        <w:tblPrEx>
          <w:tblCellMar>
            <w:top w:w="0" w:type="dxa"/>
            <w:left w:w="0" w:type="dxa"/>
            <w:bottom w:w="0" w:type="dxa"/>
            <w:right w:w="0"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年度总体目标</w:t>
            </w: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预期目标</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实际完成情况</w:t>
            </w:r>
          </w:p>
        </w:tc>
      </w:tr>
      <w:tr>
        <w:tblPrEx>
          <w:tblCellMar>
            <w:top w:w="0" w:type="dxa"/>
            <w:left w:w="0" w:type="dxa"/>
            <w:bottom w:w="0" w:type="dxa"/>
            <w:right w:w="0"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5203"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用于新冠肺炎疫情防控费用。</w:t>
            </w:r>
          </w:p>
        </w:tc>
        <w:tc>
          <w:tcPr>
            <w:tcW w:w="3289" w:type="dxa"/>
            <w:gridSpan w:val="6"/>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及时支付了新冠肺炎疫情防控期间各种费用。</w:t>
            </w:r>
          </w:p>
        </w:tc>
      </w:tr>
      <w:tr>
        <w:tblPrEx>
          <w:tblCellMar>
            <w:top w:w="0" w:type="dxa"/>
            <w:left w:w="0" w:type="dxa"/>
            <w:bottom w:w="0" w:type="dxa"/>
            <w:right w:w="0"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绩</w:t>
            </w:r>
            <w:r>
              <w:rPr>
                <w:rFonts w:ascii="宋体"/>
                <w:sz w:val="18"/>
                <w:szCs w:val="18"/>
              </w:rPr>
              <w:br w:type="textWrapping" w:clear="all"/>
            </w:r>
            <w:r>
              <w:rPr>
                <w:rFonts w:ascii="宋体"/>
                <w:sz w:val="18"/>
                <w:szCs w:val="18"/>
              </w:rPr>
              <w:t>效</w:t>
            </w:r>
            <w:r>
              <w:rPr>
                <w:rFonts w:ascii="宋体"/>
                <w:sz w:val="18"/>
                <w:szCs w:val="18"/>
              </w:rPr>
              <w:br w:type="textWrapping" w:clear="all"/>
            </w:r>
            <w:r>
              <w:rPr>
                <w:rFonts w:ascii="宋体"/>
                <w:sz w:val="18"/>
                <w:szCs w:val="18"/>
              </w:rPr>
              <w:t>指</w:t>
            </w:r>
            <w:r>
              <w:rPr>
                <w:rFonts w:ascii="宋体"/>
                <w:sz w:val="18"/>
                <w:szCs w:val="18"/>
              </w:rPr>
              <w:br w:type="textWrapping" w:clear="all"/>
            </w:r>
            <w:r>
              <w:rPr>
                <w:rFonts w:ascii="宋体"/>
                <w:sz w:val="18"/>
                <w:szCs w:val="18"/>
              </w:rPr>
              <w:t>标</w:t>
            </w:r>
          </w:p>
        </w:tc>
        <w:tc>
          <w:tcPr>
            <w:tcW w:w="98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一级指标</w:t>
            </w:r>
          </w:p>
        </w:tc>
        <w:tc>
          <w:tcPr>
            <w:tcW w:w="941"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二级指标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三级指标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年度指标值</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实际完成值</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分值</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得分</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偏差原因分析及改进措施</w:t>
            </w: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产出指标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数量指标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疫情防控点数量</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2个</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sz w:val="18"/>
                <w:szCs w:val="18"/>
                <w:lang w:val="en-US"/>
              </w:rPr>
            </w:pPr>
            <w:r>
              <w:rPr>
                <w:rFonts w:hint="eastAsia" w:ascii="宋体"/>
                <w:sz w:val="18"/>
                <w:szCs w:val="18"/>
                <w:lang w:val="en-US" w:eastAsia="zh-CN"/>
              </w:rPr>
              <w:t>2个</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93"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质量指标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突发公共卫生事件应急任务完成率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29"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6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时效指标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防控执勤及时率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w:t>
            </w:r>
            <w:r>
              <w:rPr>
                <w:rFonts w:ascii="宋体"/>
                <w:sz w:val="18"/>
                <w:szCs w:val="18"/>
              </w:rPr>
              <w:t>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w:t>
            </w:r>
            <w:r>
              <w:rPr>
                <w:rFonts w:ascii="宋体"/>
                <w:sz w:val="18"/>
                <w:szCs w:val="18"/>
              </w:rPr>
              <w:t>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成本指标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资金成本</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147万元</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147万元</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47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效益指标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经济效益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业务保障能力提升情况</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明显</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提升</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明显</w:t>
            </w:r>
          </w:p>
          <w:p>
            <w:pPr>
              <w:spacing w:line="240" w:lineRule="exact"/>
              <w:jc w:val="center"/>
              <w:rPr>
                <w:rFonts w:ascii="宋体"/>
                <w:sz w:val="18"/>
                <w:szCs w:val="18"/>
              </w:rPr>
            </w:pPr>
            <w:r>
              <w:rPr>
                <w:rFonts w:hint="eastAsia" w:ascii="宋体"/>
                <w:sz w:val="18"/>
                <w:szCs w:val="18"/>
                <w:lang w:val="en-US" w:eastAsia="zh-CN"/>
              </w:rPr>
              <w:t>提升</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76"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社会效益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疫情防控点检查完成率</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hint="eastAsia" w:ascii="宋体"/>
                <w:sz w:val="18"/>
                <w:szCs w:val="18"/>
                <w:lang w:val="en-US" w:eastAsia="zh-CN"/>
              </w:rPr>
              <w:t>100</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15"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80" w:hRule="atLeas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both"/>
              <w:rPr>
                <w:rFonts w:ascii="宋体"/>
                <w:color w:val="000000"/>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after="160" w:line="240" w:lineRule="exact"/>
              <w:jc w:val="center"/>
              <w:rPr>
                <w:rFonts w:ascii="宋体"/>
                <w:color w:val="000000"/>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r>
      <w:tr>
        <w:tblPrEx>
          <w:tblCellMar>
            <w:top w:w="0" w:type="dxa"/>
            <w:left w:w="0" w:type="dxa"/>
            <w:bottom w:w="0" w:type="dxa"/>
            <w:right w:w="0" w:type="dxa"/>
          </w:tblCellMar>
        </w:tblPrEx>
        <w:trPr>
          <w:trHeight w:val="535"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生态效益</w:t>
            </w:r>
          </w:p>
          <w:p>
            <w:pPr>
              <w:spacing w:line="240" w:lineRule="exact"/>
              <w:jc w:val="center"/>
              <w:rPr>
                <w:rFonts w:ascii="宋体"/>
                <w:sz w:val="18"/>
                <w:szCs w:val="18"/>
              </w:rPr>
            </w:pPr>
            <w:r>
              <w:rPr>
                <w:rFonts w:ascii="宋体"/>
                <w:sz w:val="18"/>
                <w:szCs w:val="18"/>
              </w:rPr>
              <w:t>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疫情防控点周围生态环境</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提升</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ascii="宋体"/>
                <w:sz w:val="18"/>
                <w:szCs w:val="18"/>
              </w:rPr>
            </w:pPr>
            <w:r>
              <w:rPr>
                <w:rFonts w:hint="eastAsia" w:ascii="宋体"/>
                <w:sz w:val="18"/>
                <w:szCs w:val="18"/>
                <w:lang w:val="en-US" w:eastAsia="zh-CN"/>
              </w:rPr>
              <w:t>提升</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52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可持续影响指标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hint="default" w:ascii="宋体" w:eastAsia="宋体"/>
                <w:color w:val="000000"/>
                <w:sz w:val="18"/>
                <w:szCs w:val="18"/>
                <w:lang w:val="en-US" w:eastAsia="zh-CN"/>
              </w:rPr>
            </w:pPr>
            <w:r>
              <w:rPr>
                <w:rFonts w:hint="eastAsia" w:ascii="宋体"/>
                <w:color w:val="000000"/>
                <w:sz w:val="18"/>
                <w:szCs w:val="18"/>
                <w:lang w:val="en-US" w:eastAsia="zh-CN"/>
              </w:rPr>
              <w:t>可持续性服务</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hint="default" w:ascii="宋体" w:eastAsia="宋体"/>
                <w:sz w:val="18"/>
                <w:szCs w:val="18"/>
                <w:lang w:val="en-US" w:eastAsia="zh-CN"/>
              </w:rPr>
            </w:pPr>
            <w:r>
              <w:rPr>
                <w:rFonts w:hint="eastAsia" w:ascii="宋体"/>
                <w:sz w:val="18"/>
                <w:szCs w:val="18"/>
                <w:lang w:val="en-US" w:eastAsia="zh-CN"/>
              </w:rPr>
              <w:t>增强</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eastAsia" w:ascii="宋体"/>
                <w:sz w:val="18"/>
                <w:szCs w:val="18"/>
                <w:lang w:val="en-US" w:eastAsia="zh-CN"/>
              </w:rPr>
            </w:pPr>
            <w:r>
              <w:rPr>
                <w:rFonts w:hint="eastAsia" w:ascii="宋体"/>
                <w:sz w:val="18"/>
                <w:szCs w:val="18"/>
                <w:lang w:val="en-US" w:eastAsia="zh-CN"/>
              </w:rPr>
              <w:t>显著</w:t>
            </w:r>
          </w:p>
          <w:p>
            <w:pPr>
              <w:spacing w:line="240" w:lineRule="exact"/>
              <w:jc w:val="center"/>
              <w:rPr>
                <w:rFonts w:ascii="宋体"/>
                <w:sz w:val="18"/>
                <w:szCs w:val="18"/>
              </w:rPr>
            </w:pPr>
            <w:r>
              <w:rPr>
                <w:rFonts w:hint="eastAsia" w:ascii="宋体"/>
                <w:sz w:val="18"/>
                <w:szCs w:val="18"/>
                <w:lang w:val="en-US" w:eastAsia="zh-CN"/>
              </w:rPr>
              <w:t>增强</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满意度</w:t>
            </w:r>
          </w:p>
          <w:p>
            <w:pPr>
              <w:spacing w:line="240" w:lineRule="exact"/>
              <w:jc w:val="center"/>
              <w:rPr>
                <w:rFonts w:ascii="宋体"/>
                <w:sz w:val="18"/>
                <w:szCs w:val="18"/>
              </w:rPr>
            </w:pPr>
            <w:r>
              <w:rPr>
                <w:rFonts w:ascii="宋体"/>
                <w:sz w:val="18"/>
                <w:szCs w:val="18"/>
              </w:rPr>
              <w:t>指标</w:t>
            </w:r>
          </w:p>
        </w:tc>
        <w:tc>
          <w:tcPr>
            <w:tcW w:w="941" w:type="dxa"/>
            <w:vMerge w:val="restart"/>
            <w:tcBorders>
              <w:top w:val="nil"/>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服务对象满意度指标</w:t>
            </w: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r>
              <w:rPr>
                <w:rFonts w:hint="eastAsia" w:ascii="宋体"/>
                <w:color w:val="000000"/>
                <w:sz w:val="18"/>
                <w:szCs w:val="18"/>
                <w:lang w:val="en-US" w:eastAsia="zh-CN"/>
              </w:rPr>
              <w:t>服务对象</w:t>
            </w:r>
            <w:r>
              <w:rPr>
                <w:rFonts w:ascii="宋体"/>
                <w:color w:val="000000"/>
                <w:sz w:val="18"/>
                <w:szCs w:val="18"/>
              </w:rPr>
              <w:t>满意度</w:t>
            </w: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≥8</w:t>
            </w:r>
            <w:r>
              <w:rPr>
                <w:rFonts w:hint="eastAsia" w:ascii="宋体"/>
                <w:sz w:val="18"/>
                <w:szCs w:val="18"/>
                <w:lang w:val="en-US" w:eastAsia="zh-CN"/>
              </w:rPr>
              <w:t>5</w:t>
            </w:r>
            <w:r>
              <w:rPr>
                <w:rFonts w:ascii="宋体"/>
                <w:sz w:val="18"/>
                <w:szCs w:val="18"/>
              </w:rPr>
              <w:t>%</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r>
              <w:rPr>
                <w:rFonts w:ascii="宋体"/>
                <w:sz w:val="18"/>
                <w:szCs w:val="18"/>
              </w:rPr>
              <w:t>10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300" w:hRule="exact"/>
        </w:trPr>
        <w:tc>
          <w:tcPr>
            <w:tcW w:w="588" w:type="dxa"/>
            <w:vMerge w:val="continue"/>
            <w:tcBorders>
              <w:top w:val="nil"/>
              <w:left w:val="single" w:color="auto" w:sz="4" w:space="0"/>
              <w:bottom w:val="single" w:color="auto" w:sz="4" w:space="0"/>
              <w:right w:val="single" w:color="auto" w:sz="4" w:space="0"/>
            </w:tcBorders>
            <w:vAlign w:val="center"/>
          </w:tcPr>
          <w:p/>
        </w:tc>
        <w:tc>
          <w:tcPr>
            <w:tcW w:w="980" w:type="dxa"/>
            <w:vMerge w:val="continue"/>
            <w:tcBorders>
              <w:top w:val="nil"/>
              <w:left w:val="single" w:color="auto" w:sz="4" w:space="0"/>
              <w:bottom w:val="single" w:color="auto" w:sz="4" w:space="0"/>
              <w:right w:val="single" w:color="auto" w:sz="4" w:space="0"/>
            </w:tcBorders>
            <w:vAlign w:val="center"/>
          </w:tcPr>
          <w:p/>
        </w:tc>
        <w:tc>
          <w:tcPr>
            <w:tcW w:w="941" w:type="dxa"/>
            <w:vMerge w:val="continue"/>
            <w:tcBorders>
              <w:top w:val="nil"/>
              <w:left w:val="single" w:color="auto" w:sz="4" w:space="0"/>
              <w:bottom w:val="single" w:color="auto" w:sz="4" w:space="0"/>
              <w:right w:val="single" w:color="auto" w:sz="4" w:space="0"/>
            </w:tcBorders>
            <w:vAlign w:val="center"/>
          </w:tcPr>
          <w:p/>
        </w:tc>
        <w:tc>
          <w:tcPr>
            <w:tcW w:w="2412" w:type="dxa"/>
            <w:gridSpan w:val="3"/>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left"/>
              <w:rPr>
                <w:rFonts w:ascii="宋体"/>
                <w:color w:val="000000"/>
                <w:sz w:val="18"/>
                <w:szCs w:val="18"/>
              </w:rPr>
            </w:pPr>
          </w:p>
        </w:tc>
        <w:tc>
          <w:tcPr>
            <w:tcW w:w="870"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94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r>
        <w:tblPrEx>
          <w:tblCellMar>
            <w:top w:w="0" w:type="dxa"/>
            <w:left w:w="0" w:type="dxa"/>
            <w:bottom w:w="0" w:type="dxa"/>
            <w:right w:w="0" w:type="dxa"/>
          </w:tblCellMar>
        </w:tblPrEx>
        <w:trPr>
          <w:trHeight w:val="276" w:hRule="atLeast"/>
        </w:trPr>
        <w:tc>
          <w:tcPr>
            <w:tcW w:w="6736" w:type="dxa"/>
            <w:gridSpan w:val="8"/>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40" w:lineRule="exact"/>
              <w:jc w:val="center"/>
              <w:rPr>
                <w:rFonts w:ascii="宋体"/>
                <w:color w:val="000000"/>
                <w:sz w:val="18"/>
                <w:szCs w:val="18"/>
              </w:rPr>
            </w:pPr>
            <w:r>
              <w:rPr>
                <w:rFonts w:ascii="宋体"/>
                <w:color w:val="000000"/>
                <w:sz w:val="18"/>
                <w:szCs w:val="18"/>
              </w:rPr>
              <w:t>总分</w:t>
            </w:r>
          </w:p>
        </w:tc>
        <w:tc>
          <w:tcPr>
            <w:tcW w:w="495" w:type="dxa"/>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546" w:type="dxa"/>
            <w:gridSpan w:val="2"/>
            <w:tcBorders>
              <w:top w:val="nil"/>
              <w:left w:val="nil"/>
              <w:bottom w:val="single" w:color="auto" w:sz="4" w:space="0"/>
              <w:right w:val="single" w:color="auto" w:sz="4" w:space="0"/>
            </w:tcBorders>
            <w:tcMar>
              <w:left w:w="108" w:type="dxa"/>
              <w:right w:w="108" w:type="dxa"/>
            </w:tcMar>
            <w:vAlign w:val="center"/>
          </w:tcPr>
          <w:p>
            <w:pPr>
              <w:spacing w:line="240" w:lineRule="exact"/>
              <w:jc w:val="center"/>
              <w:rPr>
                <w:rFonts w:hint="default" w:ascii="宋体" w:eastAsia="宋体"/>
                <w:color w:val="000000"/>
                <w:sz w:val="18"/>
                <w:szCs w:val="18"/>
                <w:lang w:val="en-US" w:eastAsia="zh-CN"/>
              </w:rPr>
            </w:pPr>
            <w:r>
              <w:rPr>
                <w:rFonts w:hint="eastAsia" w:ascii="宋体"/>
                <w:color w:val="000000"/>
                <w:sz w:val="18"/>
                <w:szCs w:val="18"/>
                <w:lang w:val="en-US" w:eastAsia="zh-CN"/>
              </w:rPr>
              <w:t>100</w:t>
            </w:r>
          </w:p>
        </w:tc>
        <w:tc>
          <w:tcPr>
            <w:tcW w:w="1303" w:type="dxa"/>
            <w:gridSpan w:val="2"/>
            <w:tcBorders>
              <w:top w:val="single" w:color="auto" w:sz="4" w:space="0"/>
              <w:left w:val="nil"/>
              <w:bottom w:val="single" w:color="auto" w:sz="4" w:space="0"/>
              <w:right w:val="single" w:color="auto" w:sz="4" w:space="0"/>
            </w:tcBorders>
            <w:tcMar>
              <w:left w:w="108" w:type="dxa"/>
              <w:right w:w="108" w:type="dxa"/>
            </w:tcMar>
            <w:vAlign w:val="center"/>
          </w:tcPr>
          <w:p>
            <w:pPr>
              <w:spacing w:line="240" w:lineRule="exact"/>
              <w:jc w:val="center"/>
              <w:rPr>
                <w:rFonts w:ascii="宋体"/>
                <w:sz w:val="18"/>
                <w:szCs w:val="18"/>
              </w:rPr>
            </w:pPr>
          </w:p>
        </w:tc>
      </w:tr>
    </w:tbl>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（三）部门评价项目绩效评价结果（如有）</w:t>
      </w:r>
    </w:p>
    <w:tbl>
      <w:tblPr>
        <w:tblStyle w:val="7"/>
        <w:tblW w:w="9615"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4770"/>
        <w:gridCol w:w="930"/>
        <w:gridCol w:w="139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09" w:type="dxa"/>
          </w:tcPr>
          <w:p>
            <w:pPr>
              <w:jc w:val="center"/>
              <w:rPr>
                <w:rFonts w:hint="eastAsia" w:ascii="仿宋" w:hAnsi="仿宋" w:eastAsia="仿宋" w:cs="仿宋"/>
                <w:sz w:val="32"/>
                <w:szCs w:val="32"/>
              </w:rPr>
            </w:pPr>
            <w:bookmarkStart w:id="0" w:name="_Hlk74149635"/>
            <w:r>
              <w:rPr>
                <w:rFonts w:hint="eastAsia" w:ascii="仿宋" w:hAnsi="仿宋" w:eastAsia="仿宋" w:cs="仿宋"/>
                <w:sz w:val="32"/>
                <w:szCs w:val="32"/>
              </w:rPr>
              <w:t>序号</w:t>
            </w:r>
          </w:p>
        </w:tc>
        <w:tc>
          <w:tcPr>
            <w:tcW w:w="4770" w:type="dxa"/>
          </w:tcPr>
          <w:p>
            <w:pPr>
              <w:jc w:val="center"/>
              <w:rPr>
                <w:rFonts w:hint="eastAsia" w:ascii="仿宋" w:hAnsi="仿宋" w:eastAsia="仿宋" w:cs="仿宋"/>
                <w:sz w:val="32"/>
                <w:szCs w:val="32"/>
              </w:rPr>
            </w:pPr>
            <w:r>
              <w:rPr>
                <w:rFonts w:hint="eastAsia" w:ascii="仿宋" w:hAnsi="仿宋" w:eastAsia="仿宋" w:cs="仿宋"/>
                <w:sz w:val="32"/>
                <w:szCs w:val="32"/>
              </w:rPr>
              <w:t>项目</w:t>
            </w:r>
          </w:p>
        </w:tc>
        <w:tc>
          <w:tcPr>
            <w:tcW w:w="930" w:type="dxa"/>
          </w:tcPr>
          <w:p>
            <w:pPr>
              <w:jc w:val="center"/>
              <w:rPr>
                <w:rFonts w:hint="eastAsia" w:ascii="仿宋" w:hAnsi="仿宋" w:eastAsia="仿宋" w:cs="仿宋"/>
                <w:sz w:val="32"/>
                <w:szCs w:val="32"/>
              </w:rPr>
            </w:pPr>
            <w:r>
              <w:rPr>
                <w:rFonts w:hint="eastAsia" w:ascii="仿宋" w:hAnsi="仿宋" w:eastAsia="仿宋" w:cs="仿宋"/>
                <w:sz w:val="32"/>
                <w:szCs w:val="32"/>
              </w:rPr>
              <w:t>得分</w:t>
            </w:r>
          </w:p>
        </w:tc>
        <w:tc>
          <w:tcPr>
            <w:tcW w:w="1395" w:type="dxa"/>
          </w:tcPr>
          <w:p>
            <w:pPr>
              <w:jc w:val="center"/>
              <w:rPr>
                <w:rFonts w:hint="eastAsia" w:ascii="仿宋" w:hAnsi="仿宋" w:eastAsia="仿宋" w:cs="仿宋"/>
                <w:sz w:val="32"/>
                <w:szCs w:val="32"/>
              </w:rPr>
            </w:pPr>
            <w:r>
              <w:rPr>
                <w:rFonts w:hint="eastAsia" w:ascii="仿宋" w:hAnsi="仿宋" w:eastAsia="仿宋" w:cs="仿宋"/>
                <w:sz w:val="32"/>
                <w:szCs w:val="32"/>
              </w:rPr>
              <w:t>评价等级</w:t>
            </w:r>
          </w:p>
        </w:tc>
        <w:tc>
          <w:tcPr>
            <w:tcW w:w="1611" w:type="dxa"/>
          </w:tcPr>
          <w:p>
            <w:pPr>
              <w:jc w:val="center"/>
              <w:rPr>
                <w:rFonts w:hint="eastAsia" w:ascii="仿宋" w:hAnsi="仿宋" w:eastAsia="仿宋" w:cs="仿宋"/>
                <w:sz w:val="32"/>
                <w:szCs w:val="32"/>
              </w:rPr>
            </w:pPr>
            <w:r>
              <w:rPr>
                <w:rFonts w:hint="eastAsia" w:ascii="仿宋" w:hAnsi="仿宋" w:eastAsia="仿宋" w:cs="仿宋"/>
                <w:sz w:val="32"/>
                <w:szCs w:val="32"/>
              </w:rPr>
              <w:t>主要扣分原因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9" w:type="dxa"/>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4770" w:type="dxa"/>
          </w:tcPr>
          <w:p>
            <w:pPr>
              <w:numPr>
                <w:ilvl w:val="0"/>
                <w:numId w:val="0"/>
              </w:numPr>
              <w:jc w:val="both"/>
              <w:rPr>
                <w:rFonts w:hint="eastAsia" w:ascii="仿宋" w:hAnsi="仿宋" w:eastAsia="仿宋" w:cs="仿宋"/>
                <w:sz w:val="28"/>
                <w:szCs w:val="28"/>
              </w:rPr>
            </w:pPr>
            <w:r>
              <w:rPr>
                <w:rFonts w:hint="eastAsia" w:ascii="仿宋" w:hAnsi="仿宋" w:eastAsia="仿宋" w:cs="仿宋"/>
                <w:kern w:val="0"/>
                <w:sz w:val="32"/>
                <w:szCs w:val="32"/>
                <w:lang w:val="en-US" w:eastAsia="zh-CN"/>
              </w:rPr>
              <w:t>本级</w:t>
            </w:r>
            <w:r>
              <w:rPr>
                <w:rFonts w:hint="eastAsia" w:ascii="仿宋" w:hAnsi="仿宋" w:eastAsia="仿宋" w:cs="仿宋"/>
                <w:kern w:val="0"/>
                <w:sz w:val="32"/>
                <w:szCs w:val="32"/>
              </w:rPr>
              <w:t>集中管养道路养护经费项目</w:t>
            </w:r>
          </w:p>
        </w:tc>
        <w:tc>
          <w:tcPr>
            <w:tcW w:w="930" w:type="dxa"/>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本级疫情防控工作经费项目</w:t>
            </w:r>
          </w:p>
        </w:tc>
        <w:tc>
          <w:tcPr>
            <w:tcW w:w="930" w:type="dxa"/>
            <w:vAlign w:val="top"/>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本级新建、续建农村公路改造提升、养护工程</w:t>
            </w:r>
            <w:r>
              <w:rPr>
                <w:rFonts w:hint="eastAsia" w:ascii="仿宋" w:hAnsi="仿宋" w:eastAsia="仿宋" w:cs="仿宋"/>
                <w:kern w:val="0"/>
                <w:sz w:val="32"/>
                <w:szCs w:val="32"/>
              </w:rPr>
              <w:t>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本级国防工役制</w:t>
            </w:r>
            <w:r>
              <w:rPr>
                <w:rFonts w:hint="eastAsia" w:ascii="仿宋" w:hAnsi="仿宋" w:eastAsia="仿宋" w:cs="仿宋"/>
                <w:sz w:val="32"/>
                <w:szCs w:val="32"/>
                <w:lang w:val="en-US" w:eastAsia="zh-CN"/>
              </w:rPr>
              <w:t>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2023年农村公路日常养护市级补助资金</w:t>
            </w:r>
            <w:r>
              <w:rPr>
                <w:rFonts w:hint="eastAsia" w:ascii="仿宋" w:hAnsi="仿宋" w:eastAsia="仿宋" w:cs="仿宋"/>
                <w:kern w:val="0"/>
                <w:sz w:val="32"/>
                <w:szCs w:val="32"/>
              </w:rPr>
              <w:t>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本级行政处罚停车场租金</w:t>
            </w:r>
            <w:r>
              <w:rPr>
                <w:rFonts w:hint="eastAsia" w:ascii="仿宋" w:hAnsi="仿宋" w:eastAsia="仿宋" w:cs="仿宋"/>
                <w:kern w:val="0"/>
                <w:sz w:val="32"/>
                <w:szCs w:val="32"/>
              </w:rPr>
              <w:t>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采煤沉陷区避险搬迁配套道路开凤路工程项目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马北路大修项目（含园区一号路）</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本级农村公路日常养护补助项目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本级农村公路集中管养费用项目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唐财预【2023】6号疫情防控补助中央（直达）项目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4770" w:type="dxa"/>
          </w:tcPr>
          <w:p>
            <w:pPr>
              <w:numPr>
                <w:ilvl w:val="0"/>
                <w:numId w:val="0"/>
              </w:num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唐财建【2023】56号中央下达2023年重点地区转移发展专项（资源型地区转型发展方向）第一批中央基建投资预算（唐山市开平欧采煤沉陷区避险搬迁配套道路开凤路工程）项目</w:t>
            </w:r>
          </w:p>
        </w:tc>
        <w:tc>
          <w:tcPr>
            <w:tcW w:w="9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00</w:t>
            </w:r>
          </w:p>
        </w:tc>
        <w:tc>
          <w:tcPr>
            <w:tcW w:w="1395"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优</w:t>
            </w:r>
          </w:p>
        </w:tc>
        <w:tc>
          <w:tcPr>
            <w:tcW w:w="1611" w:type="dxa"/>
          </w:tcPr>
          <w:p>
            <w:pPr>
              <w:jc w:val="center"/>
              <w:rPr>
                <w:rFonts w:hint="eastAsia" w:ascii="仿宋" w:hAnsi="仿宋" w:eastAsia="仿宋" w:cs="仿宋"/>
                <w:sz w:val="32"/>
                <w:szCs w:val="32"/>
              </w:rPr>
            </w:pPr>
          </w:p>
        </w:tc>
      </w:tr>
      <w:bookmarkEnd w:id="0"/>
    </w:tbl>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w:t>
      </w:r>
      <w:r>
        <w:rPr>
          <w:rFonts w:hint="eastAsia" w:ascii="仿宋_GB2312" w:hAnsi="Times New Roman" w:eastAsia="仿宋_GB2312" w:cs="DengXian-Regular"/>
          <w:sz w:val="32"/>
          <w:szCs w:val="32"/>
          <w:lang w:val="en-US" w:eastAsia="zh-CN"/>
        </w:rPr>
        <w:t>未发生国有资本经营预算财政拨款</w:t>
      </w:r>
      <w:r>
        <w:rPr>
          <w:rFonts w:hint="eastAsia" w:ascii="仿宋_GB2312" w:hAnsi="Times New Roman" w:eastAsia="仿宋_GB2312" w:cs="DengXian-Regular"/>
          <w:sz w:val="32"/>
          <w:szCs w:val="32"/>
        </w:rPr>
        <w:t>收支及结转结余情况，故</w:t>
      </w:r>
      <w:r>
        <w:rPr>
          <w:rFonts w:hint="eastAsia" w:ascii="仿宋_GB2312" w:hAnsi="Times New Roman" w:eastAsia="仿宋_GB2312" w:cs="DengXian-Regular"/>
          <w:sz w:val="32"/>
          <w:szCs w:val="32"/>
          <w:lang w:val="en-US" w:eastAsia="zh-CN"/>
        </w:rPr>
        <w:t>公开08</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4">
    <w:nsid w:val="5F222FFA"/>
    <w:multiLevelType w:val="singleLevel"/>
    <w:tmpl w:val="5F222FFA"/>
    <w:lvl w:ilvl="0" w:tentative="0">
      <w:start w:val="1"/>
      <w:numFmt w:val="decimal"/>
      <w:suff w:val="nothing"/>
      <w:lvlText w:val="（%1）"/>
      <w:lvlJc w:val="left"/>
      <w:pPr>
        <w:ind w:left="-1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C393A"/>
    <w:rsid w:val="00125965"/>
    <w:rsid w:val="00144CC5"/>
    <w:rsid w:val="00145063"/>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574D1A"/>
    <w:rsid w:val="018E53BB"/>
    <w:rsid w:val="01B752BF"/>
    <w:rsid w:val="01D37680"/>
    <w:rsid w:val="01E8624A"/>
    <w:rsid w:val="02177199"/>
    <w:rsid w:val="027C6E47"/>
    <w:rsid w:val="02F2691F"/>
    <w:rsid w:val="049E4F55"/>
    <w:rsid w:val="05273E55"/>
    <w:rsid w:val="05A857B6"/>
    <w:rsid w:val="06EB1AB6"/>
    <w:rsid w:val="078465B9"/>
    <w:rsid w:val="07B35B0B"/>
    <w:rsid w:val="07BA1F78"/>
    <w:rsid w:val="099D6B31"/>
    <w:rsid w:val="09FD66D9"/>
    <w:rsid w:val="0B253C9F"/>
    <w:rsid w:val="0B684ED3"/>
    <w:rsid w:val="0BBC33A4"/>
    <w:rsid w:val="0BC573AE"/>
    <w:rsid w:val="0D23658E"/>
    <w:rsid w:val="0DBC1C58"/>
    <w:rsid w:val="0F6C5D28"/>
    <w:rsid w:val="10527C25"/>
    <w:rsid w:val="10B242CF"/>
    <w:rsid w:val="10C6251D"/>
    <w:rsid w:val="111C6B37"/>
    <w:rsid w:val="11AD7330"/>
    <w:rsid w:val="11B2261E"/>
    <w:rsid w:val="11F4604E"/>
    <w:rsid w:val="136D16FB"/>
    <w:rsid w:val="139B0CCF"/>
    <w:rsid w:val="13AA21BF"/>
    <w:rsid w:val="141572AA"/>
    <w:rsid w:val="147A1021"/>
    <w:rsid w:val="14A2774D"/>
    <w:rsid w:val="14C4424E"/>
    <w:rsid w:val="15766279"/>
    <w:rsid w:val="15A94631"/>
    <w:rsid w:val="16AB7252"/>
    <w:rsid w:val="17494AB2"/>
    <w:rsid w:val="176505DA"/>
    <w:rsid w:val="19965667"/>
    <w:rsid w:val="19DE3575"/>
    <w:rsid w:val="1A3D2C72"/>
    <w:rsid w:val="1A995E1B"/>
    <w:rsid w:val="1AA67583"/>
    <w:rsid w:val="1AF311FF"/>
    <w:rsid w:val="1B590A7B"/>
    <w:rsid w:val="1C10105C"/>
    <w:rsid w:val="1CF04118"/>
    <w:rsid w:val="1E4560A4"/>
    <w:rsid w:val="1EAE2492"/>
    <w:rsid w:val="1F665B25"/>
    <w:rsid w:val="1F7F053F"/>
    <w:rsid w:val="1FEB700E"/>
    <w:rsid w:val="202E41CA"/>
    <w:rsid w:val="20DF7623"/>
    <w:rsid w:val="211A1938"/>
    <w:rsid w:val="216937C4"/>
    <w:rsid w:val="21CF0628"/>
    <w:rsid w:val="229041B6"/>
    <w:rsid w:val="22BF7322"/>
    <w:rsid w:val="243C5E94"/>
    <w:rsid w:val="24636E0C"/>
    <w:rsid w:val="2573037C"/>
    <w:rsid w:val="257C1CB8"/>
    <w:rsid w:val="267D75D7"/>
    <w:rsid w:val="28685719"/>
    <w:rsid w:val="298605CB"/>
    <w:rsid w:val="2A3A0FC1"/>
    <w:rsid w:val="2AB405DF"/>
    <w:rsid w:val="2B2A0DB9"/>
    <w:rsid w:val="2CEF036C"/>
    <w:rsid w:val="2D791F91"/>
    <w:rsid w:val="2D9A4B7E"/>
    <w:rsid w:val="2DD1621A"/>
    <w:rsid w:val="2DF54F95"/>
    <w:rsid w:val="300859EC"/>
    <w:rsid w:val="30A124B1"/>
    <w:rsid w:val="312E5C21"/>
    <w:rsid w:val="31561227"/>
    <w:rsid w:val="32483BB6"/>
    <w:rsid w:val="32A31C4C"/>
    <w:rsid w:val="32B53CA7"/>
    <w:rsid w:val="3305432A"/>
    <w:rsid w:val="33C10F76"/>
    <w:rsid w:val="33CD2241"/>
    <w:rsid w:val="346665F4"/>
    <w:rsid w:val="347634F7"/>
    <w:rsid w:val="34954E7B"/>
    <w:rsid w:val="34967CFD"/>
    <w:rsid w:val="34C479B7"/>
    <w:rsid w:val="35810085"/>
    <w:rsid w:val="36DB43DB"/>
    <w:rsid w:val="370327B9"/>
    <w:rsid w:val="3774684B"/>
    <w:rsid w:val="38887AF3"/>
    <w:rsid w:val="39292623"/>
    <w:rsid w:val="393D43D7"/>
    <w:rsid w:val="39485BEE"/>
    <w:rsid w:val="39716450"/>
    <w:rsid w:val="39C2416B"/>
    <w:rsid w:val="39C454AA"/>
    <w:rsid w:val="3B262A0A"/>
    <w:rsid w:val="3B744E3E"/>
    <w:rsid w:val="3BDE7EFC"/>
    <w:rsid w:val="3BE25D85"/>
    <w:rsid w:val="3C0C54EF"/>
    <w:rsid w:val="3C6F415A"/>
    <w:rsid w:val="3C71458F"/>
    <w:rsid w:val="3DB01A35"/>
    <w:rsid w:val="3DC91A1B"/>
    <w:rsid w:val="3E4B2C1C"/>
    <w:rsid w:val="3E507764"/>
    <w:rsid w:val="3ED1791D"/>
    <w:rsid w:val="3F235BB1"/>
    <w:rsid w:val="3F663581"/>
    <w:rsid w:val="3FC561C7"/>
    <w:rsid w:val="42037040"/>
    <w:rsid w:val="42044C3C"/>
    <w:rsid w:val="42A44BF6"/>
    <w:rsid w:val="4571549B"/>
    <w:rsid w:val="457752AA"/>
    <w:rsid w:val="45AC4F54"/>
    <w:rsid w:val="45DF6E0E"/>
    <w:rsid w:val="46276748"/>
    <w:rsid w:val="4668296B"/>
    <w:rsid w:val="466E1990"/>
    <w:rsid w:val="471274FD"/>
    <w:rsid w:val="47606CAA"/>
    <w:rsid w:val="48565D43"/>
    <w:rsid w:val="48AD171C"/>
    <w:rsid w:val="49717ADD"/>
    <w:rsid w:val="4A011E8D"/>
    <w:rsid w:val="4A1363E1"/>
    <w:rsid w:val="4A51609B"/>
    <w:rsid w:val="4A67643D"/>
    <w:rsid w:val="4AB74985"/>
    <w:rsid w:val="4B5D161D"/>
    <w:rsid w:val="4BBA3132"/>
    <w:rsid w:val="4C194D3B"/>
    <w:rsid w:val="4D200FD3"/>
    <w:rsid w:val="4D304C6C"/>
    <w:rsid w:val="4D452F9B"/>
    <w:rsid w:val="4DD175B1"/>
    <w:rsid w:val="4EEB090D"/>
    <w:rsid w:val="4F1C6E78"/>
    <w:rsid w:val="4F2A6A41"/>
    <w:rsid w:val="4F7F0967"/>
    <w:rsid w:val="4FDA646A"/>
    <w:rsid w:val="500373A2"/>
    <w:rsid w:val="507C6383"/>
    <w:rsid w:val="521119D9"/>
    <w:rsid w:val="533A653C"/>
    <w:rsid w:val="53AD746D"/>
    <w:rsid w:val="54820ABA"/>
    <w:rsid w:val="555B4ECA"/>
    <w:rsid w:val="55BE02D6"/>
    <w:rsid w:val="561769D4"/>
    <w:rsid w:val="56296787"/>
    <w:rsid w:val="56394CF5"/>
    <w:rsid w:val="564429ED"/>
    <w:rsid w:val="569B2FF1"/>
    <w:rsid w:val="5869685F"/>
    <w:rsid w:val="58D844B0"/>
    <w:rsid w:val="5AD62530"/>
    <w:rsid w:val="5BB234CC"/>
    <w:rsid w:val="5E936554"/>
    <w:rsid w:val="5F4A1A8C"/>
    <w:rsid w:val="5FC15CE8"/>
    <w:rsid w:val="60075621"/>
    <w:rsid w:val="602001C2"/>
    <w:rsid w:val="60CE32E1"/>
    <w:rsid w:val="611F0E34"/>
    <w:rsid w:val="62126580"/>
    <w:rsid w:val="628D5C51"/>
    <w:rsid w:val="649A7590"/>
    <w:rsid w:val="64C00985"/>
    <w:rsid w:val="65225D26"/>
    <w:rsid w:val="65600353"/>
    <w:rsid w:val="65DB5CBA"/>
    <w:rsid w:val="664634A4"/>
    <w:rsid w:val="6654073A"/>
    <w:rsid w:val="66731141"/>
    <w:rsid w:val="674E6C15"/>
    <w:rsid w:val="67636EEB"/>
    <w:rsid w:val="67BA4F96"/>
    <w:rsid w:val="681C377A"/>
    <w:rsid w:val="686746B6"/>
    <w:rsid w:val="696A6382"/>
    <w:rsid w:val="697609B2"/>
    <w:rsid w:val="69F4671F"/>
    <w:rsid w:val="6ACA61BB"/>
    <w:rsid w:val="6B0025D1"/>
    <w:rsid w:val="6B81275B"/>
    <w:rsid w:val="6BA53F12"/>
    <w:rsid w:val="6BF91124"/>
    <w:rsid w:val="6C6B79B0"/>
    <w:rsid w:val="6CBF282C"/>
    <w:rsid w:val="6D432D08"/>
    <w:rsid w:val="6EF02CE5"/>
    <w:rsid w:val="6FF77585"/>
    <w:rsid w:val="70220EC7"/>
    <w:rsid w:val="705466FB"/>
    <w:rsid w:val="70E81256"/>
    <w:rsid w:val="71185861"/>
    <w:rsid w:val="711E754C"/>
    <w:rsid w:val="712E1235"/>
    <w:rsid w:val="72C34B7A"/>
    <w:rsid w:val="73335BEE"/>
    <w:rsid w:val="734B3BFA"/>
    <w:rsid w:val="73753308"/>
    <w:rsid w:val="743444A4"/>
    <w:rsid w:val="744E333B"/>
    <w:rsid w:val="74B61AFD"/>
    <w:rsid w:val="75A41BBF"/>
    <w:rsid w:val="76644B02"/>
    <w:rsid w:val="76962F12"/>
    <w:rsid w:val="76E84DEC"/>
    <w:rsid w:val="77196620"/>
    <w:rsid w:val="790664CA"/>
    <w:rsid w:val="79442C5B"/>
    <w:rsid w:val="79462141"/>
    <w:rsid w:val="79A10970"/>
    <w:rsid w:val="79F74F7F"/>
    <w:rsid w:val="7A562CCF"/>
    <w:rsid w:val="7A851325"/>
    <w:rsid w:val="7B1942E5"/>
    <w:rsid w:val="7B6F4120"/>
    <w:rsid w:val="7B816970"/>
    <w:rsid w:val="7B983D11"/>
    <w:rsid w:val="7BB011B5"/>
    <w:rsid w:val="7C2A2F43"/>
    <w:rsid w:val="7D096A7D"/>
    <w:rsid w:val="7EAD450C"/>
    <w:rsid w:val="7EBA54B6"/>
    <w:rsid w:val="7F2A1AAC"/>
    <w:rsid w:val="7F536EED"/>
    <w:rsid w:val="7F7C2039"/>
    <w:rsid w:val="7FA7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1.sv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1811</Words>
  <Characters>10327</Characters>
  <Lines>86</Lines>
  <Paragraphs>24</Paragraphs>
  <TotalTime>17</TotalTime>
  <ScaleCrop>false</ScaleCrop>
  <LinksUpToDate>false</LinksUpToDate>
  <CharactersWithSpaces>12114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user</cp:lastModifiedBy>
  <cp:lastPrinted>2023-08-04T01:00:00Z</cp:lastPrinted>
  <dcterms:modified xsi:type="dcterms:W3CDTF">2024-10-12T07:49:54Z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6388C71828994EE68F92E15B0CED978C</vt:lpwstr>
  </property>
</Properties>
</file>