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430</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：唐山市开平区机关事务中心(本级)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jc w:val="cente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唐山市开平区机关事务中心</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pPr>
        <w:tabs>
          <w:tab w:val="left" w:pos="2728"/>
        </w:tabs>
        <w:jc w:val="both"/>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640" w:firstLineChars="200"/>
        <w:jc w:val="left"/>
        <w:outlineLvl w:val="1"/>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val="en-US" w:eastAsia="zh-CN"/>
        </w:rPr>
        <w:t>我中心</w:t>
      </w:r>
      <w:r>
        <w:rPr>
          <w:rStyle w:val="25"/>
          <w:rFonts w:hint="eastAsia" w:ascii="仿宋_GB2312" w:hAnsi="仿宋_GB2312" w:eastAsia="仿宋_GB2312" w:cs="仿宋_GB2312"/>
          <w:sz w:val="32"/>
          <w:szCs w:val="32"/>
        </w:rPr>
        <w:t>负责研究制定管辖范围内机关单位后勤保障工作的规章制度并组织实施；负责管辖范围内的机关办公用房改造、维护、修缮、保养等管理工作；负责领导和机关干部职工的伙食改善调剂及食堂管理工作；负责承担公共机构节能的宣传、教育工作，对全区所有公共机构能耗情况进行收集、统计、汇总、上报；为领导、机关办公和职工生活提供各项劳务和技术服务；承办领导交办的其他工作任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开平区机关事务中心</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参公事业单位</w:t>
            </w:r>
          </w:p>
        </w:tc>
        <w:tc>
          <w:tcPr>
            <w:tcW w:w="266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485" w:type="dxa"/>
          </w:tcPr>
          <w:p>
            <w:pPr>
              <w:spacing w:line="560" w:lineRule="exact"/>
              <w:rPr>
                <w:rFonts w:ascii="仿宋_GB2312" w:hAnsi="Calibri" w:eastAsia="仿宋_GB2312" w:cs="ArialUnicodeMS"/>
                <w:kern w:val="0"/>
                <w:sz w:val="28"/>
                <w:szCs w:val="28"/>
              </w:rPr>
            </w:pPr>
          </w:p>
        </w:tc>
        <w:tc>
          <w:tcPr>
            <w:tcW w:w="2445" w:type="dxa"/>
          </w:tcPr>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3485" w:type="dxa"/>
          </w:tcPr>
          <w:p>
            <w:pPr>
              <w:spacing w:line="560" w:lineRule="exact"/>
              <w:rPr>
                <w:rFonts w:ascii="仿宋_GB2312" w:hAnsi="Calibri" w:eastAsia="仿宋_GB2312" w:cs="ArialUnicodeMS"/>
                <w:kern w:val="0"/>
                <w:sz w:val="28"/>
                <w:szCs w:val="28"/>
              </w:rPr>
            </w:pPr>
          </w:p>
        </w:tc>
        <w:tc>
          <w:tcPr>
            <w:tcW w:w="2445" w:type="dxa"/>
          </w:tcPr>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w:t>
            </w:r>
          </w:p>
        </w:tc>
        <w:tc>
          <w:tcPr>
            <w:tcW w:w="3485" w:type="dxa"/>
            <w:tcBorders>
              <w:bottom w:val="single" w:color="auto" w:sz="4" w:space="0"/>
            </w:tcBorders>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w:t>
            </w:r>
          </w:p>
        </w:tc>
        <w:tc>
          <w:tcPr>
            <w:tcW w:w="2445" w:type="dxa"/>
            <w:tcBorders>
              <w:bottom w:val="single" w:color="auto" w:sz="4" w:space="0"/>
            </w:tcBorders>
          </w:tcPr>
          <w:p>
            <w:pPr>
              <w:spacing w:line="560" w:lineRule="exact"/>
              <w:jc w:val="center"/>
              <w:rPr>
                <w:rFonts w:ascii="仿宋_GB2312" w:hAnsi="Calibri" w:eastAsia="仿宋_GB2312" w:cs="ArialUnicodeMS"/>
                <w:kern w:val="0"/>
                <w:sz w:val="28"/>
                <w:szCs w:val="28"/>
              </w:rPr>
            </w:pPr>
          </w:p>
        </w:tc>
        <w:tc>
          <w:tcPr>
            <w:tcW w:w="2665" w:type="dxa"/>
            <w:tcBorders>
              <w:bottom w:val="single" w:color="auto" w:sz="4" w:space="0"/>
            </w:tcBorders>
          </w:tcPr>
          <w:p>
            <w:pPr>
              <w:spacing w:line="560" w:lineRule="exact"/>
              <w:jc w:val="center"/>
              <w:rPr>
                <w:rFonts w:ascii="仿宋_GB2312" w:hAnsi="Calibri"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rPr>
          <w:rFonts w:hint="eastAsia" w:ascii="Times New Roman" w:hAnsi="Times New Roman" w:eastAsia="黑体" w:cs="Times New Roman"/>
          <w:sz w:val="32"/>
          <w:szCs w:val="32"/>
          <w:highlight w:val="yellow"/>
        </w:rPr>
      </w:pP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编制部门（单位）：唐山市开平区机关事务中心(本级)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2,114.13</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2,114.13</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2,133.98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2,133.98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编制部门（单位）：唐山市开平区机关事务中心(本级)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2,114.13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2,114.13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1,877.56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1,877.56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1,877.56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1,877.56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机关服务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1,877.56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1,877.56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编制部门（单位）：唐山市开平区机关事务中心(本级)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2,114.13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912.94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1,201.19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1,877.56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676.38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1,877.56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676.38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机关服务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1,877.56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676.38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编制部门（单位）：唐山市开平区机关事务中心(本级)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2,114.13</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1,877.56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1,877.56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92.00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92.00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93.44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93.44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51.13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51.13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2,114.13</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2,114.13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2,114.13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19.85</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19.85</w:t>
            </w: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19.85</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2,133.98</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2,133.98</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2,133.98</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58"/>
        <w:gridCol w:w="3216"/>
        <w:gridCol w:w="1088"/>
        <w:gridCol w:w="522"/>
        <w:gridCol w:w="544"/>
        <w:gridCol w:w="38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编制部门（单位）：唐山市开平区机关事务中心(本级)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2,114.13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912.94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1,877.56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676.38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1,877.56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676.38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1,877.56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676.38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bookmarkStart w:id="0" w:name="_GoBack"/>
      <w:bookmarkEnd w:id="0"/>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编制部门（单位）：唐山市开平区机关事务中心(本级)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733.98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91.48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207.09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11.24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194.63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44.49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0.25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87.72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31.76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30.52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91.87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51.13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21.07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87.47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84.60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7.40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821.46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编制部门（单位）：唐山市开平区机关事务中心(本级)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eastAsia" w:ascii="Times New Roman" w:hAnsi="Times New Roman" w:eastAsia="宋体" w:cs="Times New Roman"/>
                <w:i w:val="0"/>
                <w:iCs w:val="0"/>
                <w:color w:val="000000"/>
                <w:sz w:val="20"/>
                <w:szCs w:val="20"/>
                <w:highlight w:val="none"/>
                <w:u w:val="none"/>
                <w:lang w:eastAsia="zh-CN"/>
              </w:rPr>
            </w:pPr>
            <w:r>
              <w:rPr>
                <w:rFonts w:hint="eastAsia" w:ascii="Times New Roman" w:hAnsi="Times New Roman" w:eastAsia="宋体" w:cs="Times New Roman"/>
                <w:i w:val="0"/>
                <w:iCs w:val="0"/>
                <w:color w:val="000000"/>
                <w:sz w:val="20"/>
                <w:szCs w:val="20"/>
                <w:highlight w:val="none"/>
                <w:u w:val="none"/>
                <w:lang w:eastAsia="zh-CN"/>
              </w:rPr>
              <w:t>空表列示</w:t>
            </w: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注：本表反映部门本年度政府性基金预算财政拨款收入、支出及结转和结余情况。本部门本年度无相关支出情况，按要求以空表列示。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编制部门（单位）：唐山市开平区机关事务中心(本级)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cs="宋体" w:eastAsiaTheme="minorEastAsia"/>
                <w:i w:val="0"/>
                <w:iCs w:val="0"/>
                <w:color w:val="000000"/>
                <w:sz w:val="20"/>
                <w:szCs w:val="20"/>
                <w:highlight w:val="none"/>
                <w:u w:val="none"/>
                <w:lang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注：本表反映部门本年度国有资本经营预算财政拨款支出情况。本部门本年度无相关支出情况，按要求以空表列示</w:t>
            </w:r>
            <w:r>
              <w:rPr>
                <w:b/>
              </w:rPr>
              <w:br w:type="page"/>
            </w:r>
            <w:r>
              <w:rPr>
                <w:rFonts w:hint="eastAsia"/>
                <w:b/>
                <w:lang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编制部门（单位）：唐山市开平区机关事务中心(本级)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52.56</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52.56</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50.56</w:t>
            </w: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0.40</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0.40</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0.40</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黑体" w:hAnsi="Calibri" w:eastAsia="黑体" w:cs="Times New Roman"/>
          <w:kern w:val="2"/>
          <w:sz w:val="32"/>
          <w:szCs w:val="32"/>
          <w:lang w:val="en-US" w:eastAsia="zh-CN" w:bidi="ar-SA"/>
        </w:rPr>
      </w:pPr>
      <w:r>
        <w:rPr>
          <w:rFonts w:hint="default" w:ascii="Arial" w:hAnsi="Arial" w:eastAsia="Arial" w:cs="Arial"/>
          <w:i w:val="0"/>
          <w:iCs w:val="0"/>
          <w:caps w:val="0"/>
          <w:color w:val="000000"/>
          <w:spacing w:val="0"/>
          <w:sz w:val="18"/>
          <w:szCs w:val="18"/>
          <w:highlight w:val="none"/>
          <w:shd w:val="clear" w:fill="FFFFFF"/>
        </w:rPr>
        <w:br w:type="page"/>
      </w: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2,133.98</w:t>
      </w:r>
      <w:r>
        <w:rPr>
          <w:rFonts w:hint="default" w:ascii="Times New Roman" w:hAnsi="Times New Roman" w:eastAsia="仿宋_GB2312" w:cs="Times New Roman"/>
          <w:kern w:val="2"/>
          <w:sz w:val="32"/>
          <w:szCs w:val="32"/>
          <w:lang w:eastAsia="zh-CN"/>
        </w:rPr>
        <w:t>万元。与2022年度决算相比，收支减少</w:t>
      </w:r>
      <w:r>
        <w:rPr>
          <w:rFonts w:hint="eastAsia" w:ascii="Times New Roman" w:hAnsi="Times New Roman" w:eastAsia="仿宋_GB2312" w:cs="Times New Roman"/>
          <w:kern w:val="2"/>
          <w:sz w:val="32"/>
          <w:szCs w:val="32"/>
          <w:lang w:val="en-US" w:eastAsia="zh-CN"/>
        </w:rPr>
        <w:t>1287.8</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37.64</w:t>
      </w:r>
      <w:r>
        <w:rPr>
          <w:rFonts w:hint="default" w:ascii="Times New Roman" w:hAnsi="Times New Roman" w:eastAsia="仿宋_GB2312" w:cs="Times New Roman"/>
          <w:kern w:val="2"/>
          <w:sz w:val="32"/>
          <w:szCs w:val="32"/>
          <w:lang w:eastAsia="zh-CN"/>
        </w:rPr>
        <w:t>%，主要原因是</w:t>
      </w:r>
      <w:r>
        <w:rPr>
          <w:rFonts w:hint="eastAsia" w:ascii="仿宋_GB2312" w:hAnsi="Times New Roman" w:eastAsia="仿宋_GB2312" w:cs="DengXian-Regular"/>
          <w:sz w:val="32"/>
          <w:szCs w:val="32"/>
          <w:lang w:eastAsia="zh-CN"/>
        </w:rPr>
        <w:t>上年调拨热力费，本年无调拨</w:t>
      </w:r>
      <w:r>
        <w:rPr>
          <w:rFonts w:hint="default" w:ascii="Times New Roman" w:hAnsi="Times New Roman" w:eastAsia="仿宋_GB2312" w:cs="Times New Roman"/>
          <w:kern w:val="2"/>
          <w:sz w:val="32"/>
          <w:szCs w:val="32"/>
          <w:lang w:eastAsia="zh-CN"/>
        </w:rPr>
        <w:t>。</w:t>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2,114.13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，其中：财政拨款收入2,114.13万元，占100%；上级补助收入0万元，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2,114.13万元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912.94万元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占43.18%；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1,201.19万元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占56.82%；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年度财政拨款本年收入2,114.13</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1287.8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37.85</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上年调拨热力费，本年无调拨</w:t>
      </w:r>
      <w:r>
        <w:rPr>
          <w:rFonts w:hint="default" w:ascii="Times New Roman" w:hAnsi="Times New Roman" w:eastAsia="仿宋_GB2312" w:cs="Times New Roman"/>
          <w:color w:val="auto"/>
          <w:kern w:val="2"/>
          <w:sz w:val="32"/>
          <w:szCs w:val="32"/>
          <w:lang w:val="zh-CN" w:eastAsia="zh-CN" w:bidi="ar-SA"/>
        </w:rPr>
        <w:t>；本年支出 2,114.13万元，比上年减少</w:t>
      </w:r>
      <w:r>
        <w:rPr>
          <w:rFonts w:hint="eastAsia" w:ascii="Times New Roman" w:hAnsi="Times New Roman" w:eastAsia="仿宋_GB2312" w:cs="Times New Roman"/>
          <w:color w:val="auto"/>
          <w:kern w:val="2"/>
          <w:sz w:val="32"/>
          <w:szCs w:val="32"/>
          <w:lang w:val="en-US" w:eastAsia="zh-CN" w:bidi="ar-SA"/>
        </w:rPr>
        <w:t>1278.8</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降低</w:t>
      </w:r>
      <w:r>
        <w:rPr>
          <w:rFonts w:hint="eastAsia" w:ascii="Times New Roman" w:hAnsi="Times New Roman" w:eastAsia="仿宋_GB2312" w:cs="Times New Roman"/>
          <w:color w:val="auto"/>
          <w:kern w:val="2"/>
          <w:sz w:val="32"/>
          <w:szCs w:val="32"/>
          <w:lang w:val="en-US" w:eastAsia="zh-CN" w:bidi="ar-SA"/>
        </w:rPr>
        <w:t>37.85</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上年调拨热力费，本年无调拨</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一般公共预算财政拨款本年收入2,114.13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1278.8</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仿宋_GB2312" w:hAnsi="Times New Roman" w:eastAsia="仿宋_GB2312" w:cs="DengXian-Regular"/>
          <w:sz w:val="32"/>
          <w:szCs w:val="32"/>
          <w:lang w:eastAsia="zh-CN"/>
        </w:rPr>
        <w:t>上年调拨热力费，本年无调拨</w:t>
      </w:r>
      <w:r>
        <w:rPr>
          <w:rFonts w:hint="default" w:ascii="Times New Roman" w:hAnsi="Times New Roman" w:eastAsia="仿宋_GB2312" w:cs="Times New Roman"/>
          <w:kern w:val="2"/>
          <w:sz w:val="32"/>
          <w:szCs w:val="32"/>
          <w:lang w:val="zh-CN"/>
        </w:rPr>
        <w:t>；本年支出 2,114.13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1287.8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37.85</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kern w:val="2"/>
          <w:sz w:val="32"/>
          <w:szCs w:val="32"/>
          <w:lang w:val="zh-CN"/>
        </w:rPr>
        <w:t>，主要是</w:t>
      </w:r>
      <w:r>
        <w:rPr>
          <w:rFonts w:hint="eastAsia" w:ascii="仿宋_GB2312" w:hAnsi="Times New Roman" w:eastAsia="仿宋_GB2312" w:cs="DengXian-Regular"/>
          <w:sz w:val="32"/>
          <w:szCs w:val="32"/>
          <w:lang w:eastAsia="zh-CN"/>
        </w:rPr>
        <w:t>上年调拨热力费，本年无调拨</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与上年度持平，无变化。</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与上年度持平，无变化。</w:t>
      </w:r>
    </w:p>
    <w:p>
      <w:pPr>
        <w:autoSpaceDE w:val="0"/>
        <w:autoSpaceDN w:val="0"/>
        <w:adjustRightInd w:val="0"/>
        <w:spacing w:line="580" w:lineRule="exact"/>
        <w:ind w:firstLine="643" w:firstLineChars="200"/>
        <w:jc w:val="lef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年度财政拨款本年收入2,114.13万元，完成年初预算的44.04%，比年初预算减少</w:t>
      </w:r>
      <w:r>
        <w:rPr>
          <w:rFonts w:hint="eastAsia" w:ascii="Times New Roman" w:hAnsi="Times New Roman" w:eastAsia="仿宋_GB2312" w:cs="Times New Roman"/>
          <w:color w:val="auto"/>
          <w:kern w:val="2"/>
          <w:sz w:val="32"/>
          <w:szCs w:val="32"/>
          <w:lang w:val="en-US" w:eastAsia="zh-CN" w:bidi="ar-SA"/>
        </w:rPr>
        <w:t>2686.55</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lang w:val="zh-CN" w:eastAsia="zh-CN" w:bidi="ar-SA"/>
        </w:rPr>
        <w:t>新增项目未全部结清</w:t>
      </w:r>
      <w:r>
        <w:rPr>
          <w:rFonts w:hint="default" w:ascii="Times New Roman" w:hAnsi="Times New Roman" w:eastAsia="仿宋_GB2312" w:cs="Times New Roman"/>
          <w:color w:val="auto"/>
          <w:kern w:val="2"/>
          <w:sz w:val="32"/>
          <w:szCs w:val="32"/>
          <w:lang w:val="zh-CN" w:eastAsia="zh-CN" w:bidi="ar-SA"/>
        </w:rPr>
        <w:t>；本年支出2,114.13万元，完成年初预算的44.04%，比年初预算减少</w:t>
      </w:r>
      <w:r>
        <w:rPr>
          <w:rFonts w:hint="eastAsia" w:ascii="Times New Roman" w:hAnsi="Times New Roman" w:eastAsia="仿宋_GB2312" w:cs="Times New Roman"/>
          <w:color w:val="auto"/>
          <w:kern w:val="2"/>
          <w:sz w:val="32"/>
          <w:szCs w:val="32"/>
          <w:lang w:val="en-US" w:eastAsia="zh-CN" w:bidi="ar-SA"/>
        </w:rPr>
        <w:t>2686.55</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lang w:val="zh-CN" w:eastAsia="zh-CN" w:bidi="ar-SA"/>
        </w:rPr>
        <w:t>新增项目未全部结清</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收入2,114.13万元，完成年初预算的 44.04%，比年初预算减少</w:t>
      </w:r>
      <w:r>
        <w:rPr>
          <w:rFonts w:hint="eastAsia" w:ascii="Times New Roman" w:hAnsi="Times New Roman" w:eastAsia="仿宋_GB2312" w:cs="Times New Roman"/>
          <w:kern w:val="2"/>
          <w:sz w:val="32"/>
          <w:szCs w:val="32"/>
          <w:lang w:val="en-US" w:eastAsia="zh-CN"/>
        </w:rPr>
        <w:t>2686.55</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zh-CN" w:eastAsia="zh-CN" w:bidi="ar-SA"/>
        </w:rPr>
        <w:t>新增项目未全部结清</w:t>
      </w:r>
      <w:r>
        <w:rPr>
          <w:rFonts w:hint="default" w:ascii="Times New Roman" w:hAnsi="Times New Roman" w:eastAsia="仿宋_GB2312" w:cs="Times New Roman"/>
          <w:kern w:val="2"/>
          <w:sz w:val="32"/>
          <w:szCs w:val="32"/>
          <w:lang w:val="zh-CN"/>
        </w:rPr>
        <w:t>；本年支出2,114.13万元，完成年初预算</w:t>
      </w:r>
      <w:r>
        <w:rPr>
          <w:rFonts w:hint="eastAsia" w:ascii="Times New Roman" w:hAnsi="Times New Roman" w:eastAsia="仿宋_GB2312" w:cs="Times New Roman"/>
          <w:kern w:val="2"/>
          <w:sz w:val="32"/>
          <w:szCs w:val="32"/>
          <w:lang w:val="zh-CN"/>
        </w:rPr>
        <w:t>的</w:t>
      </w:r>
      <w:r>
        <w:rPr>
          <w:rFonts w:hint="default" w:ascii="Times New Roman" w:hAnsi="Times New Roman" w:eastAsia="仿宋_GB2312" w:cs="Times New Roman"/>
          <w:kern w:val="2"/>
          <w:sz w:val="32"/>
          <w:szCs w:val="32"/>
          <w:lang w:val="zh-CN"/>
        </w:rPr>
        <w:t>44.04%，比年初预算减少</w:t>
      </w:r>
      <w:r>
        <w:rPr>
          <w:rFonts w:hint="eastAsia" w:ascii="Times New Roman" w:hAnsi="Times New Roman" w:eastAsia="仿宋_GB2312" w:cs="Times New Roman"/>
          <w:kern w:val="2"/>
          <w:sz w:val="32"/>
          <w:szCs w:val="32"/>
          <w:lang w:val="en-US" w:eastAsia="zh-CN"/>
        </w:rPr>
        <w:t>2686.55</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zh-CN" w:eastAsia="zh-CN" w:bidi="ar-SA"/>
        </w:rPr>
        <w:t>新增项目未全部结清</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w:t>
      </w:r>
      <w:r>
        <w:rPr>
          <w:rFonts w:hint="eastAsia" w:ascii="Times New Roman" w:hAnsi="Times New Roman" w:eastAsia="仿宋_GB2312" w:cs="Times New Roman"/>
          <w:kern w:val="2"/>
          <w:sz w:val="32"/>
          <w:szCs w:val="32"/>
          <w:lang w:val="zh-CN"/>
        </w:rPr>
        <w:t>与年初预算一致。</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 0%，</w:t>
      </w:r>
      <w:r>
        <w:rPr>
          <w:rFonts w:hint="eastAsia" w:ascii="Times New Roman" w:hAnsi="Times New Roman" w:eastAsia="仿宋_GB2312" w:cs="Times New Roman"/>
          <w:kern w:val="2"/>
          <w:sz w:val="32"/>
          <w:szCs w:val="32"/>
          <w:lang w:val="zh-CN"/>
        </w:rPr>
        <w:t>与年初预算一致。</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年度财政拨款支出2,114.13万元，主要用于以下方面：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一般公共服务（类）支出1,877.56万元，占88.81%；</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0万元，占0%；教育（类）支出0万元，占0%；科学技术（类）支出0万元，占0%；文化旅游体育与传媒（类）支出0万元，占0%；社会保障和就业 （类）支出92万元，占4.35%；卫生健康（类）支出93.44万元，占4.42%；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51.13万元，占2.42%；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 元，占0%。</w:t>
      </w:r>
    </w:p>
    <w:p>
      <w:pPr>
        <w:pStyle w:val="10"/>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年度财政拨款基本支出912.94万元，其中：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821.46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公用经费91.48万元，主要包括办公费、印刷费、咨询费、手续费、水费、电费、邮电费、取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年度“三公”经费财政拨款支出预算为52.56万元，支出决算为 0.4万元，完成预算的 0.76%，较预算减少</w:t>
      </w:r>
      <w:r>
        <w:rPr>
          <w:rFonts w:hint="eastAsia" w:ascii="Times New Roman" w:hAnsi="Times New Roman" w:eastAsia="仿宋_GB2312" w:cs="Times New Roman"/>
          <w:color w:val="auto"/>
          <w:kern w:val="2"/>
          <w:sz w:val="32"/>
          <w:szCs w:val="32"/>
          <w:lang w:val="en-US" w:eastAsia="zh-CN" w:bidi="ar-SA"/>
        </w:rPr>
        <w:t>52.16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99.24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未购置公务用车</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0.04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11.11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公务用车常规保养</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。因公出国（境）费支出较预算</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en-US" w:eastAsia="zh-CN" w:bidi="ar-SA"/>
        </w:rPr>
        <w:t>无增长变化</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年度公务用车购置及运行维护费预算为52.56万元，支出决算 0.4万元，完成预算的0.76%,较预算减少</w:t>
      </w:r>
      <w:r>
        <w:rPr>
          <w:rFonts w:hint="eastAsia" w:ascii="Times New Roman" w:hAnsi="Times New Roman" w:eastAsia="仿宋_GB2312" w:cs="Times New Roman"/>
          <w:color w:val="auto"/>
          <w:kern w:val="2"/>
          <w:sz w:val="32"/>
          <w:szCs w:val="32"/>
          <w:lang w:val="en-US" w:eastAsia="zh-CN" w:bidi="ar-SA"/>
        </w:rPr>
        <w:t>52.16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99.24</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未发生购置公务用车</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0.04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11.11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公务用车保养</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0万元。公务用车购置费支出较预算减少</w:t>
      </w:r>
      <w:r>
        <w:rPr>
          <w:rFonts w:hint="eastAsia" w:ascii="Times New Roman" w:hAnsi="Times New Roman" w:eastAsia="仿宋_GB2312" w:cs="Times New Roman"/>
          <w:color w:val="auto"/>
          <w:kern w:val="2"/>
          <w:sz w:val="32"/>
          <w:szCs w:val="32"/>
          <w:lang w:val="en-US" w:eastAsia="zh-CN" w:bidi="ar-SA"/>
        </w:rPr>
        <w:t>50.56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未发生购置公务用车</w:t>
      </w:r>
      <w:r>
        <w:rPr>
          <w:rFonts w:hint="eastAsia" w:ascii="仿宋_GB2312" w:hAnsi="Times New Roman" w:eastAsia="仿宋_GB2312" w:cs="DengXian-Regular"/>
          <w:sz w:val="32"/>
          <w:szCs w:val="32"/>
        </w:rPr>
        <w:t>；较上年</w:t>
      </w:r>
      <w:r>
        <w:rPr>
          <w:rFonts w:hint="eastAsia" w:ascii="仿宋_GB2312" w:hAnsi="Times New Roman" w:eastAsia="仿宋_GB2312" w:cs="DengXian-Regular"/>
          <w:sz w:val="32"/>
          <w:szCs w:val="32"/>
          <w:lang w:eastAsia="zh-CN"/>
        </w:rPr>
        <w:t>持平。</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0.4</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年度单位公务用车保有量1辆，发生运行维护费支出0.4万元。公车运行维护费支出较预算减少</w:t>
      </w:r>
      <w:r>
        <w:rPr>
          <w:rFonts w:hint="eastAsia" w:ascii="Times New Roman" w:hAnsi="Times New Roman" w:eastAsia="仿宋_GB2312" w:cs="Times New Roman"/>
          <w:color w:val="auto"/>
          <w:kern w:val="2"/>
          <w:sz w:val="32"/>
          <w:szCs w:val="32"/>
          <w:lang w:val="en-US" w:eastAsia="zh-CN" w:bidi="ar-SA"/>
        </w:rPr>
        <w:t>1.6</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降低</w:t>
      </w:r>
      <w:r>
        <w:rPr>
          <w:rFonts w:hint="eastAsia" w:ascii="Times New Roman" w:hAnsi="Times New Roman" w:eastAsia="仿宋_GB2312" w:cs="Times New Roman"/>
          <w:color w:val="auto"/>
          <w:kern w:val="2"/>
          <w:sz w:val="32"/>
          <w:szCs w:val="32"/>
          <w:lang w:val="en-US" w:eastAsia="zh-CN" w:bidi="ar-SA"/>
        </w:rPr>
        <w:t>80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未发生购置公务用车</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0.04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11.11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公务用车常规保养</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w:t>
      </w:r>
      <w:r>
        <w:rPr>
          <w:rFonts w:hint="eastAsia" w:ascii="Times New Roman" w:hAnsi="Times New Roman" w:eastAsia="仿宋_GB2312" w:cs="Times New Roman"/>
          <w:color w:val="auto"/>
          <w:kern w:val="2"/>
          <w:sz w:val="32"/>
          <w:szCs w:val="32"/>
          <w:lang w:val="zh-CN" w:eastAsia="zh-CN" w:bidi="ar-SA"/>
        </w:rPr>
        <w:t>与</w:t>
      </w:r>
      <w:r>
        <w:rPr>
          <w:rFonts w:hint="default" w:ascii="Times New Roman" w:hAnsi="Times New Roman" w:eastAsia="仿宋_GB2312" w:cs="Times New Roman"/>
          <w:color w:val="auto"/>
          <w:kern w:val="2"/>
          <w:sz w:val="32"/>
          <w:szCs w:val="32"/>
          <w:lang w:val="zh-CN" w:eastAsia="zh-CN" w:bidi="ar-SA"/>
        </w:rPr>
        <w:t>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一致。</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年度机关运行经费支出91.48万元，较2022年度增加</w:t>
      </w:r>
      <w:r>
        <w:rPr>
          <w:rFonts w:hint="eastAsia" w:ascii="Times New Roman" w:hAnsi="Times New Roman" w:eastAsia="仿宋_GB2312" w:cs="Times New Roman"/>
          <w:color w:val="auto"/>
          <w:kern w:val="2"/>
          <w:sz w:val="32"/>
          <w:szCs w:val="32"/>
          <w:lang w:val="en-US" w:eastAsia="zh-CN" w:bidi="ar-SA"/>
        </w:rPr>
        <w:t>2.22</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2.49</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单位正常经费支出增加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年度政府采购支出总额281.44万元，从采购类型来看，政府采购货物支出0万元、政府采购工程支出108.9万元、政府采购服务支出172.54万元。授予中小企业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281.44万元，占政府采购支出总额的100%，其中授予小微企业合同金额281.44万元，占政府采购支出总额的100%。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eastAsia" w:ascii="仿宋_GB2312" w:hAnsi="Times New Roman" w:eastAsia="仿宋_GB2312" w:cs="DengXian-Regular"/>
          <w:sz w:val="32"/>
          <w:szCs w:val="32"/>
        </w:rPr>
        <w:t>本部门共有车辆</w:t>
      </w:r>
      <w:r>
        <w:rPr>
          <w:rFonts w:hint="eastAsia" w:ascii="仿宋_GB2312" w:hAnsi="Times New Roman" w:eastAsia="仿宋_GB2312" w:cs="DengXian-Regular"/>
          <w:sz w:val="32"/>
          <w:szCs w:val="32"/>
          <w:lang w:val="en-US" w:eastAsia="zh-CN"/>
        </w:rPr>
        <w:t>19</w:t>
      </w:r>
      <w:r>
        <w:rPr>
          <w:rFonts w:hint="eastAsia" w:ascii="仿宋_GB2312" w:hAnsi="Times New Roman" w:eastAsia="仿宋_GB2312" w:cs="DengXian-Regular"/>
          <w:sz w:val="32"/>
          <w:szCs w:val="32"/>
        </w:rPr>
        <w:t>辆，比上年</w:t>
      </w:r>
      <w:r>
        <w:rPr>
          <w:rFonts w:hint="eastAsia" w:ascii="仿宋_GB2312" w:hAnsi="Times New Roman" w:eastAsia="仿宋_GB2312" w:cs="DengXian-Regular"/>
          <w:sz w:val="32"/>
          <w:szCs w:val="32"/>
          <w:lang w:eastAsia="zh-CN"/>
        </w:rPr>
        <w:t>持平。</w:t>
      </w:r>
      <w:r>
        <w:rPr>
          <w:rFonts w:hint="default" w:ascii="Times New Roman" w:hAnsi="Times New Roman" w:eastAsia="仿宋_GB2312" w:cs="Times New Roman"/>
          <w:color w:val="auto"/>
          <w:kern w:val="2"/>
          <w:sz w:val="32"/>
          <w:szCs w:val="32"/>
          <w:lang w:val="zh-CN" w:eastAsia="zh-CN" w:bidi="ar-SA"/>
        </w:rPr>
        <w:t>其中，副部（省）级及以上领导用车本单位共有车辆</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用车0辆，机要通信用车0辆，应急保障用车0辆，执法执勤用车0辆，特种专业技术用车0辆，离退休干部用车0辆，其他用车19辆，其他用车主要是</w:t>
      </w:r>
      <w:r>
        <w:rPr>
          <w:rFonts w:hint="eastAsia" w:ascii="仿宋_GB2312" w:hAnsi="Times New Roman" w:eastAsia="仿宋_GB2312" w:cs="DengXian-Regular"/>
          <w:sz w:val="32"/>
          <w:szCs w:val="32"/>
          <w:lang w:eastAsia="zh-CN"/>
        </w:rPr>
        <w:t>其他各单位公务用车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highlight w:val="yellow"/>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1201.19</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zh-CN" w:eastAsia="zh-CN" w:bidi="ar-SA"/>
        </w:rPr>
        <w:t>后勤综合保障经费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1201.19</w:t>
      </w:r>
      <w:r>
        <w:rPr>
          <w:rFonts w:hint="default" w:ascii="Times New Roman" w:hAnsi="Times New Roman" w:eastAsia="仿宋_GB2312" w:cs="Times New Roman"/>
          <w:color w:val="auto"/>
          <w:kern w:val="2"/>
          <w:sz w:val="32"/>
          <w:szCs w:val="32"/>
          <w:lang w:val="zh-CN" w:eastAsia="zh-CN" w:bidi="ar-SA"/>
        </w:rPr>
        <w:t>万元</w:t>
      </w:r>
      <w:r>
        <w:rPr>
          <w:rFonts w:hint="eastAsia" w:ascii="仿宋_GB2312" w:hAnsi="仿宋_GB2312" w:eastAsia="仿宋_GB2312" w:cs="仿宋_GB2312"/>
          <w:sz w:val="32"/>
          <w:szCs w:val="32"/>
        </w:rPr>
        <w:t>，</w:t>
      </w:r>
      <w:r>
        <w:rPr>
          <w:rFonts w:hint="eastAsia" w:ascii="仿宋_GB2312" w:hAnsi="仿宋_GB2312" w:eastAsia="仿宋_GB2312" w:cs="仿宋_GB2312"/>
          <w:color w:val="222222"/>
          <w:sz w:val="32"/>
          <w:szCs w:val="32"/>
        </w:rPr>
        <w:t>本次绩效评价的目的是为了全面分析和综合评价我</w:t>
      </w:r>
      <w:r>
        <w:rPr>
          <w:rFonts w:hint="eastAsia" w:ascii="仿宋_GB2312" w:hAnsi="仿宋_GB2312" w:eastAsia="仿宋_GB2312" w:cs="仿宋_GB2312"/>
          <w:color w:val="222222"/>
          <w:sz w:val="32"/>
          <w:szCs w:val="32"/>
          <w:lang w:eastAsia="zh-CN"/>
        </w:rPr>
        <w:t>单位</w:t>
      </w:r>
      <w:r>
        <w:rPr>
          <w:rFonts w:hint="eastAsia" w:ascii="仿宋_GB2312" w:hAnsi="仿宋_GB2312" w:eastAsia="仿宋_GB2312" w:cs="仿宋_GB2312"/>
          <w:color w:val="222222"/>
          <w:sz w:val="32"/>
          <w:szCs w:val="32"/>
        </w:rPr>
        <w:t>本级财政预算资金的使用管理情况，为切实提高财政资金使用效益，强化预算支出的责任和效率提供参考依据。</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Times New Roman" w:hAnsi="Times New Roman" w:eastAsia="仿宋_GB2312" w:cs="Times New Roman"/>
          <w:color w:val="auto"/>
          <w:kern w:val="2"/>
          <w:sz w:val="32"/>
          <w:szCs w:val="32"/>
          <w:lang w:val="zh-CN" w:eastAsia="zh-CN" w:bidi="ar-SA"/>
        </w:rPr>
        <w:t>后勤综合保障</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个项目绩效自评结果。</w:t>
      </w:r>
    </w:p>
    <w:p>
      <w:pPr>
        <w:numPr>
          <w:ilvl w:val="0"/>
          <w:numId w:val="4"/>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Times New Roman" w:hAnsi="Times New Roman" w:eastAsia="仿宋_GB2312" w:cs="Times New Roman"/>
          <w:color w:val="auto"/>
          <w:kern w:val="2"/>
          <w:sz w:val="32"/>
          <w:szCs w:val="32"/>
          <w:lang w:val="zh-CN" w:eastAsia="zh-CN" w:bidi="ar-SA"/>
        </w:rPr>
        <w:t>安达加油站相关支出</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安达加油站相关支出</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29.59</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31.11</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105</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lang w:eastAsia="zh-CN"/>
        </w:rPr>
        <w:t>通过项目实施，完成了年初设定的各项绩效目标，有效保障了安达加油站职工正常工资福利待遇。未发现问题。</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10" w:leftChars="0" w:right="0" w:firstLine="640" w:firstLineChars="0"/>
        <w:jc w:val="left"/>
        <w:textAlignment w:val="auto"/>
        <w:rPr>
          <w:rFonts w:hint="eastAsia" w:ascii="仿宋_GB2312" w:hAnsi="仿宋_GB2312" w:eastAsia="仿宋_GB2312" w:cs="仿宋_GB2312"/>
          <w:sz w:val="32"/>
          <w:szCs w:val="32"/>
          <w:lang w:eastAsia="zh-CN"/>
        </w:rPr>
      </w:pPr>
      <w:r>
        <w:rPr>
          <w:rFonts w:hint="eastAsia" w:ascii="Times New Roman" w:hAnsi="Times New Roman" w:eastAsia="仿宋_GB2312" w:cs="Times New Roman"/>
          <w:color w:val="auto"/>
          <w:kern w:val="2"/>
          <w:sz w:val="32"/>
          <w:szCs w:val="32"/>
          <w:lang w:val="zh-CN" w:eastAsia="zh-CN" w:bidi="ar-SA"/>
        </w:rPr>
        <w:t>公务用车经费</w:t>
      </w:r>
      <w:r>
        <w:rPr>
          <w:rFonts w:hint="default" w:ascii="Times New Roman" w:hAnsi="Times New Roman" w:eastAsia="仿宋_GB2312" w:cs="Times New Roman"/>
          <w:color w:val="auto"/>
          <w:kern w:val="2"/>
          <w:sz w:val="32"/>
          <w:szCs w:val="32"/>
          <w:lang w:val="zh-CN" w:eastAsia="zh-CN" w:bidi="ar-SA"/>
        </w:rPr>
        <w:t>项目绩效自评情况。</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公务用车经费相关支出</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94</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通过项目实施，完成了年初设定的各项绩效目标，有效保障了各单位公务用车购置。</w:t>
      </w:r>
    </w:p>
    <w:p>
      <w:pPr>
        <w:numPr>
          <w:ilvl w:val="0"/>
          <w:numId w:val="4"/>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lang w:val="zh-CN" w:eastAsia="zh-CN"/>
        </w:rPr>
        <w:t>法院诉讼中心建设项目绩效自评情况。</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法院诉讼中心建设项目绩效自评得分为</w:t>
      </w:r>
      <w:r>
        <w:rPr>
          <w:rFonts w:hint="eastAsia" w:ascii="仿宋_GB2312" w:hAnsi="仿宋_GB2312" w:eastAsia="仿宋_GB2312" w:cs="仿宋_GB2312"/>
          <w:sz w:val="32"/>
          <w:szCs w:val="32"/>
          <w:lang w:val="en-US" w:eastAsia="zh-CN"/>
        </w:rPr>
        <w:t>94分</w:t>
      </w:r>
      <w:r>
        <w:rPr>
          <w:rFonts w:hint="eastAsia" w:ascii="仿宋_GB2312" w:hAnsi="仿宋_GB2312" w:eastAsia="仿宋_GB2312" w:cs="仿宋_GB2312"/>
          <w:sz w:val="32"/>
          <w:szCs w:val="32"/>
        </w:rPr>
        <w:t>（绩效自评表附后）</w:t>
      </w:r>
      <w:r>
        <w:rPr>
          <w:rFonts w:hint="eastAsia" w:ascii="仿宋_GB2312" w:hAnsi="仿宋_GB2312" w:eastAsia="仿宋_GB2312" w:cs="仿宋_GB2312"/>
          <w:sz w:val="32"/>
          <w:szCs w:val="32"/>
          <w:lang w:eastAsia="zh-CN"/>
        </w:rPr>
        <w:t>。全年预算数为</w:t>
      </w:r>
      <w:r>
        <w:rPr>
          <w:rFonts w:hint="eastAsia" w:ascii="仿宋_GB2312" w:hAnsi="仿宋_GB2312" w:eastAsia="仿宋_GB2312" w:cs="仿宋_GB2312"/>
          <w:sz w:val="32"/>
          <w:szCs w:val="32"/>
          <w:lang w:val="en-US" w:eastAsia="zh-CN"/>
        </w:rPr>
        <w:t>90万元，执行数为20万元，完成预算的22.22%。</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通过项目实施，完成了年初设定的各项绩效目标，有效维持法院诉讼中心正常办公。</w:t>
      </w:r>
    </w:p>
    <w:p>
      <w:pPr>
        <w:numPr>
          <w:ilvl w:val="0"/>
          <w:numId w:val="4"/>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后勤综合保障经费</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后勤综合保障经费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绩效</w:t>
      </w:r>
      <w:r>
        <w:rPr>
          <w:rFonts w:hint="eastAsia" w:ascii="仿宋_GB2312" w:hAnsi="仿宋_GB2312" w:eastAsia="仿宋_GB2312" w:cs="仿宋_GB2312"/>
          <w:sz w:val="32"/>
          <w:szCs w:val="32"/>
        </w:rPr>
        <w:t>自评得分为</w:t>
      </w:r>
      <w:r>
        <w:rPr>
          <w:rFonts w:hint="eastAsia" w:ascii="仿宋_GB2312" w:hAnsi="仿宋_GB2312" w:eastAsia="仿宋_GB2312" w:cs="仿宋_GB2312"/>
          <w:sz w:val="32"/>
          <w:szCs w:val="32"/>
          <w:lang w:val="en-US" w:eastAsia="zh-CN"/>
        </w:rPr>
        <w:t>96</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647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267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41.3%。</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通过项目实施，完成了年初设定的各项绩效目标，有效保障了全区办公人员三餐供应。</w:t>
      </w:r>
    </w:p>
    <w:p>
      <w:pPr>
        <w:numPr>
          <w:ilvl w:val="0"/>
          <w:numId w:val="4"/>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职工食堂改造</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职工食堂改造</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绩效</w:t>
      </w:r>
      <w:r>
        <w:rPr>
          <w:rFonts w:hint="eastAsia" w:ascii="仿宋_GB2312" w:hAnsi="仿宋_GB2312" w:eastAsia="仿宋_GB2312" w:cs="仿宋_GB2312"/>
          <w:sz w:val="32"/>
          <w:szCs w:val="32"/>
        </w:rPr>
        <w:t>自评得分为</w:t>
      </w:r>
      <w:r>
        <w:rPr>
          <w:rFonts w:hint="eastAsia" w:ascii="仿宋_GB2312" w:hAnsi="仿宋_GB2312" w:eastAsia="仿宋_GB2312" w:cs="仿宋_GB2312"/>
          <w:sz w:val="32"/>
          <w:szCs w:val="32"/>
          <w:lang w:val="en-US" w:eastAsia="zh-CN"/>
        </w:rPr>
        <w:t>94</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290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10.3%。</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通过项目实施，完成了年初设定的各项绩效目标，有效保障了政府食堂供餐需要。</w:t>
      </w:r>
    </w:p>
    <w:p>
      <w:pPr>
        <w:numPr>
          <w:ilvl w:val="0"/>
          <w:numId w:val="4"/>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机关大楼热力费</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机关大楼热力费相关支出</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1067.08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通过项目实施，完成了年初设定的各项绩效目标，有效保障了全区办公区域正常供暖。</w:t>
      </w:r>
    </w:p>
    <w:p>
      <w:pPr>
        <w:numPr>
          <w:ilvl w:val="0"/>
          <w:numId w:val="4"/>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全区重大活动经费</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全区重大活动经费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94</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564.93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193.94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34.3%</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通过项目实施，完成了年初设定的各项绩效目标，有效保障了全区重大活动的有序开展。</w:t>
      </w:r>
    </w:p>
    <w:p>
      <w:pPr>
        <w:numPr>
          <w:ilvl w:val="0"/>
          <w:numId w:val="4"/>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政府大楼运行维护费</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政府大楼运行维护费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96</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882.7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646.95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73.3%</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通过项目实施，完成了年初设定的各项绩效目标，有效保障了全区办公区域正常办公。</w:t>
      </w:r>
    </w:p>
    <w:p>
      <w:pPr>
        <w:numPr>
          <w:ilvl w:val="0"/>
          <w:numId w:val="4"/>
        </w:numPr>
        <w:adjustRightInd w:val="0"/>
        <w:snapToGrid w:val="0"/>
        <w:spacing w:line="580" w:lineRule="exact"/>
        <w:ind w:left="-10" w:leftChars="0" w:firstLine="640" w:firstLineChars="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政府综合办公楼和市民中心消防维修工程项目绩效自评综述：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政府综合办公楼和市民中心消防维修工程</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96</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115.8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w:t>
      </w:r>
      <w:r>
        <w:rPr>
          <w:rFonts w:hint="eastAsia" w:ascii="仿宋_GB2312" w:hAnsi="仿宋_GB2312" w:eastAsia="仿宋_GB2312" w:cs="仿宋_GB2312"/>
          <w:sz w:val="32"/>
          <w:szCs w:val="32"/>
          <w:lang w:val="en-US" w:eastAsia="zh-CN"/>
        </w:rPr>
        <w:t>做好政府大楼集中办公区域及市民中心消防工程维修工作。</w:t>
      </w:r>
    </w:p>
    <w:tbl>
      <w:tblPr>
        <w:tblStyle w:val="11"/>
        <w:tblW w:w="9080" w:type="dxa"/>
        <w:jc w:val="center"/>
        <w:tblLayout w:type="fixed"/>
        <w:tblCellMar>
          <w:top w:w="0" w:type="dxa"/>
          <w:left w:w="108" w:type="dxa"/>
          <w:bottom w:w="0" w:type="dxa"/>
          <w:right w:w="108" w:type="dxa"/>
        </w:tblCellMar>
      </w:tblPr>
      <w:tblGrid>
        <w:gridCol w:w="588"/>
        <w:gridCol w:w="980"/>
        <w:gridCol w:w="111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4" w:hRule="exact"/>
          <w:jc w:val="center"/>
        </w:trPr>
        <w:tc>
          <w:tcPr>
            <w:tcW w:w="9080" w:type="dxa"/>
            <w:gridSpan w:val="14"/>
            <w:tcBorders>
              <w:top w:val="nil"/>
              <w:left w:val="nil"/>
              <w:bottom w:val="nil"/>
              <w:right w:val="nil"/>
            </w:tcBorders>
            <w:noWrap/>
            <w:vAlign w:val="center"/>
          </w:tcPr>
          <w:p>
            <w:pPr>
              <w:widowControl/>
              <w:spacing w:line="320" w:lineRule="exact"/>
              <w:ind w:firstLine="3373" w:firstLineChars="1400"/>
              <w:jc w:val="both"/>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trHeight w:val="201" w:hRule="atLeast"/>
          <w:jc w:val="center"/>
        </w:trPr>
        <w:tc>
          <w:tcPr>
            <w:tcW w:w="9080" w:type="dxa"/>
            <w:gridSpan w:val="14"/>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（202</w:t>
            </w:r>
            <w:r>
              <w:rPr>
                <w:rFonts w:hint="eastAsia" w:ascii="宋体" w:hAnsi="宋体" w:cs="宋体"/>
                <w:kern w:val="0"/>
                <w:sz w:val="22"/>
                <w:szCs w:val="22"/>
                <w:lang w:val="en-US" w:eastAsia="zh-CN"/>
              </w:rPr>
              <w:t>3</w:t>
            </w:r>
            <w:r>
              <w:rPr>
                <w:rFonts w:hint="eastAsia" w:ascii="宋体" w:hAnsi="宋体" w:cs="宋体"/>
                <w:kern w:val="0"/>
                <w:sz w:val="22"/>
                <w:szCs w:val="22"/>
              </w:rPr>
              <w:t>年度）</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安达加油站相关支出</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r>
      <w:tr>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29.59</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29.59</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31.11</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105%</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29.59</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29.59</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31.11</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105%</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trHeight w:val="715"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在经费保障的前提下及时地为职工缴纳医保、支付物业补贴及取暖费</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及时为职工缴纳医保、支付物业补贴及取暖费</w:t>
            </w:r>
          </w:p>
        </w:tc>
      </w:tr>
      <w:tr>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31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经费覆盖率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物业补贴、取暖费发放及时程度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缴纳时效性</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预算资金完成率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3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职工反馈意见回复率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社会稳定水平</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9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生态环境改善程度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4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该项目持续发挥作用的周期</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=365天</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=365天</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7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职工对经费发放的满意度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55" w:hRule="exact"/>
          <w:jc w:val="center"/>
        </w:trPr>
        <w:tc>
          <w:tcPr>
            <w:tcW w:w="588"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73" w:hRule="exact"/>
          <w:jc w:val="center"/>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100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24" w:hRule="exact"/>
          <w:jc w:val="center"/>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trHeight w:val="201" w:hRule="atLeast"/>
          <w:jc w:val="center"/>
        </w:trPr>
        <w:tc>
          <w:tcPr>
            <w:tcW w:w="9080" w:type="dxa"/>
            <w:gridSpan w:val="14"/>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w:t>
            </w:r>
            <w:r>
              <w:rPr>
                <w:rFonts w:hint="eastAsia" w:ascii="宋体" w:hAnsi="宋体" w:cs="宋体"/>
                <w:kern w:val="0"/>
                <w:sz w:val="22"/>
                <w:szCs w:val="22"/>
                <w:lang w:eastAsia="zh-CN"/>
              </w:rPr>
              <w:t>2023</w:t>
            </w:r>
            <w:r>
              <w:rPr>
                <w:rFonts w:hint="eastAsia" w:ascii="宋体" w:hAnsi="宋体" w:cs="宋体"/>
                <w:kern w:val="0"/>
                <w:sz w:val="22"/>
                <w:szCs w:val="22"/>
              </w:rPr>
              <w:t>年度）</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公务用车经费</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r>
      <w:tr>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95</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trHeight w:val="590"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保障调研用车安全，做好后勤保障</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已购置两辆公务用车，保障调研用车安全</w:t>
            </w:r>
          </w:p>
        </w:tc>
      </w:tr>
      <w:tr>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31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车辆购置数量</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sz w:val="18"/>
                <w:szCs w:val="18"/>
                <w:lang w:val="en-US" w:eastAsia="zh-CN"/>
              </w:rPr>
              <w:t>=2辆</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=2辆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车辆技术指标达标比率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2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车辆采购到位及时程度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4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车辆实际采购价格占采购计划的比率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3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对反馈对象反馈意见的回复程度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9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服务对象对车辆服务的满意程度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9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办公环境改善程度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4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该项目持续发挥作用的周期</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w:t>
            </w:r>
            <w:r>
              <w:rPr>
                <w:rFonts w:hint="eastAsia" w:ascii="宋体" w:hAnsi="宋体" w:cs="宋体"/>
                <w:kern w:val="0"/>
                <w:sz w:val="18"/>
                <w:szCs w:val="18"/>
                <w:lang w:val="en-US" w:eastAsia="zh-CN"/>
              </w:rPr>
              <w:t>365天</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w:t>
            </w:r>
            <w:r>
              <w:rPr>
                <w:rFonts w:hint="eastAsia" w:ascii="宋体" w:hAnsi="宋体" w:cs="宋体"/>
                <w:kern w:val="0"/>
                <w:sz w:val="18"/>
                <w:szCs w:val="18"/>
                <w:lang w:val="en-US" w:eastAsia="zh-CN"/>
              </w:rPr>
              <w:t>365天</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7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服务对象反馈的满意度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94</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bl>
    <w:p>
      <w:pPr>
        <w:spacing w:line="540" w:lineRule="exact"/>
        <w:jc w:val="left"/>
        <w:rPr>
          <w:rFonts w:ascii="宋体" w:hAnsi="宋体" w:eastAsia="仿宋_GB2312"/>
          <w:szCs w:val="32"/>
        </w:rPr>
      </w:pPr>
    </w:p>
    <w:p>
      <w:pPr>
        <w:spacing w:line="300" w:lineRule="exact"/>
        <w:rPr>
          <w:rFonts w:hint="eastAsia" w:ascii="黑体" w:hAnsi="黑体" w:eastAsia="黑体"/>
          <w:szCs w:val="32"/>
        </w:rPr>
      </w:pPr>
    </w:p>
    <w:tbl>
      <w:tblPr>
        <w:tblStyle w:val="11"/>
        <w:tblW w:w="9080" w:type="dxa"/>
        <w:jc w:val="center"/>
        <w:tblLayout w:type="fixed"/>
        <w:tblCellMar>
          <w:top w:w="0" w:type="dxa"/>
          <w:left w:w="108" w:type="dxa"/>
          <w:bottom w:w="0" w:type="dxa"/>
          <w:right w:w="108" w:type="dxa"/>
        </w:tblCellMar>
      </w:tblPr>
      <w:tblGrid>
        <w:gridCol w:w="588"/>
        <w:gridCol w:w="980"/>
        <w:gridCol w:w="111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4" w:hRule="exact"/>
          <w:jc w:val="center"/>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trHeight w:val="201" w:hRule="atLeast"/>
          <w:jc w:val="center"/>
        </w:trPr>
        <w:tc>
          <w:tcPr>
            <w:tcW w:w="9080" w:type="dxa"/>
            <w:gridSpan w:val="14"/>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w:t>
            </w:r>
            <w:r>
              <w:rPr>
                <w:rFonts w:hint="eastAsia" w:ascii="宋体" w:hAnsi="宋体" w:cs="宋体"/>
                <w:kern w:val="0"/>
                <w:sz w:val="22"/>
                <w:szCs w:val="22"/>
                <w:lang w:eastAsia="zh-CN"/>
              </w:rPr>
              <w:t>2023</w:t>
            </w:r>
            <w:r>
              <w:rPr>
                <w:rFonts w:hint="eastAsia" w:ascii="宋体" w:hAnsi="宋体" w:cs="宋体"/>
                <w:kern w:val="0"/>
                <w:sz w:val="22"/>
                <w:szCs w:val="22"/>
              </w:rPr>
              <w:t>年度）</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both"/>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法院诉讼中心建设项目</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r>
      <w:tr>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22.2%</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94</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trHeight w:val="715"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highlight w:val="none"/>
                <w:lang w:eastAsia="zh-CN"/>
              </w:rPr>
              <w:t>推进单位办公用房修缮改造项目，做好</w:t>
            </w:r>
            <w:r>
              <w:rPr>
                <w:rFonts w:hint="eastAsia" w:ascii="宋体" w:hAnsi="宋体" w:cs="宋体"/>
                <w:kern w:val="0"/>
                <w:sz w:val="18"/>
                <w:szCs w:val="18"/>
                <w:highlight w:val="none"/>
                <w:lang w:val="en-US" w:eastAsia="zh-CN"/>
              </w:rPr>
              <w:t>法院诉讼中心</w:t>
            </w:r>
            <w:r>
              <w:rPr>
                <w:rFonts w:hint="eastAsia" w:ascii="宋体" w:hAnsi="宋体" w:cs="宋体"/>
                <w:kern w:val="0"/>
                <w:sz w:val="18"/>
                <w:szCs w:val="18"/>
                <w:highlight w:val="none"/>
                <w:lang w:eastAsia="zh-CN"/>
              </w:rPr>
              <w:t>综合办公楼面貌改造提升以及大楼内外各种线路整理工作</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default" w:ascii="宋体" w:hAnsi="宋体" w:eastAsia="宋体" w:cs="宋体"/>
                <w:kern w:val="0"/>
                <w:sz w:val="18"/>
                <w:szCs w:val="18"/>
                <w:lang w:val="en-US" w:eastAsia="zh-CN"/>
              </w:rPr>
            </w:pPr>
            <w:r>
              <w:rPr>
                <w:rFonts w:hint="eastAsia" w:ascii="宋体" w:hAnsi="宋体" w:cs="宋体"/>
                <w:kern w:val="0"/>
                <w:sz w:val="18"/>
                <w:szCs w:val="18"/>
                <w:highlight w:val="none"/>
                <w:lang w:val="en-US" w:eastAsia="zh-CN"/>
              </w:rPr>
              <w:t>完成法院诉讼中心各项建设项目保障运行</w:t>
            </w:r>
          </w:p>
        </w:tc>
      </w:tr>
      <w:tr>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31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经费覆盖率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工程改造质量</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维修改造时效性</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221"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预算资金完成率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14</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3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职工反馈意见回复率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社会稳定水平</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9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办公环境改善程度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4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该项目持续发挥作用的周期</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=365天</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=365天</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7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职工对经费发放的满意度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94</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bl>
    <w:p>
      <w:pPr>
        <w:rPr>
          <w:rFonts w:ascii="黑体" w:hAnsi="黑体" w:eastAsia="黑体"/>
        </w:rPr>
      </w:pPr>
    </w:p>
    <w:p>
      <w:pPr>
        <w:rPr>
          <w:rFonts w:ascii="黑体" w:hAnsi="黑体" w:eastAsia="黑体"/>
        </w:rPr>
        <w:sectPr>
          <w:pgSz w:w="11906" w:h="16838"/>
          <w:pgMar w:top="1928" w:right="1531" w:bottom="1701" w:left="1531" w:header="737" w:footer="851" w:gutter="0"/>
          <w:cols w:space="720" w:num="1"/>
          <w:docGrid w:type="lines" w:linePitch="408" w:charSpace="0"/>
        </w:sectPr>
      </w:pPr>
    </w:p>
    <w:tbl>
      <w:tblPr>
        <w:tblStyle w:val="11"/>
        <w:tblW w:w="9080" w:type="dxa"/>
        <w:jc w:val="center"/>
        <w:tblLayout w:type="fixed"/>
        <w:tblCellMar>
          <w:top w:w="0" w:type="dxa"/>
          <w:left w:w="108" w:type="dxa"/>
          <w:bottom w:w="0" w:type="dxa"/>
          <w:right w:w="108" w:type="dxa"/>
        </w:tblCellMar>
      </w:tblPr>
      <w:tblGrid>
        <w:gridCol w:w="588"/>
        <w:gridCol w:w="980"/>
        <w:gridCol w:w="111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4" w:hRule="exact"/>
          <w:jc w:val="center"/>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trHeight w:val="201" w:hRule="atLeast"/>
          <w:jc w:val="center"/>
        </w:trPr>
        <w:tc>
          <w:tcPr>
            <w:tcW w:w="9080" w:type="dxa"/>
            <w:gridSpan w:val="14"/>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w:t>
            </w:r>
            <w:r>
              <w:rPr>
                <w:rFonts w:hint="eastAsia" w:ascii="宋体" w:hAnsi="宋体" w:cs="宋体"/>
                <w:kern w:val="0"/>
                <w:sz w:val="22"/>
                <w:szCs w:val="22"/>
                <w:lang w:eastAsia="zh-CN"/>
              </w:rPr>
              <w:t>2023</w:t>
            </w:r>
            <w:r>
              <w:rPr>
                <w:rFonts w:hint="eastAsia" w:ascii="宋体" w:hAnsi="宋体" w:cs="宋体"/>
                <w:kern w:val="0"/>
                <w:sz w:val="22"/>
                <w:szCs w:val="22"/>
              </w:rPr>
              <w:t>年度）</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后勤综合保障经费</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r>
      <w:tr>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647</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647</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267</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41.3%</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96</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647</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647</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267</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trHeight w:val="715"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highlight w:val="none"/>
                <w:lang w:eastAsia="zh-CN"/>
              </w:rPr>
              <w:t>高标准提升后勤服务品质，深化后勤机关体制机制建设和后勤服务团队建设，确保各项工作任务圆满完成</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highlight w:val="none"/>
                <w:lang w:eastAsia="zh-CN"/>
              </w:rPr>
              <w:t>加强机关办公区保洁、绿化安全保卫管理</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保障工作任务圆满完成</w:t>
            </w:r>
          </w:p>
        </w:tc>
      </w:tr>
      <w:tr>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31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经费覆盖率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后勤机关服务水平</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44"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后勤服务项目及时性</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预算资金完成率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14</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3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职工反馈意见回复率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社会稳定水平</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9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办公环境改善程度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4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该项目持续发挥作用的周期</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=365天</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=365天</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7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干部职工的满意度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94</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bl>
    <w:p>
      <w:pPr>
        <w:rPr>
          <w:rFonts w:ascii="黑体" w:hAnsi="黑体" w:eastAsia="黑体"/>
        </w:rPr>
        <w:sectPr>
          <w:pgSz w:w="11906" w:h="16838"/>
          <w:pgMar w:top="1928" w:right="1531" w:bottom="1701" w:left="1531" w:header="737" w:footer="851" w:gutter="0"/>
          <w:cols w:space="720" w:num="1"/>
          <w:docGrid w:type="lines" w:linePitch="408" w:charSpace="0"/>
        </w:sectPr>
      </w:pPr>
    </w:p>
    <w:tbl>
      <w:tblPr>
        <w:tblStyle w:val="11"/>
        <w:tblW w:w="9080" w:type="dxa"/>
        <w:jc w:val="center"/>
        <w:tblLayout w:type="fixed"/>
        <w:tblCellMar>
          <w:top w:w="0" w:type="dxa"/>
          <w:left w:w="108" w:type="dxa"/>
          <w:bottom w:w="0" w:type="dxa"/>
          <w:right w:w="108" w:type="dxa"/>
        </w:tblCellMar>
      </w:tblPr>
      <w:tblGrid>
        <w:gridCol w:w="588"/>
        <w:gridCol w:w="980"/>
        <w:gridCol w:w="111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4" w:hRule="exact"/>
          <w:jc w:val="center"/>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trHeight w:val="201" w:hRule="atLeast"/>
          <w:jc w:val="center"/>
        </w:trPr>
        <w:tc>
          <w:tcPr>
            <w:tcW w:w="9080" w:type="dxa"/>
            <w:gridSpan w:val="14"/>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w:t>
            </w:r>
            <w:r>
              <w:rPr>
                <w:rFonts w:hint="eastAsia" w:ascii="宋体" w:hAnsi="宋体" w:cs="宋体"/>
                <w:kern w:val="0"/>
                <w:sz w:val="22"/>
                <w:szCs w:val="22"/>
                <w:lang w:eastAsia="zh-CN"/>
              </w:rPr>
              <w:t>2023</w:t>
            </w:r>
            <w:r>
              <w:rPr>
                <w:rFonts w:hint="eastAsia" w:ascii="宋体" w:hAnsi="宋体" w:cs="宋体"/>
                <w:kern w:val="0"/>
                <w:sz w:val="22"/>
                <w:szCs w:val="22"/>
              </w:rPr>
              <w:t>年度）</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职工食堂改造</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r>
      <w:tr>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290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290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10.3%</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94</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290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290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trHeight w:val="715"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highlight w:val="none"/>
                <w:lang w:eastAsia="zh-CN"/>
              </w:rPr>
              <w:t>以提高服务对象满意度为标准，进一步深化“幸福食堂”打造，积极做好食堂整体布局化和菜品多样性提升，改善食堂软硬件环境</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default" w:ascii="宋体" w:hAnsi="宋体" w:eastAsia="宋体" w:cs="宋体"/>
                <w:kern w:val="0"/>
                <w:sz w:val="18"/>
                <w:szCs w:val="18"/>
                <w:lang w:val="en-US" w:eastAsia="zh-CN"/>
              </w:rPr>
            </w:pPr>
            <w:r>
              <w:rPr>
                <w:rFonts w:hint="eastAsia" w:ascii="宋体" w:hAnsi="宋体" w:cs="宋体"/>
                <w:kern w:val="0"/>
                <w:sz w:val="18"/>
                <w:szCs w:val="18"/>
                <w:highlight w:val="none"/>
                <w:lang w:val="en-US" w:eastAsia="zh-CN"/>
              </w:rPr>
              <w:t>提升了食堂硬件环境、菜品多样性，提供了高质量服务</w:t>
            </w:r>
          </w:p>
        </w:tc>
      </w:tr>
      <w:tr>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31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经费覆盖率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食堂环境及菜品质量</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56"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菜品更新率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预算资金完成率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14</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3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职工反馈意见回复率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社会稳定水平</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9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食堂环境改善程度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4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该项目持续发挥作用的周期</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=365天</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=365天</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7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职工对食堂的满意度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94</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bl>
    <w:p>
      <w:pPr>
        <w:rPr>
          <w:rFonts w:ascii="黑体" w:hAnsi="黑体" w:eastAsia="黑体"/>
        </w:rPr>
        <w:sectPr>
          <w:pgSz w:w="11906" w:h="16838"/>
          <w:pgMar w:top="1928" w:right="1531" w:bottom="1701" w:left="1531" w:header="737" w:footer="851" w:gutter="0"/>
          <w:cols w:space="720" w:num="1"/>
          <w:docGrid w:type="lines" w:linePitch="408" w:charSpace="0"/>
        </w:sectPr>
      </w:pPr>
    </w:p>
    <w:tbl>
      <w:tblPr>
        <w:tblStyle w:val="11"/>
        <w:tblW w:w="9959" w:type="dxa"/>
        <w:jc w:val="center"/>
        <w:tblLayout w:type="fixed"/>
        <w:tblCellMar>
          <w:top w:w="0" w:type="dxa"/>
          <w:left w:w="108" w:type="dxa"/>
          <w:bottom w:w="0" w:type="dxa"/>
          <w:right w:w="108" w:type="dxa"/>
        </w:tblCellMar>
      </w:tblPr>
      <w:tblGrid>
        <w:gridCol w:w="588"/>
        <w:gridCol w:w="30"/>
        <w:gridCol w:w="945"/>
        <w:gridCol w:w="5"/>
        <w:gridCol w:w="1000"/>
        <w:gridCol w:w="112"/>
        <w:gridCol w:w="730"/>
        <w:gridCol w:w="178"/>
        <w:gridCol w:w="956"/>
        <w:gridCol w:w="169"/>
        <w:gridCol w:w="115"/>
        <w:gridCol w:w="5"/>
        <w:gridCol w:w="845"/>
        <w:gridCol w:w="236"/>
        <w:gridCol w:w="87"/>
        <w:gridCol w:w="528"/>
        <w:gridCol w:w="283"/>
        <w:gridCol w:w="137"/>
        <w:gridCol w:w="135"/>
        <w:gridCol w:w="12"/>
        <w:gridCol w:w="425"/>
        <w:gridCol w:w="58"/>
        <w:gridCol w:w="75"/>
        <w:gridCol w:w="9"/>
        <w:gridCol w:w="597"/>
        <w:gridCol w:w="62"/>
        <w:gridCol w:w="50"/>
        <w:gridCol w:w="651"/>
        <w:gridCol w:w="700"/>
        <w:gridCol w:w="7"/>
        <w:gridCol w:w="229"/>
      </w:tblGrid>
      <w:tr>
        <w:tblPrEx>
          <w:tblCellMar>
            <w:top w:w="0" w:type="dxa"/>
            <w:left w:w="108" w:type="dxa"/>
            <w:bottom w:w="0" w:type="dxa"/>
            <w:right w:w="108" w:type="dxa"/>
          </w:tblCellMar>
        </w:tblPrEx>
        <w:trPr>
          <w:gridAfter w:val="1"/>
          <w:wAfter w:w="229" w:type="dxa"/>
          <w:trHeight w:val="454" w:hRule="exact"/>
          <w:jc w:val="center"/>
        </w:trPr>
        <w:tc>
          <w:tcPr>
            <w:tcW w:w="9730" w:type="dxa"/>
            <w:gridSpan w:val="30"/>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lang w:val="en-US" w:eastAsia="zh-CN"/>
              </w:rPr>
              <w:t xml:space="preserve"> </w:t>
            </w: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gridAfter w:val="1"/>
          <w:wAfter w:w="229" w:type="dxa"/>
          <w:trHeight w:val="201" w:hRule="atLeast"/>
          <w:jc w:val="center"/>
        </w:trPr>
        <w:tc>
          <w:tcPr>
            <w:tcW w:w="9730" w:type="dxa"/>
            <w:gridSpan w:val="30"/>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w:t>
            </w:r>
            <w:r>
              <w:rPr>
                <w:rFonts w:hint="eastAsia" w:ascii="宋体" w:hAnsi="宋体" w:cs="宋体"/>
                <w:kern w:val="0"/>
                <w:sz w:val="22"/>
                <w:szCs w:val="22"/>
                <w:lang w:eastAsia="zh-CN"/>
              </w:rPr>
              <w:t>2023</w:t>
            </w:r>
            <w:r>
              <w:rPr>
                <w:rFonts w:hint="eastAsia" w:ascii="宋体" w:hAnsi="宋体" w:cs="宋体"/>
                <w:kern w:val="0"/>
                <w:sz w:val="22"/>
                <w:szCs w:val="22"/>
              </w:rPr>
              <w:t>年度）</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67" w:type="dxa"/>
            <w:gridSpan w:val="27"/>
            <w:tcBorders>
              <w:top w:val="single" w:color="auto" w:sz="4" w:space="0"/>
              <w:left w:val="nil"/>
              <w:bottom w:val="single" w:color="auto" w:sz="4" w:space="0"/>
              <w:right w:val="single" w:color="auto" w:sz="4" w:space="0"/>
            </w:tcBorders>
            <w:noWrap/>
            <w:vAlign w:val="center"/>
          </w:tcPr>
          <w:p>
            <w:pPr>
              <w:widowControl/>
              <w:spacing w:line="240" w:lineRule="exact"/>
              <w:jc w:val="both"/>
              <w:rPr>
                <w:rFonts w:hint="eastAsia" w:ascii="宋体" w:hAnsi="宋体" w:eastAsia="方正书宋_GBK" w:cs="宋体"/>
                <w:kern w:val="0"/>
                <w:sz w:val="18"/>
                <w:szCs w:val="18"/>
                <w:lang w:eastAsia="zh-CN"/>
              </w:rPr>
            </w:pPr>
            <w:r>
              <w:rPr>
                <w:rFonts w:hint="eastAsia" w:ascii="宋体" w:hAnsi="宋体" w:cs="宋体"/>
                <w:kern w:val="0"/>
                <w:sz w:val="18"/>
                <w:szCs w:val="18"/>
                <w:lang w:eastAsia="zh-CN"/>
              </w:rPr>
              <w:t>公建热力费</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38"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c>
          <w:tcPr>
            <w:tcW w:w="1653"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076"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r>
      <w:tr>
        <w:tblPrEx>
          <w:tblCellMar>
            <w:top w:w="0" w:type="dxa"/>
            <w:left w:w="108" w:type="dxa"/>
            <w:bottom w:w="0" w:type="dxa"/>
            <w:right w:w="108" w:type="dxa"/>
          </w:tblCellMar>
        </w:tblPrEx>
        <w:trPr>
          <w:trHeight w:val="300" w:hRule="exact"/>
          <w:jc w:val="center"/>
        </w:trPr>
        <w:tc>
          <w:tcPr>
            <w:tcW w:w="1563"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288" w:type="dxa"/>
            <w:gridSpan w:val="5"/>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653"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606"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1463"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236"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1067.08</w:t>
            </w:r>
          </w:p>
        </w:tc>
        <w:tc>
          <w:tcPr>
            <w:tcW w:w="1288" w:type="dxa"/>
            <w:gridSpan w:val="5"/>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0</w:t>
            </w:r>
          </w:p>
        </w:tc>
        <w:tc>
          <w:tcPr>
            <w:tcW w:w="1653" w:type="dxa"/>
            <w:gridSpan w:val="8"/>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0</w:t>
            </w:r>
          </w:p>
        </w:tc>
        <w:tc>
          <w:tcPr>
            <w:tcW w:w="606"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1463"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236"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95</w:t>
            </w:r>
          </w:p>
        </w:tc>
      </w:tr>
      <w:tr>
        <w:tblPrEx>
          <w:tblCellMar>
            <w:top w:w="0" w:type="dxa"/>
            <w:left w:w="108" w:type="dxa"/>
            <w:bottom w:w="0" w:type="dxa"/>
            <w:right w:w="108" w:type="dxa"/>
          </w:tblCellMar>
        </w:tblPrEx>
        <w:trPr>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1067.08</w:t>
            </w:r>
          </w:p>
        </w:tc>
        <w:tc>
          <w:tcPr>
            <w:tcW w:w="1288" w:type="dxa"/>
            <w:gridSpan w:val="5"/>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0</w:t>
            </w:r>
          </w:p>
        </w:tc>
        <w:tc>
          <w:tcPr>
            <w:tcW w:w="1653" w:type="dxa"/>
            <w:gridSpan w:val="8"/>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0</w:t>
            </w:r>
          </w:p>
        </w:tc>
        <w:tc>
          <w:tcPr>
            <w:tcW w:w="606"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1463"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236"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288" w:type="dxa"/>
            <w:gridSpan w:val="5"/>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653"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06"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1463"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36"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288" w:type="dxa"/>
            <w:gridSpan w:val="5"/>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653"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06"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1463"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36"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383" w:type="dxa"/>
            <w:gridSpan w:val="1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729" w:type="dxa"/>
            <w:gridSpan w:val="1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gridAfter w:val="1"/>
          <w:wAfter w:w="229" w:type="dxa"/>
          <w:trHeight w:val="887" w:hRule="exact"/>
          <w:jc w:val="center"/>
        </w:trPr>
        <w:tc>
          <w:tcPr>
            <w:tcW w:w="618"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383" w:type="dxa"/>
            <w:gridSpan w:val="13"/>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在经费保障的前提下，及时与热力公司结算从而保障全区公共机构正常供暖</w:t>
            </w:r>
          </w:p>
        </w:tc>
        <w:tc>
          <w:tcPr>
            <w:tcW w:w="3729" w:type="dxa"/>
            <w:gridSpan w:val="1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及时完成热力费结算，保障全区公共机构冬季正常供暖</w:t>
            </w:r>
          </w:p>
        </w:tc>
      </w:tr>
      <w:tr>
        <w:tblPrEx>
          <w:tblCellMar>
            <w:top w:w="0" w:type="dxa"/>
            <w:left w:w="108" w:type="dxa"/>
            <w:bottom w:w="0" w:type="dxa"/>
            <w:right w:w="108" w:type="dxa"/>
          </w:tblCellMar>
        </w:tblPrEx>
        <w:trPr>
          <w:gridAfter w:val="1"/>
          <w:wAfter w:w="229" w:type="dxa"/>
          <w:trHeight w:val="533" w:hRule="exact"/>
          <w:jc w:val="center"/>
        </w:trPr>
        <w:tc>
          <w:tcPr>
            <w:tcW w:w="618" w:type="dxa"/>
            <w:gridSpan w:val="2"/>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45"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00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gridAfter w:val="1"/>
          <w:wAfter w:w="229" w:type="dxa"/>
          <w:trHeight w:val="6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经费保障供暖面积</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cs="宋体"/>
                <w:sz w:val="18"/>
                <w:szCs w:val="18"/>
                <w:lang w:val="en-US" w:eastAsia="zh-CN"/>
              </w:rPr>
            </w:pPr>
            <w:r>
              <w:rPr>
                <w:rFonts w:hint="eastAsia" w:ascii="宋体" w:hAnsi="宋体" w:cs="宋体"/>
                <w:sz w:val="18"/>
                <w:szCs w:val="18"/>
                <w:lang w:val="en-US" w:eastAsia="zh-CN"/>
              </w:rPr>
              <w:t>=116618</w:t>
            </w:r>
          </w:p>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sz w:val="18"/>
                <w:szCs w:val="18"/>
                <w:lang w:val="en-US" w:eastAsia="zh-CN"/>
              </w:rPr>
              <w:t>平方米</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cs="宋体"/>
                <w:sz w:val="18"/>
                <w:szCs w:val="18"/>
                <w:lang w:val="en-US" w:eastAsia="zh-CN"/>
              </w:rPr>
            </w:pPr>
            <w:r>
              <w:rPr>
                <w:rFonts w:hint="eastAsia" w:ascii="宋体" w:hAnsi="宋体" w:cs="宋体"/>
                <w:sz w:val="18"/>
                <w:szCs w:val="18"/>
                <w:lang w:val="en-US" w:eastAsia="zh-CN"/>
              </w:rPr>
              <w:t>=116618</w:t>
            </w:r>
          </w:p>
          <w:p>
            <w:pPr>
              <w:widowControl/>
              <w:spacing w:line="240" w:lineRule="exact"/>
              <w:jc w:val="center"/>
              <w:rPr>
                <w:rFonts w:ascii="宋体" w:hAnsi="宋体" w:cs="宋体"/>
                <w:kern w:val="0"/>
                <w:sz w:val="18"/>
                <w:szCs w:val="18"/>
              </w:rPr>
            </w:pPr>
            <w:r>
              <w:rPr>
                <w:rFonts w:hint="eastAsia" w:ascii="宋体" w:hAnsi="宋体" w:cs="宋体"/>
                <w:sz w:val="18"/>
                <w:szCs w:val="18"/>
                <w:lang w:val="en-US" w:eastAsia="zh-CN"/>
              </w:rPr>
              <w:t>平方米</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6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供暖温度达标的比率</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555"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供暖保障的及时程度</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预算资金完成率</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15</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63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效益指标</w:t>
            </w:r>
          </w:p>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对服务对象反馈意见回复比率</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495"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对服务对象的回访程度</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495"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办公环境改善程度</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54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可持续影响指标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项目持续发挥作用的周期</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eastAsia="宋体" w:cs="宋体"/>
                <w:sz w:val="18"/>
                <w:szCs w:val="18"/>
              </w:rPr>
              <w:t>&gt;=</w:t>
            </w:r>
            <w:r>
              <w:rPr>
                <w:rFonts w:hint="eastAsia" w:ascii="宋体" w:hAnsi="宋体" w:cs="宋体"/>
                <w:sz w:val="18"/>
                <w:szCs w:val="18"/>
                <w:lang w:val="en-US" w:eastAsia="zh-CN"/>
              </w:rPr>
              <w:t>4月</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w:t>
            </w:r>
            <w:r>
              <w:rPr>
                <w:rFonts w:hint="eastAsia" w:ascii="宋体" w:hAnsi="宋体" w:cs="宋体"/>
                <w:sz w:val="18"/>
                <w:szCs w:val="18"/>
                <w:lang w:val="en-US" w:eastAsia="zh-CN"/>
              </w:rPr>
              <w:t>4月</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57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服务对象满意度指标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提供服务的满意率</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1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8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7084" w:type="dxa"/>
            <w:gridSpan w:val="19"/>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7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8"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95</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454" w:hRule="exact"/>
          <w:jc w:val="center"/>
        </w:trPr>
        <w:tc>
          <w:tcPr>
            <w:tcW w:w="9730" w:type="dxa"/>
            <w:gridSpan w:val="30"/>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gridAfter w:val="1"/>
          <w:wAfter w:w="229" w:type="dxa"/>
          <w:trHeight w:val="201" w:hRule="atLeast"/>
          <w:jc w:val="center"/>
        </w:trPr>
        <w:tc>
          <w:tcPr>
            <w:tcW w:w="9730" w:type="dxa"/>
            <w:gridSpan w:val="30"/>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w:t>
            </w:r>
            <w:r>
              <w:rPr>
                <w:rFonts w:hint="eastAsia" w:ascii="宋体" w:hAnsi="宋体" w:cs="宋体"/>
                <w:kern w:val="0"/>
                <w:sz w:val="22"/>
                <w:szCs w:val="22"/>
                <w:lang w:eastAsia="zh-CN"/>
              </w:rPr>
              <w:t>2023</w:t>
            </w:r>
            <w:r>
              <w:rPr>
                <w:rFonts w:hint="eastAsia" w:ascii="宋体" w:hAnsi="宋体" w:cs="宋体"/>
                <w:kern w:val="0"/>
                <w:sz w:val="22"/>
                <w:szCs w:val="22"/>
              </w:rPr>
              <w:t>年度）</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67" w:type="dxa"/>
            <w:gridSpan w:val="27"/>
            <w:tcBorders>
              <w:top w:val="single" w:color="auto" w:sz="4" w:space="0"/>
              <w:left w:val="nil"/>
              <w:bottom w:val="single" w:color="auto" w:sz="4" w:space="0"/>
              <w:right w:val="single" w:color="auto" w:sz="4" w:space="0"/>
            </w:tcBorders>
            <w:noWrap/>
            <w:vAlign w:val="center"/>
          </w:tcPr>
          <w:p>
            <w:pPr>
              <w:widowControl/>
              <w:spacing w:line="240" w:lineRule="exact"/>
              <w:jc w:val="both"/>
              <w:rPr>
                <w:rFonts w:hint="eastAsia" w:ascii="宋体" w:hAnsi="宋体" w:eastAsia="方正书宋_GBK" w:cs="宋体"/>
                <w:kern w:val="0"/>
                <w:sz w:val="18"/>
                <w:szCs w:val="18"/>
                <w:lang w:eastAsia="zh-CN"/>
              </w:rPr>
            </w:pPr>
            <w:r>
              <w:rPr>
                <w:rFonts w:hint="eastAsia" w:ascii="宋体" w:hAnsi="宋体" w:cs="宋体"/>
                <w:kern w:val="0"/>
                <w:sz w:val="18"/>
                <w:szCs w:val="18"/>
                <w:lang w:eastAsia="zh-CN"/>
              </w:rPr>
              <w:t>全区重大活动经费</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351" w:type="dxa"/>
            <w:gridSpan w:val="11"/>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151" w:type="dxa"/>
            <w:gridSpan w:val="8"/>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564.93</w:t>
            </w: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564.93</w:t>
            </w: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193.94</w:t>
            </w: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34.3%</w:t>
            </w: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94</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564.93</w:t>
            </w: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564.93</w:t>
            </w: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193.94</w:t>
            </w: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34.3%</w:t>
            </w: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296"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816" w:type="dxa"/>
            <w:gridSpan w:val="1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gridAfter w:val="1"/>
          <w:wAfter w:w="229" w:type="dxa"/>
          <w:trHeight w:val="887" w:hRule="exact"/>
          <w:jc w:val="center"/>
        </w:trPr>
        <w:tc>
          <w:tcPr>
            <w:tcW w:w="618"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296"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做好区“两会”及区委、区政府公务接待方面的后勤保障工作</w:t>
            </w:r>
          </w:p>
        </w:tc>
        <w:tc>
          <w:tcPr>
            <w:tcW w:w="3816" w:type="dxa"/>
            <w:gridSpan w:val="16"/>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完成“两会””及区委、区政府公务接待方面的后勤保障工作</w:t>
            </w:r>
          </w:p>
        </w:tc>
      </w:tr>
      <w:tr>
        <w:tblPrEx>
          <w:tblCellMar>
            <w:top w:w="0" w:type="dxa"/>
            <w:left w:w="108" w:type="dxa"/>
            <w:bottom w:w="0" w:type="dxa"/>
            <w:right w:w="108" w:type="dxa"/>
          </w:tblCellMar>
        </w:tblPrEx>
        <w:trPr>
          <w:gridAfter w:val="1"/>
          <w:wAfter w:w="229" w:type="dxa"/>
          <w:trHeight w:val="533" w:hRule="exact"/>
          <w:jc w:val="center"/>
        </w:trPr>
        <w:tc>
          <w:tcPr>
            <w:tcW w:w="618" w:type="dxa"/>
            <w:gridSpan w:val="2"/>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45"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00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gridAfter w:val="1"/>
          <w:wAfter w:w="229" w:type="dxa"/>
          <w:trHeight w:val="6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公务接待率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6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公务接待任务完成率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555"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实际资金占应到位资金的比例</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预算资金完成率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14</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63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效益指标</w:t>
            </w:r>
          </w:p>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对服务对象反馈意见回复比率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495"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对服务对象的回访程度</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495"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确保项目政治导向正确</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54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可持续影响指标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项目持续发挥作用的周期</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eastAsia="宋体" w:cs="宋体"/>
                <w:sz w:val="18"/>
                <w:szCs w:val="18"/>
              </w:rPr>
              <w:t>&gt;=</w:t>
            </w:r>
            <w:r>
              <w:rPr>
                <w:rFonts w:hint="eastAsia" w:ascii="宋体" w:hAnsi="宋体" w:cs="宋体"/>
                <w:sz w:val="18"/>
                <w:szCs w:val="18"/>
                <w:lang w:val="en-US" w:eastAsia="zh-CN"/>
              </w:rPr>
              <w:t>4月</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w:t>
            </w:r>
            <w:r>
              <w:rPr>
                <w:rFonts w:hint="eastAsia" w:ascii="宋体" w:hAnsi="宋体" w:cs="宋体"/>
                <w:sz w:val="18"/>
                <w:szCs w:val="18"/>
                <w:lang w:val="en-US" w:eastAsia="zh-CN"/>
              </w:rPr>
              <w:t>4月</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57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服务对象满意度指标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提供服务的满意率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949" w:type="dxa"/>
            <w:gridSpan w:val="1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94</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454" w:hRule="exact"/>
          <w:jc w:val="center"/>
        </w:trPr>
        <w:tc>
          <w:tcPr>
            <w:tcW w:w="9730" w:type="dxa"/>
            <w:gridSpan w:val="30"/>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gridAfter w:val="1"/>
          <w:wAfter w:w="229" w:type="dxa"/>
          <w:trHeight w:val="201" w:hRule="atLeast"/>
          <w:jc w:val="center"/>
        </w:trPr>
        <w:tc>
          <w:tcPr>
            <w:tcW w:w="9730" w:type="dxa"/>
            <w:gridSpan w:val="30"/>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w:t>
            </w:r>
            <w:r>
              <w:rPr>
                <w:rFonts w:hint="eastAsia" w:ascii="宋体" w:hAnsi="宋体" w:cs="宋体"/>
                <w:kern w:val="0"/>
                <w:sz w:val="22"/>
                <w:szCs w:val="22"/>
                <w:lang w:eastAsia="zh-CN"/>
              </w:rPr>
              <w:t>2023</w:t>
            </w:r>
            <w:r>
              <w:rPr>
                <w:rFonts w:hint="eastAsia" w:ascii="宋体" w:hAnsi="宋体" w:cs="宋体"/>
                <w:kern w:val="0"/>
                <w:sz w:val="22"/>
                <w:szCs w:val="22"/>
              </w:rPr>
              <w:t>年度）</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67" w:type="dxa"/>
            <w:gridSpan w:val="27"/>
            <w:tcBorders>
              <w:top w:val="single" w:color="auto" w:sz="4" w:space="0"/>
              <w:left w:val="nil"/>
              <w:bottom w:val="single" w:color="auto" w:sz="4" w:space="0"/>
              <w:right w:val="single" w:color="auto" w:sz="4" w:space="0"/>
            </w:tcBorders>
            <w:noWrap/>
            <w:vAlign w:val="center"/>
          </w:tcPr>
          <w:p>
            <w:pPr>
              <w:widowControl/>
              <w:spacing w:line="240" w:lineRule="exact"/>
              <w:jc w:val="both"/>
              <w:rPr>
                <w:rFonts w:hint="eastAsia" w:ascii="宋体" w:hAnsi="宋体" w:eastAsia="方正书宋_GBK" w:cs="宋体"/>
                <w:kern w:val="0"/>
                <w:sz w:val="18"/>
                <w:szCs w:val="18"/>
                <w:lang w:eastAsia="zh-CN"/>
              </w:rPr>
            </w:pPr>
            <w:r>
              <w:rPr>
                <w:rFonts w:hint="eastAsia" w:ascii="宋体" w:hAnsi="宋体" w:eastAsia="宋体" w:cs="宋体"/>
                <w:kern w:val="0"/>
                <w:sz w:val="18"/>
                <w:szCs w:val="18"/>
                <w:lang w:eastAsia="zh-CN"/>
              </w:rPr>
              <w:t>政府大楼运行维护费</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351" w:type="dxa"/>
            <w:gridSpan w:val="11"/>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151" w:type="dxa"/>
            <w:gridSpan w:val="8"/>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882.7</w:t>
            </w: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882.7</w:t>
            </w: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646.95</w:t>
            </w: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73.3%</w:t>
            </w: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96</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882.7</w:t>
            </w: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882.7</w:t>
            </w: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646.95</w:t>
            </w: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73.3%</w:t>
            </w: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1"/>
          <w:wAfter w:w="229" w:type="dxa"/>
          <w:trHeight w:val="300" w:hRule="exact"/>
          <w:jc w:val="center"/>
        </w:trPr>
        <w:tc>
          <w:tcPr>
            <w:tcW w:w="1563" w:type="dxa"/>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25"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2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201"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665" w:type="dxa"/>
            <w:gridSpan w:val="8"/>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8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3"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296"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816" w:type="dxa"/>
            <w:gridSpan w:val="1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gridAfter w:val="1"/>
          <w:wAfter w:w="229" w:type="dxa"/>
          <w:trHeight w:val="887" w:hRule="exact"/>
          <w:jc w:val="center"/>
        </w:trPr>
        <w:tc>
          <w:tcPr>
            <w:tcW w:w="618"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296"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做好集中办公区域房屋改造、修缮工作及各种设备、设施维修保养，为机关正常办公提供有利的后勤保障</w:t>
            </w:r>
          </w:p>
        </w:tc>
        <w:tc>
          <w:tcPr>
            <w:tcW w:w="3816" w:type="dxa"/>
            <w:gridSpan w:val="16"/>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完成办公用房屋修缮及各项设备、设施维修保养和保安、保洁工作，为机关正常办公提供了有力保障</w:t>
            </w:r>
          </w:p>
        </w:tc>
      </w:tr>
      <w:tr>
        <w:tblPrEx>
          <w:tblCellMar>
            <w:top w:w="0" w:type="dxa"/>
            <w:left w:w="108" w:type="dxa"/>
            <w:bottom w:w="0" w:type="dxa"/>
            <w:right w:w="108" w:type="dxa"/>
          </w:tblCellMar>
        </w:tblPrEx>
        <w:trPr>
          <w:gridAfter w:val="1"/>
          <w:wAfter w:w="229" w:type="dxa"/>
          <w:trHeight w:val="533" w:hRule="exact"/>
          <w:jc w:val="center"/>
        </w:trPr>
        <w:tc>
          <w:tcPr>
            <w:tcW w:w="618" w:type="dxa"/>
            <w:gridSpan w:val="2"/>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45"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005"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gridAfter w:val="1"/>
          <w:wAfter w:w="229" w:type="dxa"/>
          <w:trHeight w:val="6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办公用房及设备维修量</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6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各项设施、设备正常运转率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555"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办公用房及设备维修率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资金到位率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16</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63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效益指标</w:t>
            </w:r>
          </w:p>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对服务对象反馈意见回复比率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495"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突发安保事件处置率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495"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办公环境改善程度</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54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可持续影响指标</w:t>
            </w:r>
          </w:p>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项目持续发挥作用的周期</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eastAsia="宋体" w:cs="宋体"/>
                <w:sz w:val="18"/>
                <w:szCs w:val="18"/>
              </w:rPr>
              <w:t>&gt;=</w:t>
            </w:r>
            <w:r>
              <w:rPr>
                <w:rFonts w:hint="eastAsia" w:ascii="宋体" w:hAnsi="宋体" w:cs="宋体"/>
                <w:sz w:val="18"/>
                <w:szCs w:val="18"/>
                <w:lang w:val="en-US" w:eastAsia="zh-CN"/>
              </w:rPr>
              <w:t>4月</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w:t>
            </w:r>
            <w:r>
              <w:rPr>
                <w:rFonts w:hint="eastAsia" w:ascii="宋体" w:hAnsi="宋体" w:cs="宋体"/>
                <w:sz w:val="18"/>
                <w:szCs w:val="18"/>
                <w:lang w:val="en-US" w:eastAsia="zh-CN"/>
              </w:rPr>
              <w:t>4月</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570" w:hRule="exact"/>
          <w:jc w:val="center"/>
        </w:trPr>
        <w:tc>
          <w:tcPr>
            <w:tcW w:w="618" w:type="dxa"/>
            <w:gridSpan w:val="2"/>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指标</w:t>
            </w:r>
          </w:p>
        </w:tc>
        <w:tc>
          <w:tcPr>
            <w:tcW w:w="1005"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cs="宋体"/>
                <w:kern w:val="0"/>
                <w:sz w:val="18"/>
                <w:szCs w:val="18"/>
              </w:rPr>
              <w:t>服务对象满意度指标</w:t>
            </w: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提供服务的满意率</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10</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18" w:type="dxa"/>
            <w:gridSpan w:val="2"/>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45"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05"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265"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108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035"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1"/>
          <w:wAfter w:w="229" w:type="dxa"/>
          <w:trHeight w:val="300" w:hRule="exact"/>
          <w:jc w:val="center"/>
        </w:trPr>
        <w:tc>
          <w:tcPr>
            <w:tcW w:w="6949" w:type="dxa"/>
            <w:gridSpan w:val="1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630"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43"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96</w:t>
            </w:r>
          </w:p>
        </w:tc>
        <w:tc>
          <w:tcPr>
            <w:tcW w:w="1408" w:type="dxa"/>
            <w:gridSpan w:val="4"/>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454" w:hRule="exact"/>
          <w:jc w:val="center"/>
        </w:trPr>
        <w:tc>
          <w:tcPr>
            <w:tcW w:w="9723" w:type="dxa"/>
            <w:gridSpan w:val="29"/>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gridAfter w:val="2"/>
          <w:wAfter w:w="236" w:type="dxa"/>
          <w:trHeight w:val="201" w:hRule="atLeast"/>
          <w:jc w:val="center"/>
        </w:trPr>
        <w:tc>
          <w:tcPr>
            <w:tcW w:w="9723" w:type="dxa"/>
            <w:gridSpan w:val="29"/>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w:t>
            </w:r>
            <w:r>
              <w:rPr>
                <w:rFonts w:hint="eastAsia" w:ascii="宋体" w:hAnsi="宋体" w:cs="宋体"/>
                <w:kern w:val="0"/>
                <w:sz w:val="22"/>
                <w:szCs w:val="22"/>
                <w:lang w:eastAsia="zh-CN"/>
              </w:rPr>
              <w:t>2023</w:t>
            </w:r>
            <w:r>
              <w:rPr>
                <w:rFonts w:hint="eastAsia" w:ascii="宋体" w:hAnsi="宋体" w:cs="宋体"/>
                <w:kern w:val="0"/>
                <w:sz w:val="22"/>
                <w:szCs w:val="22"/>
              </w:rPr>
              <w:t>年度）</w:t>
            </w:r>
          </w:p>
        </w:tc>
      </w:tr>
      <w:tr>
        <w:tblPrEx>
          <w:tblCellMar>
            <w:top w:w="0" w:type="dxa"/>
            <w:left w:w="108" w:type="dxa"/>
            <w:bottom w:w="0" w:type="dxa"/>
            <w:right w:w="108" w:type="dxa"/>
          </w:tblCellMar>
        </w:tblPrEx>
        <w:trPr>
          <w:gridAfter w:val="2"/>
          <w:wAfter w:w="236" w:type="dxa"/>
          <w:trHeight w:val="266" w:hRule="exact"/>
          <w:jc w:val="center"/>
        </w:trPr>
        <w:tc>
          <w:tcPr>
            <w:tcW w:w="1568" w:type="dxa"/>
            <w:gridSpan w:val="4"/>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55" w:type="dxa"/>
            <w:gridSpan w:val="25"/>
            <w:tcBorders>
              <w:top w:val="single" w:color="auto" w:sz="4" w:space="0"/>
              <w:left w:val="nil"/>
              <w:bottom w:val="single" w:color="auto" w:sz="4" w:space="0"/>
              <w:right w:val="single" w:color="auto" w:sz="4" w:space="0"/>
            </w:tcBorders>
            <w:noWrap/>
            <w:vAlign w:val="center"/>
          </w:tcPr>
          <w:p>
            <w:pPr>
              <w:widowControl/>
              <w:spacing w:line="240" w:lineRule="exact"/>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政府综合办公楼和市民中心消防维修工程</w:t>
            </w:r>
          </w:p>
        </w:tc>
      </w:tr>
      <w:tr>
        <w:tblPrEx>
          <w:tblCellMar>
            <w:top w:w="0" w:type="dxa"/>
            <w:left w:w="108" w:type="dxa"/>
            <w:bottom w:w="0" w:type="dxa"/>
            <w:right w:w="108" w:type="dxa"/>
          </w:tblCellMar>
        </w:tblPrEx>
        <w:trPr>
          <w:gridAfter w:val="2"/>
          <w:wAfter w:w="236" w:type="dxa"/>
          <w:trHeight w:val="300" w:hRule="exact"/>
          <w:jc w:val="center"/>
        </w:trPr>
        <w:tc>
          <w:tcPr>
            <w:tcW w:w="1568" w:type="dxa"/>
            <w:gridSpan w:val="4"/>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9"/>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911"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开平区机关事务中心</w:t>
            </w:r>
          </w:p>
        </w:tc>
      </w:tr>
      <w:tr>
        <w:tblPrEx>
          <w:tblCellMar>
            <w:top w:w="0" w:type="dxa"/>
            <w:left w:w="108" w:type="dxa"/>
            <w:bottom w:w="0" w:type="dxa"/>
            <w:right w:w="108" w:type="dxa"/>
          </w:tblCellMar>
        </w:tblPrEx>
        <w:trPr>
          <w:gridAfter w:val="2"/>
          <w:wAfter w:w="236" w:type="dxa"/>
          <w:trHeight w:val="300" w:hRule="exact"/>
          <w:jc w:val="center"/>
        </w:trPr>
        <w:tc>
          <w:tcPr>
            <w:tcW w:w="1568" w:type="dxa"/>
            <w:gridSpan w:val="4"/>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135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gridAfter w:val="2"/>
          <w:wAfter w:w="236" w:type="dxa"/>
          <w:trHeight w:val="300" w:hRule="exact"/>
          <w:jc w:val="center"/>
        </w:trPr>
        <w:tc>
          <w:tcPr>
            <w:tcW w:w="1568" w:type="dxa"/>
            <w:gridSpan w:val="4"/>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3"/>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115.8</w:t>
            </w: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709"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1351"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94</w:t>
            </w:r>
          </w:p>
        </w:tc>
      </w:tr>
      <w:tr>
        <w:tblPrEx>
          <w:tblCellMar>
            <w:top w:w="0" w:type="dxa"/>
            <w:left w:w="108" w:type="dxa"/>
            <w:bottom w:w="0" w:type="dxa"/>
            <w:right w:w="108" w:type="dxa"/>
          </w:tblCellMar>
        </w:tblPrEx>
        <w:trPr>
          <w:gridAfter w:val="2"/>
          <w:wAfter w:w="236" w:type="dxa"/>
          <w:trHeight w:val="300" w:hRule="exact"/>
          <w:jc w:val="center"/>
        </w:trPr>
        <w:tc>
          <w:tcPr>
            <w:tcW w:w="1568" w:type="dxa"/>
            <w:gridSpan w:val="4"/>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115.8</w:t>
            </w: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709"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p>
        </w:tc>
        <w:tc>
          <w:tcPr>
            <w:tcW w:w="135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2"/>
          <w:wAfter w:w="236" w:type="dxa"/>
          <w:trHeight w:val="300" w:hRule="exact"/>
          <w:jc w:val="center"/>
        </w:trPr>
        <w:tc>
          <w:tcPr>
            <w:tcW w:w="1568" w:type="dxa"/>
            <w:gridSpan w:val="4"/>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35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2"/>
          <w:wAfter w:w="236" w:type="dxa"/>
          <w:trHeight w:val="300" w:hRule="exact"/>
          <w:jc w:val="center"/>
        </w:trPr>
        <w:tc>
          <w:tcPr>
            <w:tcW w:w="1568" w:type="dxa"/>
            <w:gridSpan w:val="4"/>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351"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4045" w:type="dxa"/>
            <w:gridSpan w:val="1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gridAfter w:val="2"/>
          <w:wAfter w:w="236" w:type="dxa"/>
          <w:trHeight w:val="715"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做好政府大楼集中办公区域及市民中心消防工程维修工作</w:t>
            </w:r>
          </w:p>
        </w:tc>
        <w:tc>
          <w:tcPr>
            <w:tcW w:w="4045" w:type="dxa"/>
            <w:gridSpan w:val="16"/>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default" w:ascii="宋体" w:hAnsi="宋体" w:eastAsia="宋体" w:cs="宋体"/>
                <w:kern w:val="0"/>
                <w:sz w:val="18"/>
                <w:szCs w:val="18"/>
                <w:lang w:val="en-US" w:eastAsia="zh-CN"/>
              </w:rPr>
            </w:pPr>
            <w:r>
              <w:rPr>
                <w:rFonts w:hint="eastAsia" w:ascii="宋体" w:hAnsi="宋体" w:cs="宋体"/>
                <w:kern w:val="0"/>
                <w:sz w:val="18"/>
                <w:szCs w:val="18"/>
                <w:highlight w:val="none"/>
                <w:lang w:val="en-US" w:eastAsia="zh-CN"/>
              </w:rPr>
              <w:t>提升政府办公楼办公区域及市民中心消防工程维修改造工作</w:t>
            </w:r>
          </w:p>
        </w:tc>
      </w:tr>
      <w:tr>
        <w:tblPrEx>
          <w:tblCellMar>
            <w:top w:w="0" w:type="dxa"/>
            <w:left w:w="108" w:type="dxa"/>
            <w:bottom w:w="0" w:type="dxa"/>
            <w:right w:w="108" w:type="dxa"/>
          </w:tblCellMar>
        </w:tblPrEx>
        <w:trPr>
          <w:gridAfter w:val="2"/>
          <w:wAfter w:w="236" w:type="dxa"/>
          <w:trHeight w:val="533" w:hRule="exact"/>
          <w:jc w:val="center"/>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gridAfter w:val="2"/>
          <w:wAfter w:w="236" w:type="dxa"/>
          <w:trHeight w:val="438"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kern w:val="0"/>
                <w:sz w:val="18"/>
                <w:szCs w:val="18"/>
                <w:highlight w:val="none"/>
                <w:lang w:eastAsia="zh-CN"/>
              </w:rPr>
              <w:t>消防设施改造新增</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6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指标1：消防设施完好率</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56"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指标1：设备维修及时率</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指标2：</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w:t>
            </w:r>
            <w:r>
              <w:rPr>
                <w:rFonts w:hint="eastAsia" w:ascii="宋体" w:hAnsi="宋体" w:cs="宋体"/>
                <w:color w:val="000000"/>
                <w:kern w:val="0"/>
                <w:sz w:val="18"/>
                <w:szCs w:val="18"/>
                <w:lang w:eastAsia="zh-CN"/>
              </w:rPr>
              <w:t>预算完成率</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14</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63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指标1：项目工程完成情况</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463"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指标1：建设工程质量提高</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49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指标1：工程完成率</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eastAsia="宋体" w:cs="宋体"/>
                <w:sz w:val="18"/>
                <w:szCs w:val="18"/>
              </w:rPr>
              <w:t>&gt;=95%</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54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指标1：工程使用年限</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=365天</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=365天</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kern w:val="0"/>
                <w:sz w:val="18"/>
                <w:szCs w:val="18"/>
                <w:lang w:val="en-US" w:eastAsia="zh-CN" w:bidi="ar-SA"/>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57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指标1：工程满意度</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eastAsia="宋体" w:cs="宋体"/>
                <w:sz w:val="18"/>
                <w:szCs w:val="18"/>
              </w:rPr>
              <w:t>&gt;=95%</w:t>
            </w: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bidi="ar-SA"/>
              </w:rPr>
            </w:pPr>
            <w:r>
              <w:rPr>
                <w:rFonts w:hint="eastAsia" w:ascii="宋体" w:hAnsi="宋体" w:eastAsia="宋体" w:cs="宋体"/>
                <w:sz w:val="18"/>
                <w:szCs w:val="18"/>
              </w:rPr>
              <w:t>&gt;=95%</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gridSpan w:val="3"/>
            <w:vMerge w:val="continue"/>
            <w:tcBorders>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gridSpan w:val="2"/>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gridSpan w:val="3"/>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gridAfter w:val="2"/>
          <w:wAfter w:w="236" w:type="dxa"/>
          <w:trHeight w:val="300" w:hRule="exact"/>
          <w:jc w:val="center"/>
        </w:trPr>
        <w:tc>
          <w:tcPr>
            <w:tcW w:w="6529" w:type="dxa"/>
            <w:gridSpan w:val="16"/>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4"/>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94</w:t>
            </w:r>
          </w:p>
        </w:tc>
        <w:tc>
          <w:tcPr>
            <w:tcW w:w="206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bl>
    <w:p>
      <w:pPr>
        <w:adjustRightInd w:val="0"/>
        <w:snapToGrid w:val="0"/>
        <w:spacing w:line="580" w:lineRule="exact"/>
        <w:ind w:firstLine="640" w:firstLineChars="200"/>
        <w:rPr>
          <w:rFonts w:hint="default" w:ascii="Times New Roman" w:hAnsi="Times New Roman" w:eastAsia="黑体" w:cs="Times New Roman"/>
          <w:sz w:val="32"/>
          <w:szCs w:val="32"/>
        </w:rPr>
      </w:pPr>
    </w:p>
    <w:p>
      <w:pPr>
        <w:adjustRightInd w:val="0"/>
        <w:snapToGrid w:val="0"/>
        <w:spacing w:line="58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w:t>1. 本部门2023年度</w:t>
      </w:r>
      <w:r>
        <w:rPr>
          <w:rFonts w:hint="eastAsia" w:ascii="仿宋_GB2312" w:hAnsi="仿宋_GB2312" w:eastAsia="仿宋_GB2312" w:cs="仿宋_GB2312"/>
          <w:sz w:val="32"/>
          <w:szCs w:val="32"/>
        </w:rPr>
        <w:t>未发生</w:t>
      </w:r>
      <w:r>
        <w:rPr>
          <w:rFonts w:hint="eastAsia" w:ascii="仿宋_GB2312" w:hAnsi="仿宋_GB2312" w:eastAsia="仿宋_GB2312" w:cs="仿宋_GB2312"/>
          <w:sz w:val="32"/>
          <w:szCs w:val="32"/>
          <w:lang w:eastAsia="zh-CN"/>
        </w:rPr>
        <w:t>政府性基金预算、国有资金经营预算</w:t>
      </w:r>
      <w:r>
        <w:rPr>
          <w:rFonts w:hint="eastAsia" w:ascii="仿宋_GB2312" w:hAnsi="仿宋_GB2312" w:eastAsia="仿宋_GB2312" w:cs="仿宋_GB2312"/>
          <w:sz w:val="32"/>
          <w:szCs w:val="32"/>
        </w:rPr>
        <w:t>收支及结转结余情况，故</w:t>
      </w:r>
      <w:r>
        <w:rPr>
          <w:rFonts w:hint="eastAsia" w:ascii="仿宋_GB2312" w:hAnsi="仿宋_GB2312" w:eastAsia="仿宋_GB2312" w:cs="仿宋_GB2312"/>
          <w:sz w:val="32"/>
          <w:szCs w:val="32"/>
          <w:lang w:eastAsia="zh-CN"/>
        </w:rPr>
        <w:t>政府性基金预算财政拨款收入支出决算表、国有资本经营预算财政拨款支出决算表</w:t>
      </w:r>
      <w:r>
        <w:rPr>
          <w:rFonts w:hint="eastAsia" w:ascii="仿宋_GB2312" w:hAnsi="仿宋_GB2312" w:eastAsia="仿宋_GB2312" w:cs="仿宋_GB2312"/>
          <w:sz w:val="32"/>
          <w:szCs w:val="32"/>
        </w:rPr>
        <w:t>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CE4BFC3-43BE-41A4-82D1-0785C88F940A}"/>
  </w:font>
  <w:font w:name="黑体">
    <w:panose1 w:val="02010609060101010101"/>
    <w:charset w:val="86"/>
    <w:family w:val="auto"/>
    <w:pitch w:val="default"/>
    <w:sig w:usb0="800002BF" w:usb1="38CF7CFA" w:usb2="00000016" w:usb3="00000000" w:csb0="00040001" w:csb1="00000000"/>
    <w:embedRegular r:id="rId2" w:fontKey="{A3E0DA84-6F20-4533-B889-194D102DEDC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CDC73A4-3A1B-4EFD-989B-B82B58B9C9E4}"/>
  </w:font>
  <w:font w:name="仿宋">
    <w:panose1 w:val="02010609060101010101"/>
    <w:charset w:val="86"/>
    <w:family w:val="modern"/>
    <w:pitch w:val="default"/>
    <w:sig w:usb0="800002BF" w:usb1="38CF7CFA" w:usb2="00000016" w:usb3="00000000" w:csb0="00040001" w:csb1="00000000"/>
    <w:embedRegular r:id="rId4" w:fontKey="{EF5AAB77-D191-4811-B48C-D9EA4419E985}"/>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_GB2312">
    <w:altName w:val="Courier New"/>
    <w:panose1 w:val="00000000000000000000"/>
    <w:charset w:val="00"/>
    <w:family w:val="auto"/>
    <w:pitch w:val="default"/>
    <w:sig w:usb0="00000000" w:usb1="00000000" w:usb2="00000000" w:usb3="00000000" w:csb0="00040001" w:csb1="00000000"/>
  </w:font>
  <w:font w:name="方正魏碑简体">
    <w:altName w:val="微软雅黑"/>
    <w:panose1 w:val="00000000000000000000"/>
    <w:charset w:val="86"/>
    <w:family w:val="auto"/>
    <w:pitch w:val="default"/>
    <w:sig w:usb0="00000000" w:usb1="00000000" w:usb2="00000010" w:usb3="00000000" w:csb0="00040000" w:csb1="00000000"/>
    <w:embedRegular r:id="rId5" w:fontKey="{45ED5BBD-1269-4F13-B72C-1F8BF3731921}"/>
  </w:font>
  <w:font w:name="微软雅黑">
    <w:panose1 w:val="020B0503020204020204"/>
    <w:charset w:val="86"/>
    <w:family w:val="auto"/>
    <w:pitch w:val="default"/>
    <w:sig w:usb0="80000287" w:usb1="280F3C52"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6" w:fontKey="{0709BF9B-A61C-4450-AAB0-2F9A9A36F83C}"/>
  </w:font>
  <w:font w:name="楷体_GB2312">
    <w:panose1 w:val="02010609030101010101"/>
    <w:charset w:val="86"/>
    <w:family w:val="auto"/>
    <w:pitch w:val="default"/>
    <w:sig w:usb0="00000001" w:usb1="080E0000" w:usb2="00000000" w:usb3="00000000" w:csb0="00040000" w:csb1="00000000"/>
    <w:embedRegular r:id="rId7" w:fontKey="{00AC1918-58B5-4A0D-B712-9F0F6E192CC3}"/>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8" w:fontKey="{B48084A1-C3CE-49A0-8115-573FFE420727}"/>
  </w:font>
  <w:font w:name="ArialUnicodeMS">
    <w:altName w:val="Malgun Gothic"/>
    <w:panose1 w:val="00000000000000000000"/>
    <w:charset w:val="81"/>
    <w:family w:val="auto"/>
    <w:pitch w:val="default"/>
    <w:sig w:usb0="00000000" w:usb1="00000000" w:usb2="00000010" w:usb3="00000000" w:csb0="00080001" w:csb1="00000000"/>
    <w:embedRegular r:id="rId9" w:fontKey="{28766A3F-B34C-4E68-B5CF-542426645EE2}"/>
  </w:font>
  <w:font w:name="Malgun Gothic">
    <w:panose1 w:val="020B0503020000020004"/>
    <w:charset w:val="81"/>
    <w:family w:val="auto"/>
    <w:pitch w:val="default"/>
    <w:sig w:usb0="900002AF" w:usb1="01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D973B0BB-2CC2-4429-ACCB-A33DCF958879}"/>
  </w:font>
  <w:font w:name="DengXian-Regular">
    <w:altName w:val="宋体"/>
    <w:panose1 w:val="00000000000000000000"/>
    <w:charset w:val="86"/>
    <w:family w:val="auto"/>
    <w:pitch w:val="default"/>
    <w:sig w:usb0="00000000" w:usb1="00000000" w:usb2="00000010" w:usb3="00000000" w:csb0="00040001" w:csb1="00000000"/>
    <w:embedRegular r:id="rId11" w:fontKey="{C1708DC2-3556-4D9C-973B-86A380B44927}"/>
  </w:font>
  <w:font w:name="方正书宋_GBK">
    <w:altName w:val="微软雅黑"/>
    <w:panose1 w:val="03000509000000000000"/>
    <w:charset w:val="86"/>
    <w:family w:val="roman"/>
    <w:pitch w:val="default"/>
    <w:sig w:usb0="00000000" w:usb1="00000000" w:usb2="00000000" w:usb3="00000000" w:csb0="00040000" w:csb1="00000000"/>
    <w:embedRegular r:id="rId12" w:fontKey="{EC084494-7390-4C6F-B546-0B8ECD622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2EC8D891"/>
    <w:multiLevelType w:val="singleLevel"/>
    <w:tmpl w:val="2EC8D891"/>
    <w:lvl w:ilvl="0" w:tentative="0">
      <w:start w:val="1"/>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5F222FFA"/>
    <w:multiLevelType w:val="singleLevel"/>
    <w:tmpl w:val="5F222FFA"/>
    <w:lvl w:ilvl="0" w:tentative="0">
      <w:start w:val="1"/>
      <w:numFmt w:val="decimal"/>
      <w:suff w:val="nothing"/>
      <w:lvlText w:val="（%1）"/>
      <w:lvlJc w:val="left"/>
      <w:pPr>
        <w:ind w:left="-1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D95334"/>
    <w:rsid w:val="2EFC0112"/>
    <w:rsid w:val="2F2B730D"/>
    <w:rsid w:val="2F9F3DC1"/>
    <w:rsid w:val="2FFC7AC2"/>
    <w:rsid w:val="300D5590"/>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AD1706"/>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15"/>
    <w:basedOn w:val="13"/>
    <w:qFormat/>
    <w:uiPriority w:val="0"/>
    <w:rPr>
      <w:rFonts w:hint="default" w:ascii="Times New Roman" w:hAnsi="Times New Roman" w:cs="??_GB23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9970</Words>
  <Characters>22781</Characters>
  <Lines>86</Lines>
  <Paragraphs>24</Paragraphs>
  <TotalTime>2429</TotalTime>
  <ScaleCrop>false</ScaleCrop>
  <LinksUpToDate>false</LinksUpToDate>
  <CharactersWithSpaces>23411</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2024-10-12T02:13:32Z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7DBDB1F799C04897AEF0EE7671A2F634</vt:lpwstr>
  </property>
  <property fmtid="{D5CDD505-2E9C-101B-9397-08002B2CF9AE}" pid="4" name="KSOTemplateUUID">
    <vt:lpwstr>v1.0_mb_S7ajbG3IpAnL1wSthNCxfw==</vt:lpwstr>
  </property>
</Properties>
</file>