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color w:val="000000"/>
          <w:sz w:val="72"/>
        </w:rPr>
      </w:pPr>
    </w:p>
    <w:p>
      <w:pPr>
        <w:jc w:val="center"/>
        <w:rPr>
          <w:rFonts w:ascii="黑体" w:hAnsi="黑体" w:eastAsia="黑体" w:cs="黑体"/>
          <w:color w:val="000000"/>
          <w:sz w:val="72"/>
        </w:rPr>
      </w:pPr>
    </w:p>
    <w:p>
      <w:pPr>
        <w:jc w:val="center"/>
        <w:rPr>
          <w:rFonts w:ascii="黑体" w:hAnsi="黑体" w:eastAsia="黑体" w:cs="黑体"/>
          <w:color w:val="000000"/>
          <w:sz w:val="72"/>
        </w:rPr>
      </w:pPr>
      <w:r>
        <w:rPr>
          <w:rFonts w:hint="eastAsia" w:ascii="黑体" w:hAnsi="黑体" w:eastAsia="黑体" w:cs="黑体"/>
          <w:color w:val="000000"/>
          <w:sz w:val="72"/>
        </w:rPr>
        <w:t>唐山市开平区行政审批局</w:t>
      </w:r>
    </w:p>
    <w:p>
      <w:pPr>
        <w:jc w:val="center"/>
        <w:rPr>
          <w:rFonts w:ascii="黑体" w:hAnsi="黑体" w:eastAsia="黑体" w:cs="黑体"/>
          <w:color w:val="000000"/>
          <w:sz w:val="72"/>
        </w:rPr>
      </w:pPr>
      <w:r>
        <w:rPr>
          <w:rFonts w:hint="eastAsia" w:ascii="黑体" w:hAnsi="黑体" w:eastAsia="黑体" w:cs="黑体"/>
          <w:color w:val="000000"/>
          <w:sz w:val="72"/>
        </w:rPr>
        <w:t>2022年部门预算绩效文本</w:t>
      </w:r>
    </w:p>
    <w:p>
      <w:pPr>
        <w:jc w:val="center"/>
        <w:rPr>
          <w:rFonts w:ascii="方正小标宋_GBK" w:hAnsi="方正小标宋_GBK" w:eastAsia="方正小标宋_GBK" w:cs="方正小标宋_GBK"/>
          <w:color w:val="000000"/>
          <w:sz w:val="52"/>
        </w:rPr>
      </w:pPr>
      <w:r>
        <w:rPr>
          <w:rFonts w:ascii="方正小标宋_GBK" w:hAnsi="方正小标宋_GBK" w:eastAsia="方正小标宋_GBK" w:cs="方正小标宋_GBK"/>
          <w:color w:val="000000"/>
          <w:sz w:val="52"/>
        </w:rPr>
        <w:t>（草案）</w:t>
      </w: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黑体" w:hAnsi="黑体" w:eastAsia="黑体" w:cs="黑体"/>
        </w:rPr>
      </w:pPr>
    </w:p>
    <w:p>
      <w:pPr>
        <w:jc w:val="center"/>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唐山市开平区行政审批局编制</w:t>
      </w:r>
    </w:p>
    <w:p>
      <w:pPr>
        <w:jc w:val="center"/>
        <w:rPr>
          <w:rFonts w:ascii="方正楷体_GBK" w:hAnsi="方正楷体_GBK" w:eastAsia="方正楷体_GBK" w:cs="方正楷体_GBK"/>
          <w:b/>
          <w:color w:val="000000"/>
          <w:sz w:val="32"/>
        </w:rPr>
        <w:sectPr>
          <w:headerReference r:id="rId5" w:type="first"/>
          <w:footerReference r:id="rId8" w:type="first"/>
          <w:headerReference r:id="rId3" w:type="default"/>
          <w:footerReference r:id="rId6" w:type="default"/>
          <w:headerReference r:id="rId4" w:type="even"/>
          <w:footerReference r:id="rId7" w:type="even"/>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唐山市开平区财政局审核</w:t>
      </w:r>
    </w:p>
    <w:p>
      <w:pPr>
        <w:spacing w:line="360" w:lineRule="auto"/>
        <w:jc w:val="center"/>
        <w:outlineLvl w:val="0"/>
        <w:rPr>
          <w:rFonts w:ascii="黑体" w:hAnsi="黑体" w:eastAsia="黑体" w:cs="黑体"/>
          <w:b/>
          <w:bCs/>
          <w:color w:val="000000"/>
          <w:sz w:val="36"/>
        </w:rPr>
      </w:pPr>
      <w:r>
        <w:rPr>
          <w:rFonts w:hint="eastAsia" w:ascii="黑体" w:hAnsi="黑体" w:eastAsia="黑体" w:cs="黑体"/>
          <w:b/>
          <w:bCs/>
          <w:color w:val="000000"/>
          <w:sz w:val="36"/>
        </w:rPr>
        <w:t>目    录</w:t>
      </w:r>
    </w:p>
    <w:p>
      <w:pPr>
        <w:spacing w:line="360" w:lineRule="auto"/>
        <w:jc w:val="center"/>
        <w:outlineLvl w:val="0"/>
        <w:rPr>
          <w:rFonts w:ascii="黑体" w:hAnsi="黑体" w:eastAsia="黑体" w:cs="黑体"/>
          <w:b/>
          <w:bCs/>
          <w:color w:val="000000"/>
          <w:sz w:val="32"/>
          <w:szCs w:val="22"/>
        </w:rPr>
      </w:pPr>
    </w:p>
    <w:p>
      <w:pPr>
        <w:spacing w:line="360" w:lineRule="auto"/>
        <w:jc w:val="center"/>
        <w:outlineLvl w:val="0"/>
        <w:rPr>
          <w:rFonts w:ascii="黑体" w:hAnsi="黑体" w:eastAsia="黑体" w:cs="黑体"/>
          <w:b/>
          <w:bCs/>
          <w:color w:val="000000"/>
          <w:sz w:val="32"/>
          <w:szCs w:val="22"/>
        </w:rPr>
      </w:pPr>
      <w:r>
        <w:rPr>
          <w:rFonts w:hint="eastAsia" w:ascii="黑体" w:hAnsi="黑体" w:eastAsia="黑体" w:cs="黑体"/>
          <w:b/>
          <w:bCs/>
          <w:color w:val="000000"/>
          <w:sz w:val="32"/>
          <w:szCs w:val="22"/>
        </w:rPr>
        <w:t>第一部分 部门整体绩效目标</w:t>
      </w:r>
    </w:p>
    <w:p>
      <w:pPr>
        <w:pStyle w:val="4"/>
        <w:tabs>
          <w:tab w:val="right" w:leader="dot" w:pos="9282"/>
        </w:tabs>
        <w:spacing w:line="360" w:lineRule="auto"/>
        <w:rPr>
          <w:rFonts w:ascii="仿宋_GB2312" w:hAnsi="仿宋_GB2312" w:eastAsia="仿宋_GB2312" w:cs="仿宋_GB2312"/>
        </w:rPr>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rPr>
          <w:rFonts w:hint="eastAsia" w:ascii="仿宋_GB2312" w:hAnsi="仿宋_GB2312" w:eastAsia="仿宋_GB2312" w:cs="仿宋_GB2312"/>
        </w:rPr>
        <w:t>一、总体绩效目标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PAGEREF _Toc_2_2_0000000001 \h</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4"/>
        <w:tabs>
          <w:tab w:val="right" w:leader="dot" w:pos="9282"/>
        </w:tabs>
        <w:spacing w:line="360" w:lineRule="auto"/>
        <w:rPr>
          <w:rFonts w:ascii="仿宋_GB2312" w:hAnsi="仿宋_GB2312" w:eastAsia="仿宋_GB2312" w:cs="仿宋_GB2312"/>
        </w:rPr>
      </w:pPr>
      <w:r>
        <w:fldChar w:fldCharType="begin"/>
      </w:r>
      <w:r>
        <w:instrText xml:space="preserve"> HYPERLINK \l "_Toc_2_2_0000000002" </w:instrText>
      </w:r>
      <w:r>
        <w:fldChar w:fldCharType="separate"/>
      </w:r>
      <w:r>
        <w:rPr>
          <w:rFonts w:hint="eastAsia" w:ascii="仿宋_GB2312" w:hAnsi="仿宋_GB2312" w:eastAsia="仿宋_GB2312" w:cs="仿宋_GB2312"/>
        </w:rPr>
        <w:t>二、分项绩效目标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PAGEREF _Toc_2_2_0000000002 \h</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4"/>
        <w:tabs>
          <w:tab w:val="right" w:leader="dot" w:pos="9282"/>
        </w:tabs>
        <w:spacing w:line="360" w:lineRule="auto"/>
      </w:pPr>
      <w:r>
        <w:fldChar w:fldCharType="begin"/>
      </w:r>
      <w:r>
        <w:instrText xml:space="preserve"> HYPERLINK \l "_Toc_2_2_0000000003" </w:instrText>
      </w:r>
      <w:r>
        <w:fldChar w:fldCharType="separate"/>
      </w:r>
      <w:r>
        <w:rPr>
          <w:rFonts w:hint="eastAsia" w:ascii="仿宋_GB2312" w:hAnsi="仿宋_GB2312" w:eastAsia="仿宋_GB2312" w:cs="仿宋_GB2312"/>
        </w:rPr>
        <w:t>三、工作保障措施</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PAGEREF _Toc_2_2_0000000003 \h</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spacing w:line="360" w:lineRule="auto"/>
        <w:jc w:val="center"/>
        <w:rPr>
          <w:rFonts w:ascii="仿宋" w:hAnsi="仿宋" w:eastAsia="仿宋" w:cs="仿宋"/>
          <w:sz w:val="32"/>
          <w:szCs w:val="32"/>
        </w:rPr>
      </w:pPr>
      <w:r>
        <w:fldChar w:fldCharType="end"/>
      </w:r>
    </w:p>
    <w:p>
      <w:pPr>
        <w:spacing w:line="360" w:lineRule="auto"/>
        <w:jc w:val="center"/>
        <w:rPr>
          <w:rFonts w:ascii="黑体" w:hAnsi="黑体" w:eastAsia="黑体" w:cs="黑体"/>
          <w:b/>
          <w:bCs/>
          <w:color w:val="000000"/>
          <w:sz w:val="32"/>
          <w:szCs w:val="32"/>
        </w:rPr>
      </w:pPr>
      <w:r>
        <w:rPr>
          <w:rFonts w:hint="eastAsia" w:ascii="黑体" w:hAnsi="黑体" w:eastAsia="黑体" w:cs="黑体"/>
          <w:b/>
          <w:bCs/>
          <w:color w:val="000000"/>
          <w:sz w:val="32"/>
          <w:szCs w:val="32"/>
        </w:rPr>
        <w:t>第二部分 预算项目绩效目标</w:t>
      </w:r>
    </w:p>
    <w:p>
      <w:pPr>
        <w:jc w:val="center"/>
      </w:pPr>
    </w:p>
    <w:p>
      <w:pPr>
        <w:pStyle w:val="4"/>
        <w:tabs>
          <w:tab w:val="right" w:leader="dot" w:pos="9282"/>
        </w:tabs>
        <w:spacing w:line="360" w:lineRule="auto"/>
        <w:rPr>
          <w:rFonts w:ascii="仿宋_GB2312" w:hAnsi="仿宋_GB2312" w:eastAsia="仿宋_GB2312" w:cs="仿宋_GB2312"/>
        </w:rPr>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rPr>
          <w:rFonts w:hint="eastAsia" w:ascii="仿宋_GB2312" w:hAnsi="仿宋_GB2312" w:eastAsia="仿宋_GB2312" w:cs="仿宋_GB2312"/>
        </w:rPr>
        <w:t>1.平台运维费用本级绩效目标表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PAGEREF _Toc_4_4_0000000004 \h</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4"/>
        <w:tabs>
          <w:tab w:val="right" w:leader="dot" w:pos="9282"/>
        </w:tabs>
        <w:spacing w:line="360" w:lineRule="auto"/>
        <w:rPr>
          <w:rFonts w:ascii="仿宋_GB2312" w:hAnsi="仿宋_GB2312" w:eastAsia="仿宋_GB2312" w:cs="仿宋_GB2312"/>
        </w:rPr>
      </w:pPr>
      <w:r>
        <w:fldChar w:fldCharType="begin"/>
      </w:r>
      <w:r>
        <w:instrText xml:space="preserve"> HYPERLINK \l "_Toc_4_4_0000000005" </w:instrText>
      </w:r>
      <w:r>
        <w:fldChar w:fldCharType="separate"/>
      </w:r>
      <w:r>
        <w:rPr>
          <w:rFonts w:hint="eastAsia" w:ascii="仿宋_GB2312" w:hAnsi="仿宋_GB2312" w:eastAsia="仿宋_GB2312" w:cs="仿宋_GB2312"/>
        </w:rPr>
        <w:t>2.政务服务大厅提升改造工程本级绩效目标表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PAGEREF _Toc_4_4_0000000005 \h</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4"/>
        <w:tabs>
          <w:tab w:val="right" w:leader="dot" w:pos="9282"/>
        </w:tabs>
        <w:spacing w:line="360" w:lineRule="auto"/>
      </w:pPr>
      <w:r>
        <w:fldChar w:fldCharType="begin"/>
      </w:r>
      <w:r>
        <w:instrText xml:space="preserve"> HYPERLINK \l "_Toc_4_4_0000000006" </w:instrText>
      </w:r>
      <w:r>
        <w:fldChar w:fldCharType="separate"/>
      </w:r>
      <w:r>
        <w:rPr>
          <w:rFonts w:hint="eastAsia" w:ascii="仿宋_GB2312" w:hAnsi="仿宋_GB2312" w:eastAsia="仿宋_GB2312" w:cs="仿宋_GB2312"/>
        </w:rPr>
        <w:t>3.行政审批综合管理事务本级绩效目标表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PAGEREF _Toc_4_4_0000000006 \h</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sectPr>
          <w:pgSz w:w="11900" w:h="16840"/>
          <w:pgMar w:top="1984" w:right="1304" w:bottom="1134" w:left="1304" w:header="720" w:footer="720" w:gutter="0"/>
          <w:pgNumType w:start="1"/>
          <w:cols w:space="720" w:num="1"/>
        </w:sectPr>
      </w:pPr>
      <w:r>
        <w:fldChar w:fldCharType="end"/>
      </w:r>
    </w:p>
    <w:p>
      <w:pPr>
        <w:jc w:val="center"/>
        <w:outlineLvl w:val="0"/>
        <w:rPr>
          <w:rFonts w:ascii="黑体" w:hAnsi="黑体" w:eastAsia="黑体" w:cs="黑体"/>
          <w:color w:val="000000"/>
          <w:sz w:val="44"/>
        </w:rPr>
      </w:pPr>
      <w:r>
        <w:rPr>
          <w:rFonts w:hint="eastAsia" w:ascii="黑体" w:hAnsi="黑体" w:eastAsia="黑体" w:cs="黑体"/>
          <w:color w:val="000000"/>
          <w:sz w:val="44"/>
        </w:rPr>
        <w:t>第一部分部门整体绩效目标</w:t>
      </w:r>
    </w:p>
    <w:p>
      <w:pPr>
        <w:jc w:val="center"/>
      </w:pPr>
    </w:p>
    <w:p>
      <w:pPr>
        <w:jc w:val="center"/>
      </w:pPr>
    </w:p>
    <w:p>
      <w:pPr>
        <w:spacing w:beforeLines="100" w:afterLines="100"/>
        <w:ind w:firstLine="562" w:firstLineChars="200"/>
        <w:jc w:val="both"/>
        <w:outlineLvl w:val="1"/>
        <w:rPr>
          <w:rFonts w:ascii="黑体" w:hAnsi="黑体" w:eastAsia="黑体" w:cs="黑体"/>
          <w:b/>
          <w:bCs/>
          <w:color w:val="000000"/>
          <w:sz w:val="28"/>
        </w:rPr>
      </w:pPr>
      <w:bookmarkStart w:id="0" w:name="_Toc_2_2_0000000001"/>
      <w:r>
        <w:rPr>
          <w:rFonts w:hint="eastAsia" w:ascii="黑体" w:hAnsi="黑体" w:eastAsia="黑体" w:cs="黑体"/>
          <w:b/>
          <w:bCs/>
          <w:color w:val="000000"/>
          <w:sz w:val="28"/>
        </w:rPr>
        <w:t>一、总体绩效目标</w:t>
      </w:r>
      <w:bookmarkEnd w:id="0"/>
    </w:p>
    <w:p>
      <w:pPr>
        <w:pStyle w:val="10"/>
        <w:ind w:firstLineChars="200"/>
        <w:jc w:val="both"/>
        <w:rPr>
          <w:rFonts w:ascii="仿宋_GB2312" w:hAnsi="仿宋_GB2312" w:eastAsia="仿宋_GB2312" w:cs="仿宋_GB2312"/>
        </w:rPr>
      </w:pPr>
      <w:r>
        <w:rPr>
          <w:rFonts w:hint="eastAsia" w:ascii="仿宋_GB2312" w:hAnsi="仿宋_GB2312" w:eastAsia="仿宋_GB2312" w:cs="仿宋_GB2312"/>
        </w:rPr>
        <w:t>在区委、区政府的坚强领导和上级有关部门的关心指导下，不断加强机关建设，大力推进“放管服”改革与持续优化营商环境工作，持续推动“一窗受理”“百事通”改革，加大文明城创建工作力度。</w:t>
      </w:r>
    </w:p>
    <w:p>
      <w:pPr>
        <w:spacing w:beforeLines="100" w:afterLines="100"/>
        <w:ind w:firstLine="562" w:firstLineChars="200"/>
        <w:jc w:val="both"/>
        <w:outlineLvl w:val="1"/>
        <w:rPr>
          <w:rFonts w:ascii="黑体" w:hAnsi="黑体" w:eastAsia="黑体" w:cs="黑体"/>
          <w:b/>
          <w:bCs/>
          <w:color w:val="000000"/>
          <w:sz w:val="28"/>
        </w:rPr>
      </w:pPr>
      <w:bookmarkStart w:id="1" w:name="_Toc_2_2_0000000002"/>
      <w:r>
        <w:rPr>
          <w:rFonts w:hint="eastAsia" w:ascii="黑体" w:hAnsi="黑体" w:eastAsia="黑体" w:cs="黑体"/>
          <w:b/>
          <w:bCs/>
          <w:color w:val="000000"/>
          <w:sz w:val="28"/>
        </w:rPr>
        <w:t>二、分项绩效目标</w:t>
      </w:r>
      <w:bookmarkEnd w:id="1"/>
    </w:p>
    <w:p>
      <w:pPr>
        <w:pStyle w:val="11"/>
        <w:rPr>
          <w:rFonts w:ascii="仿宋_GB2312" w:hAnsi="仿宋_GB2312" w:eastAsia="仿宋_GB2312" w:cs="仿宋_GB2312"/>
        </w:rPr>
      </w:pPr>
      <w:r>
        <w:rPr>
          <w:rFonts w:hint="eastAsia" w:ascii="仿宋_GB2312" w:hAnsi="仿宋_GB2312" w:eastAsia="仿宋_GB2312" w:cs="仿宋_GB2312"/>
        </w:rPr>
        <w:t>（一）政务服务大厅和公共资源交易中心为群众提供便民  服务。</w:t>
      </w:r>
    </w:p>
    <w:p>
      <w:pPr>
        <w:pStyle w:val="11"/>
        <w:rPr>
          <w:rFonts w:ascii="仿宋_GB2312" w:hAnsi="仿宋_GB2312" w:eastAsia="仿宋_GB2312" w:cs="仿宋_GB2312"/>
        </w:rPr>
      </w:pPr>
      <w:r>
        <w:rPr>
          <w:rFonts w:hint="eastAsia" w:ascii="仿宋_GB2312" w:hAnsi="仿宋_GB2312" w:eastAsia="仿宋_GB2312" w:cs="仿宋_GB2312"/>
        </w:rPr>
        <w:t>绩效目标：接入“互联网+政务服务”平台、公共资源交易中心网络平台、“冀时办”热点、《信用开平》网站平台、“云视频会议系统”平台。</w:t>
      </w:r>
    </w:p>
    <w:p>
      <w:pPr>
        <w:pStyle w:val="11"/>
        <w:rPr>
          <w:rFonts w:ascii="仿宋_GB2312" w:hAnsi="仿宋_GB2312" w:eastAsia="仿宋_GB2312" w:cs="仿宋_GB2312"/>
        </w:rPr>
      </w:pPr>
      <w:r>
        <w:rPr>
          <w:rFonts w:hint="eastAsia" w:ascii="仿宋_GB2312" w:hAnsi="仿宋_GB2312" w:eastAsia="仿宋_GB2312" w:cs="仿宋_GB2312"/>
        </w:rPr>
        <w:t>绩效指标：优化审批服务流程。企业和群众办事可线上预约、线下办理，申请材料线上提交、线下调用，补齐补正线上增补、线下审验，办理结果线上查询、线下送达。</w:t>
      </w:r>
    </w:p>
    <w:p>
      <w:pPr>
        <w:pStyle w:val="11"/>
        <w:rPr>
          <w:rFonts w:ascii="仿宋_GB2312" w:hAnsi="仿宋_GB2312" w:eastAsia="仿宋_GB2312" w:cs="仿宋_GB2312"/>
        </w:rPr>
      </w:pPr>
      <w:r>
        <w:rPr>
          <w:rFonts w:hint="eastAsia" w:ascii="仿宋_GB2312" w:hAnsi="仿宋_GB2312" w:eastAsia="仿宋_GB2312" w:cs="仿宋_GB2312"/>
        </w:rPr>
        <w:t>（二）区国有土地使用权招拍挂。</w:t>
      </w:r>
    </w:p>
    <w:p>
      <w:pPr>
        <w:pStyle w:val="11"/>
        <w:rPr>
          <w:rFonts w:ascii="仿宋_GB2312" w:hAnsi="仿宋_GB2312" w:eastAsia="仿宋_GB2312" w:cs="仿宋_GB2312"/>
        </w:rPr>
      </w:pPr>
      <w:r>
        <w:rPr>
          <w:rFonts w:hint="eastAsia" w:ascii="仿宋_GB2312" w:hAnsi="仿宋_GB2312" w:eastAsia="仿宋_GB2312" w:cs="仿宋_GB2312"/>
        </w:rPr>
        <w:t>绩效目标：开平区公共资源交易中心按照区编办开机编字[2017]06号文件要求承接土地招牌挂出让交易环节业务。需要在《唐山劳动日报》发布土地出让公告，需支付公告费。</w:t>
      </w:r>
    </w:p>
    <w:p>
      <w:pPr>
        <w:pStyle w:val="11"/>
        <w:rPr>
          <w:rFonts w:ascii="仿宋_GB2312" w:hAnsi="仿宋_GB2312" w:eastAsia="仿宋_GB2312" w:cs="仿宋_GB2312"/>
        </w:rPr>
      </w:pPr>
      <w:r>
        <w:rPr>
          <w:rFonts w:hint="eastAsia" w:ascii="仿宋_GB2312" w:hAnsi="仿宋_GB2312" w:eastAsia="仿宋_GB2312" w:cs="仿宋_GB2312"/>
        </w:rPr>
        <w:t>绩效指标：指定媒体发布公告，满足业务流程法定要求。保证国有土地招拍挂的透明度，受众广，可充分竞争。</w:t>
      </w:r>
    </w:p>
    <w:p>
      <w:pPr>
        <w:pStyle w:val="11"/>
        <w:rPr>
          <w:rFonts w:ascii="仿宋_GB2312" w:hAnsi="仿宋_GB2312" w:eastAsia="仿宋_GB2312" w:cs="仿宋_GB2312"/>
        </w:rPr>
      </w:pPr>
      <w:r>
        <w:rPr>
          <w:rFonts w:hint="eastAsia" w:ascii="仿宋_GB2312" w:hAnsi="仿宋_GB2312" w:eastAsia="仿宋_GB2312" w:cs="仿宋_GB2312"/>
        </w:rPr>
        <w:t>（三）按照业务需求印制证照表格及宣传展板。</w:t>
      </w:r>
    </w:p>
    <w:p>
      <w:pPr>
        <w:pStyle w:val="11"/>
        <w:rPr>
          <w:rFonts w:ascii="仿宋_GB2312" w:hAnsi="仿宋_GB2312" w:eastAsia="仿宋_GB2312" w:cs="仿宋_GB2312"/>
        </w:rPr>
      </w:pPr>
      <w:r>
        <w:rPr>
          <w:rFonts w:hint="eastAsia" w:ascii="仿宋_GB2312" w:hAnsi="仿宋_GB2312" w:eastAsia="仿宋_GB2312" w:cs="仿宋_GB2312"/>
        </w:rPr>
        <w:t>绩效目标：按照区委组织部印发的“开平区镇（街道）行政综合服务中心建设工作阶段性总结”的文件精神，行政审批局需对全区各镇街审批证照统一印刷，以保证证照质量、数量及减少费用支出。</w:t>
      </w:r>
    </w:p>
    <w:p>
      <w:pPr>
        <w:pStyle w:val="11"/>
        <w:rPr>
          <w:rFonts w:ascii="仿宋_GB2312" w:hAnsi="仿宋_GB2312" w:eastAsia="仿宋_GB2312" w:cs="仿宋_GB2312"/>
        </w:rPr>
      </w:pPr>
      <w:r>
        <w:rPr>
          <w:rFonts w:hint="eastAsia" w:ascii="仿宋_GB2312" w:hAnsi="仿宋_GB2312" w:eastAsia="仿宋_GB2312" w:cs="仿宋_GB2312"/>
        </w:rPr>
        <w:t>绩效指标：按照区属镇街行政综合服务中心及我局各业务科室实际需求统一印制。确保各审批事项顺利有序开展。</w:t>
      </w:r>
    </w:p>
    <w:p>
      <w:pPr>
        <w:spacing w:beforeLines="100" w:afterLines="100"/>
        <w:ind w:firstLine="562" w:firstLineChars="200"/>
        <w:jc w:val="both"/>
        <w:outlineLvl w:val="1"/>
        <w:rPr>
          <w:rFonts w:ascii="黑体" w:hAnsi="黑体" w:eastAsia="黑体" w:cs="黑体"/>
          <w:b/>
          <w:bCs/>
          <w:color w:val="000000"/>
          <w:sz w:val="28"/>
        </w:rPr>
      </w:pPr>
      <w:bookmarkStart w:id="2" w:name="_Toc_2_2_0000000003"/>
      <w:r>
        <w:rPr>
          <w:rFonts w:hint="eastAsia" w:ascii="黑体" w:hAnsi="黑体" w:eastAsia="黑体" w:cs="黑体"/>
          <w:b/>
          <w:bCs/>
          <w:color w:val="000000"/>
          <w:sz w:val="28"/>
        </w:rPr>
        <w:t>三、工作保障措施</w:t>
      </w:r>
      <w:bookmarkEnd w:id="2"/>
    </w:p>
    <w:p>
      <w:pPr>
        <w:pStyle w:val="12"/>
        <w:rPr>
          <w:rFonts w:ascii="仿宋_GB2312" w:hAnsi="仿宋_GB2312" w:eastAsia="仿宋_GB2312" w:cs="仿宋_GB2312"/>
        </w:rPr>
      </w:pPr>
      <w:r>
        <w:rPr>
          <w:rFonts w:hint="eastAsia" w:ascii="仿宋_GB2312" w:hAnsi="仿宋_GB2312" w:eastAsia="仿宋_GB2312" w:cs="仿宋_GB2312"/>
        </w:rPr>
        <w:t>一是全面加强机关建设。目前，开平区行政审批局下设市场服务、社会事务、涉农事务、投资项目、建设交通5个业务科室，办公室、政策法规科、管理监督科3个行政科室，综合服务中心、公共资源交易中心2个中心，全力推动区政府赋予的各项行政审批事项，着力打造全区最佳的窗口服务单位。</w:t>
      </w:r>
    </w:p>
    <w:p>
      <w:pPr>
        <w:pStyle w:val="12"/>
        <w:rPr>
          <w:rFonts w:ascii="仿宋_GB2312" w:hAnsi="仿宋_GB2312" w:eastAsia="仿宋_GB2312" w:cs="仿宋_GB2312"/>
        </w:rPr>
      </w:pPr>
      <w:r>
        <w:rPr>
          <w:rFonts w:hint="eastAsia" w:ascii="仿宋_GB2312" w:hAnsi="仿宋_GB2312" w:eastAsia="仿宋_GB2312" w:cs="仿宋_GB2312"/>
        </w:rPr>
        <w:t>二是全面加强党的建设。充分发挥党支部战斗堡垒作用，不断加强党组建设，把党建优势转化为改革优势。落实党组工作制度，扎实推进“两学一做”“</w:t>
      </w:r>
      <w:bookmarkStart w:id="6" w:name="_GoBack"/>
      <w:r>
        <w:rPr>
          <w:rFonts w:hint="eastAsia" w:ascii="仿宋_GB2312" w:hAnsi="仿宋_GB2312" w:eastAsia="仿宋_GB2312" w:cs="仿宋_GB2312"/>
          <w:lang w:eastAsia="zh-CN"/>
        </w:rPr>
        <w:t>不忘初心、牢记使命</w:t>
      </w:r>
      <w:bookmarkEnd w:id="6"/>
      <w:r>
        <w:rPr>
          <w:rFonts w:hint="eastAsia" w:ascii="仿宋_GB2312" w:hAnsi="仿宋_GB2312" w:eastAsia="仿宋_GB2312" w:cs="仿宋_GB2312"/>
        </w:rPr>
        <w:t>”等专题活动，“三会一课”等学习教育常态化制度化，干部队伍的先进性、纯洁性得到较大提升。</w:t>
      </w:r>
    </w:p>
    <w:p>
      <w:pPr>
        <w:pStyle w:val="12"/>
        <w:rPr>
          <w:rFonts w:ascii="仿宋_GB2312" w:hAnsi="仿宋_GB2312" w:eastAsia="仿宋_GB2312" w:cs="仿宋_GB2312"/>
        </w:rPr>
      </w:pPr>
      <w:r>
        <w:rPr>
          <w:rFonts w:hint="eastAsia" w:ascii="仿宋_GB2312" w:hAnsi="仿宋_GB2312" w:eastAsia="仿宋_GB2312" w:cs="仿宋_GB2312"/>
        </w:rPr>
        <w:t>三是全面优化营商环境。积极推进“放管服”改革，实行首问负责制、一次性告知制、限时办结制、责任追究等工作制度。疫情防控期间，落实行政审批“不打烊”，方便办事群众，得到社会各界欢迎。开展“审批人素质提升年”活动，工作人员综合素质得到较大提升。</w:t>
      </w:r>
    </w:p>
    <w:p>
      <w:pPr>
        <w:pStyle w:val="12"/>
      </w:pPr>
    </w:p>
    <w:p>
      <w:pPr>
        <w:jc w:val="center"/>
        <w:sectPr>
          <w:footerReference r:id="rId9" w:type="default"/>
          <w:footerReference r:id="rId10" w:type="even"/>
          <w:pgSz w:w="11900" w:h="16840"/>
          <w:pgMar w:top="1984" w:right="1304" w:bottom="1134" w:left="1304" w:header="720" w:footer="720" w:gutter="0"/>
          <w:pgNumType w:start="1"/>
          <w:cols w:space="720" w:num="1"/>
        </w:sectPr>
      </w:pPr>
    </w:p>
    <w:p>
      <w:pPr>
        <w:jc w:val="center"/>
        <w:outlineLvl w:val="0"/>
        <w:rPr>
          <w:rFonts w:ascii="仿宋" w:hAnsi="仿宋" w:eastAsia="仿宋" w:cs="仿宋"/>
          <w:color w:val="000000"/>
          <w:sz w:val="44"/>
        </w:rPr>
      </w:pPr>
    </w:p>
    <w:p>
      <w:pPr>
        <w:jc w:val="center"/>
        <w:outlineLvl w:val="0"/>
        <w:rPr>
          <w:rFonts w:ascii="仿宋" w:hAnsi="仿宋" w:eastAsia="仿宋" w:cs="仿宋"/>
          <w:color w:val="000000"/>
          <w:sz w:val="44"/>
        </w:rPr>
      </w:pPr>
    </w:p>
    <w:p>
      <w:pPr>
        <w:jc w:val="center"/>
        <w:outlineLvl w:val="0"/>
        <w:rPr>
          <w:rFonts w:ascii="仿宋" w:hAnsi="仿宋" w:eastAsia="仿宋" w:cs="仿宋"/>
          <w:color w:val="000000"/>
          <w:sz w:val="44"/>
        </w:rPr>
      </w:pPr>
    </w:p>
    <w:p>
      <w:pPr>
        <w:jc w:val="center"/>
        <w:outlineLvl w:val="0"/>
        <w:rPr>
          <w:rFonts w:ascii="仿宋" w:hAnsi="仿宋" w:eastAsia="仿宋" w:cs="仿宋"/>
          <w:color w:val="000000"/>
          <w:sz w:val="44"/>
        </w:rPr>
      </w:pPr>
    </w:p>
    <w:p>
      <w:pPr>
        <w:jc w:val="center"/>
        <w:outlineLvl w:val="0"/>
        <w:rPr>
          <w:rFonts w:ascii="仿宋" w:hAnsi="仿宋" w:eastAsia="仿宋" w:cs="仿宋"/>
          <w:color w:val="000000"/>
          <w:sz w:val="44"/>
        </w:rPr>
      </w:pPr>
    </w:p>
    <w:p>
      <w:pPr>
        <w:spacing w:line="360" w:lineRule="auto"/>
        <w:jc w:val="center"/>
        <w:outlineLvl w:val="0"/>
        <w:rPr>
          <w:rFonts w:ascii="黑体" w:hAnsi="黑体" w:eastAsia="黑体" w:cs="黑体"/>
          <w:color w:val="000000"/>
          <w:sz w:val="44"/>
        </w:rPr>
      </w:pPr>
      <w:r>
        <w:rPr>
          <w:rFonts w:hint="eastAsia" w:ascii="黑体" w:hAnsi="黑体" w:eastAsia="黑体" w:cs="黑体"/>
          <w:color w:val="000000"/>
          <w:sz w:val="44"/>
        </w:rPr>
        <w:t>第二部分预算项目绩效目标</w:t>
      </w:r>
    </w:p>
    <w:p>
      <w:pPr>
        <w:jc w:val="center"/>
        <w:sectPr>
          <w:pgSz w:w="11900" w:h="16840"/>
          <w:pgMar w:top="1984" w:right="1304" w:bottom="1134" w:left="1304" w:header="720" w:footer="720" w:gutter="0"/>
          <w:cols w:space="720" w:num="1"/>
        </w:sectPr>
      </w:pPr>
    </w:p>
    <w:p>
      <w:pPr>
        <w:spacing w:beforeLines="100" w:afterLines="100"/>
        <w:outlineLvl w:val="1"/>
        <w:rPr>
          <w:rFonts w:ascii="黑体" w:hAnsi="黑体" w:eastAsia="黑体" w:cs="黑体"/>
          <w:b/>
          <w:bCs/>
          <w:color w:val="000000"/>
          <w:sz w:val="28"/>
        </w:rPr>
      </w:pPr>
      <w:bookmarkStart w:id="3" w:name="_Toc_4_4_0000000004"/>
      <w:r>
        <w:rPr>
          <w:rFonts w:hint="eastAsia" w:ascii="黑体" w:hAnsi="黑体" w:eastAsia="黑体" w:cs="黑体"/>
          <w:b/>
          <w:bCs/>
          <w:color w:val="000000"/>
          <w:sz w:val="28"/>
        </w:rPr>
        <w:t>1.平台运维费用本级绩效目标表</w:t>
      </w:r>
      <w:bookmarkEnd w:id="3"/>
    </w:p>
    <w:tbl>
      <w:tblPr>
        <w:tblStyle w:val="7"/>
        <w:tblW w:w="963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3"/>
        <w:gridCol w:w="1244"/>
        <w:gridCol w:w="1298"/>
        <w:gridCol w:w="1545"/>
        <w:gridCol w:w="1271"/>
        <w:gridCol w:w="1244"/>
        <w:gridCol w:w="17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spacing w:beforeLines="40" w:afterLines="40"/>
              <w:rPr>
                <w:rFonts w:ascii="仿宋_GB2312" w:hAnsi="仿宋_GB2312" w:eastAsia="仿宋_GB2312" w:cs="仿宋_GB2312"/>
              </w:rPr>
            </w:pPr>
            <w:r>
              <w:rPr>
                <w:rFonts w:hint="eastAsia" w:ascii="仿宋_GB2312" w:hAnsi="仿宋_GB2312" w:eastAsia="仿宋_GB2312" w:cs="仿宋_GB2312"/>
              </w:rPr>
              <w:t>439001唐山市开平区行政审批局本级</w:t>
            </w:r>
          </w:p>
        </w:tc>
        <w:tc>
          <w:tcPr>
            <w:tcW w:w="1843" w:type="dxa"/>
            <w:tcBorders>
              <w:top w:val="single" w:color="FFFFFF" w:sz="6" w:space="0"/>
              <w:left w:val="single" w:color="FFFFFF" w:sz="6" w:space="0"/>
              <w:right w:val="single" w:color="FFFFFF" w:sz="6" w:space="0"/>
            </w:tcBorders>
            <w:vAlign w:val="center"/>
          </w:tcPr>
          <w:p>
            <w:pPr>
              <w:pStyle w:val="13"/>
              <w:spacing w:beforeLines="40" w:afterLines="40"/>
              <w:rPr>
                <w:rFonts w:ascii="仿宋_GB2312" w:hAnsi="仿宋_GB2312" w:eastAsia="仿宋_GB2312" w:cs="仿宋_GB2312"/>
              </w:rPr>
            </w:pPr>
            <w:r>
              <w:rPr>
                <w:rFonts w:hint="eastAsia" w:ascii="仿宋_GB2312" w:hAnsi="仿宋_GB2312" w:eastAsia="仿宋_GB2312" w:cs="仿宋_GB2312"/>
              </w:rP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项目编码</w:t>
            </w:r>
          </w:p>
        </w:tc>
        <w:tc>
          <w:tcPr>
            <w:tcW w:w="2608" w:type="dxa"/>
            <w:gridSpan w:val="2"/>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13020522P00B8J810002R</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项目名称</w:t>
            </w:r>
          </w:p>
        </w:tc>
        <w:tc>
          <w:tcPr>
            <w:tcW w:w="4422" w:type="dxa"/>
            <w:gridSpan w:val="3"/>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平台运维费用本级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预算规模及资金用途</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预算数</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368800.00</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其中：财政    资金</w:t>
            </w:r>
          </w:p>
        </w:tc>
        <w:tc>
          <w:tcPr>
            <w:tcW w:w="1304"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368800.00</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其他资金</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pPr>
              <w:spacing w:beforeLines="40" w:afterLines="40"/>
              <w:rPr>
                <w:rFonts w:ascii="仿宋_GB2312" w:hAnsi="仿宋_GB2312" w:eastAsia="仿宋_GB2312" w:cs="仿宋_GB2312"/>
              </w:rPr>
            </w:pPr>
          </w:p>
        </w:tc>
        <w:tc>
          <w:tcPr>
            <w:tcW w:w="8617" w:type="dxa"/>
            <w:gridSpan w:val="6"/>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区行政审批局按照省、市文件要求，为更好的提供便民审批服务，需接入省、市互联网平台，主要包括：“互联网+政务服务”平台、公共资源交易中心弱电及网络系统运维和软件系统升级改造运维、“云视频会议系统”建设及运行维护、信用办平台服务费、公共资源交易平台三维错位（暗标）评审模块、环保专网、市场服务科专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资金支出计划（%）</w:t>
            </w:r>
          </w:p>
        </w:tc>
        <w:tc>
          <w:tcPr>
            <w:tcW w:w="2608" w:type="dxa"/>
            <w:gridSpan w:val="2"/>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3月底</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6月底</w:t>
            </w:r>
          </w:p>
        </w:tc>
        <w:tc>
          <w:tcPr>
            <w:tcW w:w="1304"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10月底</w:t>
            </w:r>
          </w:p>
        </w:tc>
        <w:tc>
          <w:tcPr>
            <w:tcW w:w="3118" w:type="dxa"/>
            <w:gridSpan w:val="2"/>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pPr>
              <w:spacing w:beforeLines="40" w:afterLines="40"/>
              <w:rPr>
                <w:rFonts w:ascii="仿宋_GB2312" w:hAnsi="仿宋_GB2312" w:eastAsia="仿宋_GB2312" w:cs="仿宋_GB2312"/>
              </w:rPr>
            </w:pPr>
          </w:p>
        </w:tc>
        <w:tc>
          <w:tcPr>
            <w:tcW w:w="2608" w:type="dxa"/>
            <w:gridSpan w:val="2"/>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25%</w:t>
            </w:r>
          </w:p>
        </w:tc>
        <w:tc>
          <w:tcPr>
            <w:tcW w:w="1587"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50%</w:t>
            </w:r>
          </w:p>
        </w:tc>
        <w:tc>
          <w:tcPr>
            <w:tcW w:w="1304"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75%</w:t>
            </w:r>
          </w:p>
        </w:tc>
        <w:tc>
          <w:tcPr>
            <w:tcW w:w="3118" w:type="dxa"/>
            <w:gridSpan w:val="2"/>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绩效目标</w:t>
            </w:r>
          </w:p>
        </w:tc>
        <w:tc>
          <w:tcPr>
            <w:tcW w:w="8617" w:type="dxa"/>
            <w:gridSpan w:val="6"/>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1.建成一体化网上政务服务平台，全面公开政务服务事项，政务服务标准化、网络化水平显著提升。大幅提升政务服务智慧化水平，让政府服务更聪明，让企业和群众办事更方便、更快捷、更有效率。</w:t>
            </w:r>
          </w:p>
        </w:tc>
      </w:tr>
    </w:tbl>
    <w:p>
      <w:pPr>
        <w:spacing w:line="2" w:lineRule="exact"/>
        <w:jc w:val="center"/>
      </w:pPr>
    </w:p>
    <w:tbl>
      <w:tblPr>
        <w:tblStyle w:val="7"/>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4"/>
        <w:gridCol w:w="1245"/>
        <w:gridCol w:w="1299"/>
        <w:gridCol w:w="2811"/>
        <w:gridCol w:w="1245"/>
        <w:gridCol w:w="17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一级指标</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二级指标</w:t>
            </w:r>
          </w:p>
        </w:tc>
        <w:tc>
          <w:tcPr>
            <w:tcW w:w="1332"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三级指标</w:t>
            </w:r>
          </w:p>
        </w:tc>
        <w:tc>
          <w:tcPr>
            <w:tcW w:w="2891"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绩效指标描述</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指标值</w:t>
            </w:r>
          </w:p>
        </w:tc>
        <w:tc>
          <w:tcPr>
            <w:tcW w:w="1843"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产出指标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数量指标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审批业务受理率（%）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全年审批业务受理情况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质量指标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审批业务办结率（%）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全年审批业务办结情况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时效指标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办公自动化覆盖率（%）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办公自动化覆盖范围占应覆盖范围的比率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≥90%</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成本指标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办公成本降低率（%）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全年办公成本降低情况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≥90%</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效益指标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社会效益指标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业务保障能力提升情况（%）</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项目实施后业务受理办结保障比率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社会效益指标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公共服务水平提升情况（%）</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项目实施后办事群众的满意度比率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满意度指标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服务对象满意度指标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用户使用满意度（%）</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调查中用户反馈满意和较满意的数量占调查用户总数量的比率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bl>
    <w:p>
      <w:pPr>
        <w:sectPr>
          <w:pgSz w:w="11900" w:h="16840"/>
          <w:pgMar w:top="1984" w:right="1304" w:bottom="1134" w:left="1304" w:header="720" w:footer="720" w:gutter="0"/>
          <w:cols w:space="720" w:num="1"/>
        </w:sectPr>
      </w:pPr>
    </w:p>
    <w:p>
      <w:pPr>
        <w:spacing w:beforeLines="100" w:afterLines="100"/>
        <w:outlineLvl w:val="1"/>
        <w:rPr>
          <w:rFonts w:ascii="黑体" w:hAnsi="黑体" w:eastAsia="黑体" w:cs="黑体"/>
          <w:b/>
          <w:bCs/>
          <w:color w:val="000000"/>
          <w:sz w:val="28"/>
        </w:rPr>
      </w:pPr>
      <w:bookmarkStart w:id="4" w:name="_Toc_4_4_0000000005"/>
      <w:r>
        <w:rPr>
          <w:rFonts w:hint="eastAsia" w:ascii="黑体" w:hAnsi="黑体" w:eastAsia="黑体" w:cs="黑体"/>
          <w:b/>
          <w:bCs/>
          <w:color w:val="000000"/>
          <w:sz w:val="28"/>
        </w:rPr>
        <w:t>2.政务服务大厅提升改造工程本级绩效目标表</w:t>
      </w:r>
      <w:bookmarkEnd w:id="4"/>
    </w:p>
    <w:tbl>
      <w:tblPr>
        <w:tblStyle w:val="7"/>
        <w:tblW w:w="963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3"/>
        <w:gridCol w:w="1244"/>
        <w:gridCol w:w="1298"/>
        <w:gridCol w:w="1545"/>
        <w:gridCol w:w="1271"/>
        <w:gridCol w:w="1244"/>
        <w:gridCol w:w="17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spacing w:beforeLines="40" w:afterLines="40"/>
              <w:rPr>
                <w:rFonts w:ascii="仿宋_GB2312" w:hAnsi="仿宋_GB2312" w:eastAsia="仿宋_GB2312" w:cs="仿宋_GB2312"/>
              </w:rPr>
            </w:pPr>
            <w:r>
              <w:rPr>
                <w:rFonts w:hint="eastAsia" w:ascii="仿宋_GB2312" w:hAnsi="仿宋_GB2312" w:eastAsia="仿宋_GB2312" w:cs="仿宋_GB2312"/>
              </w:rPr>
              <w:t>439001唐山市开平区行政审批局本级</w:t>
            </w:r>
          </w:p>
        </w:tc>
        <w:tc>
          <w:tcPr>
            <w:tcW w:w="1843" w:type="dxa"/>
            <w:tcBorders>
              <w:top w:val="single" w:color="FFFFFF" w:sz="6" w:space="0"/>
              <w:left w:val="single" w:color="FFFFFF" w:sz="6" w:space="0"/>
              <w:right w:val="single" w:color="FFFFFF" w:sz="6" w:space="0"/>
            </w:tcBorders>
            <w:vAlign w:val="center"/>
          </w:tcPr>
          <w:p>
            <w:pPr>
              <w:pStyle w:val="13"/>
              <w:spacing w:beforeLines="40" w:afterLines="40"/>
              <w:rPr>
                <w:rFonts w:ascii="仿宋_GB2312" w:hAnsi="仿宋_GB2312" w:eastAsia="仿宋_GB2312" w:cs="仿宋_GB2312"/>
              </w:rPr>
            </w:pPr>
            <w:r>
              <w:rPr>
                <w:rFonts w:hint="eastAsia" w:ascii="仿宋_GB2312" w:hAnsi="仿宋_GB2312" w:eastAsia="仿宋_GB2312" w:cs="仿宋_GB2312"/>
              </w:rP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项目编码</w:t>
            </w:r>
          </w:p>
        </w:tc>
        <w:tc>
          <w:tcPr>
            <w:tcW w:w="2608" w:type="dxa"/>
            <w:gridSpan w:val="2"/>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13020522P00082810002R</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项目名称</w:t>
            </w:r>
          </w:p>
        </w:tc>
        <w:tc>
          <w:tcPr>
            <w:tcW w:w="4422" w:type="dxa"/>
            <w:gridSpan w:val="3"/>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政务服务大厅提升改造工程本级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预算规模及资金用途</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预算数</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3000000.00</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其中：财政    资金</w:t>
            </w:r>
          </w:p>
        </w:tc>
        <w:tc>
          <w:tcPr>
            <w:tcW w:w="1304"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3000000.00</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其他资金</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pPr>
              <w:spacing w:beforeLines="40" w:afterLines="40"/>
              <w:rPr>
                <w:rFonts w:ascii="仿宋_GB2312" w:hAnsi="仿宋_GB2312" w:eastAsia="仿宋_GB2312" w:cs="仿宋_GB2312"/>
              </w:rPr>
            </w:pPr>
          </w:p>
        </w:tc>
        <w:tc>
          <w:tcPr>
            <w:tcW w:w="8617" w:type="dxa"/>
            <w:gridSpan w:val="6"/>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本项目是区政务服务中心提升整体面貌，统一规范管理，实现服务标准化，打造智慧的政务服务环境。主要内容包括：大厅展示引导标牌、订制工位、服务群众用家具。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资金支出计划（%）</w:t>
            </w:r>
          </w:p>
        </w:tc>
        <w:tc>
          <w:tcPr>
            <w:tcW w:w="2608" w:type="dxa"/>
            <w:gridSpan w:val="2"/>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3月底</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6月底</w:t>
            </w:r>
          </w:p>
        </w:tc>
        <w:tc>
          <w:tcPr>
            <w:tcW w:w="1304"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10月底</w:t>
            </w:r>
          </w:p>
        </w:tc>
        <w:tc>
          <w:tcPr>
            <w:tcW w:w="3118" w:type="dxa"/>
            <w:gridSpan w:val="2"/>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pPr>
              <w:spacing w:beforeLines="40" w:afterLines="40"/>
              <w:rPr>
                <w:rFonts w:ascii="仿宋_GB2312" w:hAnsi="仿宋_GB2312" w:eastAsia="仿宋_GB2312" w:cs="仿宋_GB2312"/>
              </w:rPr>
            </w:pPr>
          </w:p>
        </w:tc>
        <w:tc>
          <w:tcPr>
            <w:tcW w:w="2608" w:type="dxa"/>
            <w:gridSpan w:val="2"/>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25%</w:t>
            </w:r>
          </w:p>
        </w:tc>
        <w:tc>
          <w:tcPr>
            <w:tcW w:w="1587"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50%</w:t>
            </w:r>
          </w:p>
        </w:tc>
        <w:tc>
          <w:tcPr>
            <w:tcW w:w="1304"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75%</w:t>
            </w:r>
          </w:p>
        </w:tc>
        <w:tc>
          <w:tcPr>
            <w:tcW w:w="3118" w:type="dxa"/>
            <w:gridSpan w:val="2"/>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绩效目标</w:t>
            </w:r>
          </w:p>
        </w:tc>
        <w:tc>
          <w:tcPr>
            <w:tcW w:w="8617" w:type="dxa"/>
            <w:gridSpan w:val="6"/>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1.建成后，按照窗口管理模式，统一规范管理，实现服务标准化，彻底解决群众企业多头跑、往返跑的问题，提高了审批效率。推行智慧政务服务和“一窗受理”改革，建设“绿色、和谐、阳光”精神的“一窗式”服务之窗。打造一个科技、人文、绿色、特色、统一的一流政务服务大厅。</w:t>
            </w:r>
          </w:p>
        </w:tc>
      </w:tr>
    </w:tbl>
    <w:p>
      <w:pPr>
        <w:spacing w:line="2" w:lineRule="exact"/>
        <w:jc w:val="center"/>
      </w:pPr>
    </w:p>
    <w:tbl>
      <w:tblPr>
        <w:tblStyle w:val="7"/>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4"/>
        <w:gridCol w:w="1245"/>
        <w:gridCol w:w="1299"/>
        <w:gridCol w:w="2811"/>
        <w:gridCol w:w="1245"/>
        <w:gridCol w:w="17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一级指标</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二级指标</w:t>
            </w:r>
          </w:p>
        </w:tc>
        <w:tc>
          <w:tcPr>
            <w:tcW w:w="1332"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三级指标</w:t>
            </w:r>
          </w:p>
        </w:tc>
        <w:tc>
          <w:tcPr>
            <w:tcW w:w="2891"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绩效指标描述</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指标值</w:t>
            </w:r>
          </w:p>
        </w:tc>
        <w:tc>
          <w:tcPr>
            <w:tcW w:w="1843"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产出指标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数量指标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审批业务受理率（%）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全年审批业务受理情况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质量指标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审批业务办结率（%）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全年审批业务办结情况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时效指标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办公自动化覆盖率（%）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办公自动化覆盖范围占应覆盖范围的比率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≥90%</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成本指标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办公成本降低率（%）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全年办公成本降低情况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≥90%</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效益指标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社会效益指标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业务保障能力提升情况（%）</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项目实施后业务受理办结保障比率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社会效益指标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公共服务水平提升情况（%）</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项目实施后办事群众的满意度比率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满意度指标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服务对象满意度指标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用户使用满意度（%）</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调查中用户反馈满意和较满意的数量占调查用户总数量的比率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bl>
    <w:p>
      <w:pPr>
        <w:sectPr>
          <w:pgSz w:w="11900" w:h="16840"/>
          <w:pgMar w:top="1984" w:right="1304" w:bottom="1134" w:left="1304" w:header="720" w:footer="720" w:gutter="0"/>
          <w:cols w:space="720" w:num="1"/>
        </w:sectPr>
      </w:pPr>
    </w:p>
    <w:p>
      <w:pPr>
        <w:spacing w:beforeLines="100" w:afterLines="100"/>
        <w:outlineLvl w:val="1"/>
        <w:rPr>
          <w:rFonts w:ascii="黑体" w:hAnsi="黑体" w:eastAsia="黑体" w:cs="黑体"/>
          <w:b/>
          <w:bCs/>
          <w:color w:val="000000"/>
          <w:sz w:val="28"/>
        </w:rPr>
      </w:pPr>
      <w:bookmarkStart w:id="5" w:name="_Toc_4_4_0000000006"/>
      <w:r>
        <w:rPr>
          <w:rFonts w:hint="eastAsia" w:ascii="黑体" w:hAnsi="黑体" w:eastAsia="黑体" w:cs="黑体"/>
          <w:b/>
          <w:bCs/>
          <w:color w:val="000000"/>
          <w:sz w:val="28"/>
        </w:rPr>
        <w:t>3.行政审批综合管理事务本级绩效目标表</w:t>
      </w:r>
      <w:bookmarkEnd w:id="5"/>
    </w:p>
    <w:tbl>
      <w:tblPr>
        <w:tblStyle w:val="7"/>
        <w:tblW w:w="963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3"/>
        <w:gridCol w:w="1244"/>
        <w:gridCol w:w="1298"/>
        <w:gridCol w:w="1545"/>
        <w:gridCol w:w="1271"/>
        <w:gridCol w:w="1244"/>
        <w:gridCol w:w="17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spacing w:beforeLines="40" w:afterLines="40"/>
              <w:rPr>
                <w:rFonts w:ascii="仿宋_GB2312" w:hAnsi="仿宋_GB2312" w:eastAsia="仿宋_GB2312" w:cs="仿宋_GB2312"/>
              </w:rPr>
            </w:pPr>
            <w:r>
              <w:rPr>
                <w:rFonts w:hint="eastAsia" w:ascii="仿宋_GB2312" w:hAnsi="仿宋_GB2312" w:eastAsia="仿宋_GB2312" w:cs="仿宋_GB2312"/>
              </w:rPr>
              <w:t>439001唐山市开平区行政审批局本级</w:t>
            </w:r>
          </w:p>
        </w:tc>
        <w:tc>
          <w:tcPr>
            <w:tcW w:w="1843" w:type="dxa"/>
            <w:tcBorders>
              <w:top w:val="single" w:color="FFFFFF" w:sz="6" w:space="0"/>
              <w:left w:val="single" w:color="FFFFFF" w:sz="6" w:space="0"/>
              <w:right w:val="single" w:color="FFFFFF" w:sz="6" w:space="0"/>
            </w:tcBorders>
            <w:vAlign w:val="center"/>
          </w:tcPr>
          <w:p>
            <w:pPr>
              <w:pStyle w:val="13"/>
              <w:spacing w:beforeLines="40" w:afterLines="40"/>
              <w:rPr>
                <w:rFonts w:ascii="仿宋_GB2312" w:hAnsi="仿宋_GB2312" w:eastAsia="仿宋_GB2312" w:cs="仿宋_GB2312"/>
              </w:rPr>
            </w:pPr>
            <w:r>
              <w:rPr>
                <w:rFonts w:hint="eastAsia" w:ascii="仿宋_GB2312" w:hAnsi="仿宋_GB2312" w:eastAsia="仿宋_GB2312" w:cs="仿宋_GB2312"/>
              </w:rP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项目编码</w:t>
            </w:r>
          </w:p>
        </w:tc>
        <w:tc>
          <w:tcPr>
            <w:tcW w:w="2608" w:type="dxa"/>
            <w:gridSpan w:val="2"/>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13020522P00897310001A</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项目名称</w:t>
            </w:r>
          </w:p>
        </w:tc>
        <w:tc>
          <w:tcPr>
            <w:tcW w:w="4422" w:type="dxa"/>
            <w:gridSpan w:val="3"/>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行政审批综合管理事务本级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预算规模及资金用途</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预算数</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500000.00</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其中：财政    资金</w:t>
            </w:r>
          </w:p>
        </w:tc>
        <w:tc>
          <w:tcPr>
            <w:tcW w:w="1304"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500000.00</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其他资金</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pPr>
              <w:spacing w:beforeLines="40" w:afterLines="40"/>
              <w:rPr>
                <w:rFonts w:ascii="仿宋_GB2312" w:hAnsi="仿宋_GB2312" w:eastAsia="仿宋_GB2312" w:cs="仿宋_GB2312"/>
              </w:rPr>
            </w:pPr>
          </w:p>
        </w:tc>
        <w:tc>
          <w:tcPr>
            <w:tcW w:w="8617" w:type="dxa"/>
            <w:gridSpan w:val="6"/>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用于在唐山劳动日报上刊登土地拍卖公告、流拍公告、撤销冒用他人信息公告和其他信息公告；证照印刷及宣传；专家评审及各类培训费；法律顾问服务费；政务服务大厅公共服务费；新入职员工工装款。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资金支出计划（%）</w:t>
            </w:r>
          </w:p>
        </w:tc>
        <w:tc>
          <w:tcPr>
            <w:tcW w:w="2608" w:type="dxa"/>
            <w:gridSpan w:val="2"/>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3月底</w:t>
            </w:r>
          </w:p>
        </w:tc>
        <w:tc>
          <w:tcPr>
            <w:tcW w:w="1587"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6月底</w:t>
            </w:r>
          </w:p>
        </w:tc>
        <w:tc>
          <w:tcPr>
            <w:tcW w:w="1304"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10月底</w:t>
            </w:r>
          </w:p>
        </w:tc>
        <w:tc>
          <w:tcPr>
            <w:tcW w:w="3118" w:type="dxa"/>
            <w:gridSpan w:val="2"/>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pPr>
              <w:spacing w:beforeLines="40" w:afterLines="40"/>
              <w:rPr>
                <w:rFonts w:ascii="仿宋_GB2312" w:hAnsi="仿宋_GB2312" w:eastAsia="仿宋_GB2312" w:cs="仿宋_GB2312"/>
              </w:rPr>
            </w:pPr>
          </w:p>
        </w:tc>
        <w:tc>
          <w:tcPr>
            <w:tcW w:w="2608" w:type="dxa"/>
            <w:gridSpan w:val="2"/>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25%</w:t>
            </w:r>
          </w:p>
        </w:tc>
        <w:tc>
          <w:tcPr>
            <w:tcW w:w="1587"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50%</w:t>
            </w:r>
          </w:p>
        </w:tc>
        <w:tc>
          <w:tcPr>
            <w:tcW w:w="1304"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75%</w:t>
            </w:r>
          </w:p>
        </w:tc>
        <w:tc>
          <w:tcPr>
            <w:tcW w:w="3118" w:type="dxa"/>
            <w:gridSpan w:val="2"/>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绩效目标</w:t>
            </w:r>
          </w:p>
        </w:tc>
        <w:tc>
          <w:tcPr>
            <w:tcW w:w="8617" w:type="dxa"/>
            <w:gridSpan w:val="6"/>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1.完成政务服务活动，国有土地招拍挂全流程在法律规定范围内公平、公正、公开、诚信，推动了我区公共资源交易活动的发展，更方便、快捷、有效率。</w:t>
            </w:r>
          </w:p>
        </w:tc>
      </w:tr>
    </w:tbl>
    <w:p>
      <w:pPr>
        <w:spacing w:line="2" w:lineRule="exact"/>
        <w:jc w:val="center"/>
      </w:pPr>
    </w:p>
    <w:tbl>
      <w:tblPr>
        <w:tblStyle w:val="7"/>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4"/>
        <w:gridCol w:w="1245"/>
        <w:gridCol w:w="1299"/>
        <w:gridCol w:w="2811"/>
        <w:gridCol w:w="1245"/>
        <w:gridCol w:w="17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一级指标</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二级指标</w:t>
            </w:r>
          </w:p>
        </w:tc>
        <w:tc>
          <w:tcPr>
            <w:tcW w:w="1332"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三级指标</w:t>
            </w:r>
          </w:p>
        </w:tc>
        <w:tc>
          <w:tcPr>
            <w:tcW w:w="2891"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绩效指标描述</w:t>
            </w:r>
          </w:p>
        </w:tc>
        <w:tc>
          <w:tcPr>
            <w:tcW w:w="1276"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指标值</w:t>
            </w:r>
          </w:p>
        </w:tc>
        <w:tc>
          <w:tcPr>
            <w:tcW w:w="1843" w:type="dxa"/>
            <w:vAlign w:val="center"/>
          </w:tcPr>
          <w:p>
            <w:pPr>
              <w:pStyle w:val="16"/>
              <w:spacing w:beforeLines="40" w:afterLines="40"/>
              <w:rPr>
                <w:rFonts w:ascii="仿宋_GB2312" w:hAnsi="仿宋_GB2312" w:eastAsia="仿宋_GB2312" w:cs="仿宋_GB2312"/>
              </w:rPr>
            </w:pPr>
            <w:r>
              <w:rPr>
                <w:rFonts w:hint="eastAsia" w:ascii="仿宋_GB2312" w:hAnsi="仿宋_GB2312" w:eastAsia="仿宋_GB2312" w:cs="仿宋_GB2312"/>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产出指标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数量指标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审批业务受理率（%）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全年审批业务受理情况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质量指标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审批业务办结率（%）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全年审批业务办结情况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时效指标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办公自动化覆盖率（%）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办公自动化覆盖范围占应覆盖范围的比率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≥90%</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成本指标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办公成本降低率（%）</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全年办公成本降低情况</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≥90%</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效益指标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社会效益指标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业务保障能力提升情况（%）</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项目实施后业务受理办结保障比率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pPr>
              <w:spacing w:beforeLines="40" w:afterLines="40"/>
              <w:rPr>
                <w:rFonts w:ascii="仿宋_GB2312" w:hAnsi="仿宋_GB2312" w:eastAsia="仿宋_GB2312" w:cs="仿宋_GB2312"/>
              </w:rPr>
            </w:pP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社会效益指标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公共服务水平提升情况（%）</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项目实施后办事群众的满意度比率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spacing w:beforeLines="40" w:afterLines="40"/>
              <w:rPr>
                <w:rFonts w:ascii="仿宋_GB2312" w:hAnsi="仿宋_GB2312" w:eastAsia="仿宋_GB2312" w:cs="仿宋_GB2312"/>
              </w:rPr>
            </w:pPr>
            <w:r>
              <w:rPr>
                <w:rFonts w:hint="eastAsia" w:ascii="仿宋_GB2312" w:hAnsi="仿宋_GB2312" w:eastAsia="仿宋_GB2312" w:cs="仿宋_GB2312"/>
              </w:rPr>
              <w:t>满意度指标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服务对象满意度指标</w:t>
            </w:r>
          </w:p>
        </w:tc>
        <w:tc>
          <w:tcPr>
            <w:tcW w:w="1332"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用户使用满意度（%）</w:t>
            </w:r>
          </w:p>
        </w:tc>
        <w:tc>
          <w:tcPr>
            <w:tcW w:w="2891"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调查中用户反馈满意和较满意的数量占调查用户总数量的比率</w:t>
            </w:r>
          </w:p>
        </w:tc>
        <w:tc>
          <w:tcPr>
            <w:tcW w:w="1276" w:type="dxa"/>
            <w:vAlign w:val="center"/>
          </w:tcPr>
          <w:p>
            <w:pPr>
              <w:pStyle w:val="15"/>
              <w:spacing w:beforeLines="40" w:afterLines="40"/>
              <w:rPr>
                <w:rFonts w:ascii="仿宋_GB2312" w:hAnsi="仿宋_GB2312" w:eastAsia="仿宋_GB2312" w:cs="仿宋_GB2312"/>
              </w:rPr>
            </w:pPr>
            <w:r>
              <w:rPr>
                <w:rFonts w:hint="eastAsia" w:ascii="仿宋_GB2312" w:hAnsi="仿宋_GB2312" w:eastAsia="仿宋_GB2312" w:cs="仿宋_GB2312"/>
              </w:rPr>
              <w:t>≥95%</w:t>
            </w:r>
          </w:p>
        </w:tc>
        <w:tc>
          <w:tcPr>
            <w:tcW w:w="1843" w:type="dxa"/>
            <w:vAlign w:val="center"/>
          </w:tcPr>
          <w:p>
            <w:pPr>
              <w:pStyle w:val="15"/>
              <w:spacing w:beforeLines="40" w:afterLines="40"/>
              <w:rPr>
                <w:rFonts w:ascii="仿宋_GB2312" w:hAnsi="仿宋_GB2312" w:eastAsia="仿宋_GB2312" w:cs="仿宋_GB2312"/>
              </w:rPr>
            </w:pPr>
          </w:p>
        </w:tc>
      </w:tr>
    </w:tbl>
    <w:p/>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F45A3B-A6D2-4FA4-9E98-B49DA23808DE}"/>
  </w:font>
  <w:font w:name="Arial">
    <w:panose1 w:val="020B0604020202020204"/>
    <w:charset w:val="01"/>
    <w:family w:val="swiss"/>
    <w:pitch w:val="default"/>
    <w:sig w:usb0="E0002AFF" w:usb1="C0007843" w:usb2="00000009" w:usb3="00000000" w:csb0="400001FF" w:csb1="FFFF0000"/>
    <w:embedRegular r:id="rId2" w:fontKey="{154D9CA4-3167-45F3-9BAE-97B74E4357FB}"/>
  </w:font>
  <w:font w:name="黑体">
    <w:panose1 w:val="02010609060101010101"/>
    <w:charset w:val="86"/>
    <w:family w:val="auto"/>
    <w:pitch w:val="default"/>
    <w:sig w:usb0="800002BF" w:usb1="38CF7CFA" w:usb2="00000016" w:usb3="00000000" w:csb0="00040001" w:csb1="00000000"/>
    <w:embedRegular r:id="rId3" w:fontKey="{BDA08F98-6CF3-4597-8768-3E7C4F6BEAF0}"/>
  </w:font>
  <w:font w:name="Courier New">
    <w:panose1 w:val="02070309020205020404"/>
    <w:charset w:val="01"/>
    <w:family w:val="modern"/>
    <w:pitch w:val="default"/>
    <w:sig w:usb0="E0002AFF" w:usb1="C0007843" w:usb2="00000009" w:usb3="00000000" w:csb0="400001FF" w:csb1="FFFF0000"/>
    <w:embedRegular r:id="rId4" w:fontKey="{7EB69C53-6579-457A-8916-5F8A48667B11}"/>
  </w:font>
  <w:font w:name="Symbol">
    <w:panose1 w:val="05050102010706020507"/>
    <w:charset w:val="02"/>
    <w:family w:val="roman"/>
    <w:pitch w:val="default"/>
    <w:sig w:usb0="00000000" w:usb1="00000000" w:usb2="00000000" w:usb3="00000000" w:csb0="80000000" w:csb1="00000000"/>
    <w:embedRegular r:id="rId5" w:fontKey="{52D331E6-A853-4415-9085-7384FEEFC750}"/>
  </w:font>
  <w:font w:name="Calibri">
    <w:panose1 w:val="020F0502020204030204"/>
    <w:charset w:val="00"/>
    <w:family w:val="swiss"/>
    <w:pitch w:val="default"/>
    <w:sig w:usb0="E00002FF" w:usb1="4000ACFF" w:usb2="00000001" w:usb3="00000000" w:csb0="2000019F" w:csb1="00000000"/>
    <w:embedRegular r:id="rId6" w:fontKey="{8AE24086-09F6-493B-9947-1D84FFFC5986}"/>
  </w:font>
  <w:font w:name="方正仿宋_GBK">
    <w:altName w:val="Arial Unicode MS"/>
    <w:panose1 w:val="00000000000000000000"/>
    <w:charset w:val="86"/>
    <w:family w:val="roman"/>
    <w:pitch w:val="default"/>
    <w:sig w:usb0="00000000" w:usb1="00000000" w:usb2="00000000" w:usb3="00000000" w:csb0="00040000" w:csb1="00000000"/>
  </w:font>
  <w:font w:name="方正书宋_GBK">
    <w:altName w:val="Arial Unicode MS"/>
    <w:panose1 w:val="00000000000000000000"/>
    <w:charset w:val="86"/>
    <w:family w:val="roman"/>
    <w:pitch w:val="default"/>
    <w:sig w:usb0="00000000" w:usb1="00000000" w:usb2="00000000" w:usb3="00000000" w:csb0="00040000" w:csb1="00000000"/>
  </w:font>
  <w:font w:name="方正小标宋_GBK">
    <w:altName w:val="Arial Unicode MS"/>
    <w:panose1 w:val="00000000000000000000"/>
    <w:charset w:val="86"/>
    <w:family w:val="roman"/>
    <w:pitch w:val="default"/>
    <w:sig w:usb0="00000000" w:usb1="00000000" w:usb2="00000000" w:usb3="00000000" w:csb0="00040000" w:csb1="00000000"/>
    <w:embedRegular r:id="rId7" w:fontKey="{C0896F95-21B4-48F5-9F55-D83DF59B8250}"/>
  </w:font>
  <w:font w:name="方正楷体_GBK">
    <w:altName w:val="Arial Unicode MS"/>
    <w:panose1 w:val="00000000000000000000"/>
    <w:charset w:val="86"/>
    <w:family w:val="auto"/>
    <w:pitch w:val="default"/>
    <w:sig w:usb0="00000000" w:usb1="00000000" w:usb2="00000000" w:usb3="00000000" w:csb0="00040000" w:csb1="00000000"/>
    <w:embedRegular r:id="rId8" w:fontKey="{77991724-2563-4892-9834-A0B8D5C87E47}"/>
  </w:font>
  <w:font w:name="仿宋_GB2312">
    <w:panose1 w:val="02010609030101010101"/>
    <w:charset w:val="86"/>
    <w:family w:val="modern"/>
    <w:pitch w:val="default"/>
    <w:sig w:usb0="00000000" w:usb1="00000000" w:usb2="00000000" w:usb3="00000000" w:csb0="00000000" w:csb1="00000000"/>
    <w:embedRegular r:id="rId9" w:fontKey="{A3A186CB-8C7C-4FA5-B2AF-909B5EF9EB54}"/>
  </w:font>
  <w:font w:name="仿宋">
    <w:panose1 w:val="02010609060101010101"/>
    <w:charset w:val="86"/>
    <w:family w:val="modern"/>
    <w:pitch w:val="default"/>
    <w:sig w:usb0="800002BF" w:usb1="38CF7CFA" w:usb2="00000016" w:usb3="00000000" w:csb0="00040001" w:csb1="00000000"/>
    <w:embedRegular r:id="rId10" w:fontKey="{91C24E1A-0A62-4958-9527-3C0B7124A65E}"/>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1</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2</w:t>
                </w:r>
                <w:r>
                  <w:rPr>
                    <w:rFonts w:hint="eastAsia" w:eastAsia="宋体"/>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NotTrackMoves/>
  <w:documentProtection w:enforcement="0"/>
  <w:defaultTabStop w:val="720"/>
  <w:evenAndOddHeaders w:val="1"/>
  <w:characterSpacingControl w:val="doNotCompress"/>
  <w:hdrShapeDefaults>
    <o:shapelayout v:ext="edit">
      <o:idmap v:ext="edit" data="3,4"/>
    </o:shapelayout>
  </w:hdrShapeDefaults>
  <w:compat>
    <w:doNotLeaveBackslashAlone/>
    <w:doNotExpandShiftReturn/>
    <w:adjustLineHeightInTable/>
    <w:useFELayout/>
    <w:compatSetting w:name="compatibilityMode" w:uri="http://schemas.microsoft.com/office/word" w:val="12"/>
  </w:compat>
  <w:rsids>
    <w:rsidRoot w:val="007E2937"/>
    <w:rsid w:val="007E2937"/>
    <w:rsid w:val="00891098"/>
    <w:rsid w:val="4F3336EB"/>
    <w:rsid w:val="590E1CF6"/>
    <w:rsid w:val="74732E9A"/>
    <w:rsid w:val="7A9340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4">
    <w:name w:val="toc 1"/>
    <w:basedOn w:val="1"/>
    <w:next w:val="1"/>
    <w:qFormat/>
    <w:uiPriority w:val="0"/>
    <w:pPr>
      <w:spacing w:before="120"/>
    </w:pPr>
    <w:rPr>
      <w:rFonts w:eastAsia="方正仿宋_GBK" w:cs="Times New Roman"/>
      <w:color w:val="000000"/>
      <w:sz w:val="28"/>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11">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12">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5"/>
    <w:basedOn w:val="1"/>
    <w:qFormat/>
    <w:uiPriority w:val="0"/>
    <w:rPr>
      <w:rFonts w:ascii="方正书宋_GBK" w:hAnsi="方正书宋_GBK" w:eastAsia="方正书宋_GBK" w:cs="方正书宋_GBK"/>
      <w:b/>
      <w:sz w:val="21"/>
    </w:rPr>
  </w:style>
  <w:style w:type="paragraph" w:customStyle="1" w:styleId="15">
    <w:name w:val="单元格样式2"/>
    <w:basedOn w:val="1"/>
    <w:qFormat/>
    <w:uiPriority w:val="0"/>
    <w:rPr>
      <w:rFonts w:ascii="方正书宋_GBK" w:hAnsi="方正书宋_GBK" w:eastAsia="方正书宋_GBK" w:cs="方正书宋_GBK"/>
      <w:sz w:val="21"/>
    </w:rPr>
  </w:style>
  <w:style w:type="paragraph" w:customStyle="1" w:styleId="16">
    <w:name w:val="单元格样式1"/>
    <w:basedOn w:val="1"/>
    <w:qFormat/>
    <w:uiPriority w:val="0"/>
    <w:pPr>
      <w:jc w:val="center"/>
    </w:pPr>
    <w:rPr>
      <w:rFonts w:ascii="方正书宋_GBK" w:hAnsi="方正书宋_GBK" w:eastAsia="方正书宋_GBK" w:cs="方正书宋_GBK"/>
      <w:b/>
      <w:sz w:val="21"/>
    </w:rPr>
  </w:style>
  <w:style w:type="paragraph" w:customStyle="1" w:styleId="17">
    <w:name w:val="单元格样式3"/>
    <w:basedOn w:val="1"/>
    <w:qFormat/>
    <w:uiPriority w:val="0"/>
    <w:pPr>
      <w:jc w:val="center"/>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1.xml"/><Relationship Id="rId21" Type="http://schemas.openxmlformats.org/officeDocument/2006/relationships/customXml" Target="../customXml/item10.xml"/><Relationship Id="rId20" Type="http://schemas.openxmlformats.org/officeDocument/2006/relationships/customXml" Target="../customXml/item9.xml"/><Relationship Id="rId2" Type="http://schemas.openxmlformats.org/officeDocument/2006/relationships/settings" Target="settings.xml"/><Relationship Id="rId19" Type="http://schemas.openxmlformats.org/officeDocument/2006/relationships/customXml" Target="../customXml/item8.xml"/><Relationship Id="rId18" Type="http://schemas.openxmlformats.org/officeDocument/2006/relationships/customXml" Target="../customXml/item7.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4098"/>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2022-01-13T19:42:34Z</dcterms:created>
  <dcterms:modified xsi:type="dcterms:W3CDTF">2022-01-13T11:42:34Z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2022-01-13T19:42:33Z</dcterms:created>
  <dcterms:modified xsi:type="dcterms:W3CDTF">2022-01-13T11:42:33Z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2022-01-13T19:42:33Z</dcterms:created>
  <dcterms:modified xsi:type="dcterms:W3CDTF">2022-01-13T11:42:33Z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2022-01-13T19:42:34Z</dcterms:created>
  <dcterms:modified xsi:type="dcterms:W3CDTF">2022-01-13T11:42:34Z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2022-01-13T19:42:33Z</dcterms:created>
  <dcterms:modified xsi:type="dcterms:W3CDTF">2022-01-13T11:42:33Z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49EA0926-2B53-42F4-B3CC-7B68F6F7B2F6}">
  <ds:schemaRefs/>
</ds:datastoreItem>
</file>

<file path=customXml/itemProps11.xml><?xml version="1.0" encoding="utf-8"?>
<ds:datastoreItem xmlns:ds="http://schemas.openxmlformats.org/officeDocument/2006/customXml" ds:itemID="{6141A5B3-EDFF-4A0B-8BA0-2D442FED91E1}">
  <ds:schemaRefs/>
</ds:datastoreItem>
</file>

<file path=customXml/itemProps2.xml><?xml version="1.0" encoding="utf-8"?>
<ds:datastoreItem xmlns:ds="http://schemas.openxmlformats.org/officeDocument/2006/customXml" ds:itemID="{4D1FF9F0-E0A9-467C-8001-E9E781EAA24D}">
  <ds:schemaRefs/>
</ds:datastoreItem>
</file>

<file path=customXml/itemProps3.xml><?xml version="1.0" encoding="utf-8"?>
<ds:datastoreItem xmlns:ds="http://schemas.openxmlformats.org/officeDocument/2006/customXml" ds:itemID="{0BD483F1-90BA-4CA5-BC2A-AE43915C6BF3}">
  <ds:schemaRefs/>
</ds:datastoreItem>
</file>

<file path=customXml/itemProps4.xml><?xml version="1.0" encoding="utf-8"?>
<ds:datastoreItem xmlns:ds="http://schemas.openxmlformats.org/officeDocument/2006/customXml" ds:itemID="{687F2B83-E35B-401E-8CAD-CE2A0587BCDF}">
  <ds:schemaRefs/>
</ds:datastoreItem>
</file>

<file path=customXml/itemProps5.xml><?xml version="1.0" encoding="utf-8"?>
<ds:datastoreItem xmlns:ds="http://schemas.openxmlformats.org/officeDocument/2006/customXml" ds:itemID="{F4755B41-3FD2-4AC9-B88E-E4D45465A64E}">
  <ds:schemaRefs/>
</ds:datastoreItem>
</file>

<file path=customXml/itemProps6.xml><?xml version="1.0" encoding="utf-8"?>
<ds:datastoreItem xmlns:ds="http://schemas.openxmlformats.org/officeDocument/2006/customXml" ds:itemID="{2B89AFEF-470D-437A-AC29-50C3A0AB18AD}">
  <ds:schemaRefs/>
</ds:datastoreItem>
</file>

<file path=customXml/itemProps7.xml><?xml version="1.0" encoding="utf-8"?>
<ds:datastoreItem xmlns:ds="http://schemas.openxmlformats.org/officeDocument/2006/customXml" ds:itemID="{DEBBC668-6CFD-47A6-8643-EBE601D183F1}">
  <ds:schemaRefs/>
</ds:datastoreItem>
</file>

<file path=customXml/itemProps8.xml><?xml version="1.0" encoding="utf-8"?>
<ds:datastoreItem xmlns:ds="http://schemas.openxmlformats.org/officeDocument/2006/customXml" ds:itemID="{A6DF3AB2-4383-4368-8D20-A7A7AB5C0B1B}">
  <ds:schemaRefs/>
</ds:datastoreItem>
</file>

<file path=customXml/itemProps9.xml><?xml version="1.0" encoding="utf-8"?>
<ds:datastoreItem xmlns:ds="http://schemas.openxmlformats.org/officeDocument/2006/customXml" ds:itemID="{C6FF3352-8025-4621-8FE9-723B8ABAFF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2871</Words>
  <Characters>1072</Characters>
  <Lines>8</Lines>
  <Paragraphs>7</Paragraphs>
  <TotalTime>7</TotalTime>
  <ScaleCrop>false</ScaleCrop>
  <LinksUpToDate>false</LinksUpToDate>
  <CharactersWithSpaces>3936</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2022-01-13T19:42:00Z</dcterms:created>
  <dc:creator>Administrator</dc:creator>
  <cp:lastModifiedBy>hp</cp:lastModifiedBy>
  <dcterms:modified xsi:type="dcterms:W3CDTF">2024-10-10T09:45:09Z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554878421_embed</vt:lpwstr>
  </property>
  <property fmtid="{D5CDD505-2E9C-101B-9397-08002B2CF9AE}" pid="3" name="KSOProductBuildVer">
    <vt:lpwstr>2052-11.8.2.8875</vt:lpwstr>
  </property>
</Properties>
</file>