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439唐山市开平区行政审批局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1195.07</w:t>
            </w:r>
          </w:p>
        </w:tc>
        <w:tc>
          <w:tcPr>
            <w:tcW w:w="4535" w:type="dxa"/>
            <w:vAlign w:val="center"/>
          </w:tcPr>
          <w:p>
            <w:pPr>
              <w:pStyle w:val="12"/>
            </w:pPr>
            <w:r>
              <w:t>一、一般公共服务支出</w:t>
            </w:r>
          </w:p>
        </w:tc>
        <w:tc>
          <w:tcPr>
            <w:tcW w:w="2126" w:type="dxa"/>
            <w:vAlign w:val="center"/>
          </w:tcPr>
          <w:p>
            <w:pPr>
              <w:pStyle w:val="11"/>
            </w:pPr>
            <w:r>
              <w:t>1085.93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1195.07</w:t>
            </w:r>
          </w:p>
        </w:tc>
        <w:tc>
          <w:tcPr>
            <w:tcW w:w="4535" w:type="dxa"/>
            <w:vAlign w:val="center"/>
          </w:tcPr>
          <w:p>
            <w:pPr>
              <w:pStyle w:val="14"/>
            </w:pPr>
            <w:r>
              <w:t>本年支出合计</w:t>
            </w:r>
          </w:p>
        </w:tc>
        <w:tc>
          <w:tcPr>
            <w:tcW w:w="2126" w:type="dxa"/>
            <w:vAlign w:val="center"/>
          </w:tcPr>
          <w:p>
            <w:pPr>
              <w:pStyle w:val="15"/>
            </w:pPr>
            <w:r>
              <w:t>1195.07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1195.07</w:t>
            </w:r>
          </w:p>
        </w:tc>
        <w:tc>
          <w:tcPr>
            <w:tcW w:w="4535" w:type="dxa"/>
            <w:vAlign w:val="center"/>
          </w:tcPr>
          <w:p>
            <w:pPr>
              <w:pStyle w:val="14"/>
            </w:pPr>
            <w:r>
              <w:t>支出总计</w:t>
            </w:r>
          </w:p>
        </w:tc>
        <w:tc>
          <w:tcPr>
            <w:tcW w:w="2126" w:type="dxa"/>
            <w:vAlign w:val="center"/>
          </w:tcPr>
          <w:p>
            <w:pPr>
              <w:pStyle w:val="15"/>
            </w:pPr>
            <w:r>
              <w:t>1195.07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439唐山市开平区行政审批局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1195.07</w:t>
            </w:r>
          </w:p>
        </w:tc>
        <w:tc>
          <w:tcPr>
            <w:tcW w:w="1134" w:type="dxa"/>
            <w:vAlign w:val="center"/>
          </w:tcPr>
          <w:p>
            <w:pPr>
              <w:pStyle w:val="15"/>
            </w:pPr>
            <w:r>
              <w:t>1195.07</w:t>
            </w:r>
          </w:p>
        </w:tc>
        <w:tc>
          <w:tcPr>
            <w:tcW w:w="1134" w:type="dxa"/>
            <w:vAlign w:val="center"/>
          </w:tcPr>
          <w:p>
            <w:pPr>
              <w:pStyle w:val="15"/>
            </w:pPr>
            <w:r>
              <w:t>1195.07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2010306</w:t>
            </w:r>
          </w:p>
        </w:tc>
        <w:tc>
          <w:tcPr>
            <w:tcW w:w="1559" w:type="dxa"/>
            <w:vAlign w:val="center"/>
          </w:tcPr>
          <w:p>
            <w:pPr>
              <w:pStyle w:val="12"/>
            </w:pPr>
            <w:r>
              <w:t>政务公开审批</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r>
              <w:t>1085.93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r>
              <w:t>62.05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r>
              <w:t>45.26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1195.07</w:t>
            </w:r>
          </w:p>
        </w:tc>
        <w:tc>
          <w:tcPr>
            <w:tcW w:w="1361" w:type="dxa"/>
            <w:vAlign w:val="center"/>
          </w:tcPr>
          <w:p>
            <w:pPr>
              <w:pStyle w:val="15"/>
            </w:pPr>
            <w:r>
              <w:t>808.19</w:t>
            </w:r>
          </w:p>
        </w:tc>
        <w:tc>
          <w:tcPr>
            <w:tcW w:w="1361" w:type="dxa"/>
            <w:vAlign w:val="center"/>
          </w:tcPr>
          <w:p>
            <w:pPr>
              <w:pStyle w:val="15"/>
            </w:pPr>
            <w:r>
              <w:t>386.88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1085.93</w:t>
            </w:r>
          </w:p>
        </w:tc>
        <w:tc>
          <w:tcPr>
            <w:tcW w:w="1361" w:type="dxa"/>
            <w:vAlign w:val="center"/>
          </w:tcPr>
          <w:p>
            <w:pPr>
              <w:pStyle w:val="11"/>
            </w:pPr>
            <w:r>
              <w:t>699.05</w:t>
            </w:r>
          </w:p>
        </w:tc>
        <w:tc>
          <w:tcPr>
            <w:tcW w:w="1361" w:type="dxa"/>
            <w:vAlign w:val="center"/>
          </w:tcPr>
          <w:p>
            <w:pPr>
              <w:pStyle w:val="11"/>
            </w:pPr>
            <w:r>
              <w:t>386.88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1085.93</w:t>
            </w:r>
          </w:p>
        </w:tc>
        <w:tc>
          <w:tcPr>
            <w:tcW w:w="1361" w:type="dxa"/>
            <w:vAlign w:val="center"/>
          </w:tcPr>
          <w:p>
            <w:pPr>
              <w:pStyle w:val="11"/>
            </w:pPr>
            <w:r>
              <w:t>699.05</w:t>
            </w:r>
          </w:p>
        </w:tc>
        <w:tc>
          <w:tcPr>
            <w:tcW w:w="1361" w:type="dxa"/>
            <w:vAlign w:val="center"/>
          </w:tcPr>
          <w:p>
            <w:pPr>
              <w:pStyle w:val="11"/>
            </w:pPr>
            <w:r>
              <w:t>386.88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2010306</w:t>
            </w:r>
          </w:p>
        </w:tc>
        <w:tc>
          <w:tcPr>
            <w:tcW w:w="4535" w:type="dxa"/>
            <w:vAlign w:val="center"/>
          </w:tcPr>
          <w:p>
            <w:pPr>
              <w:pStyle w:val="12"/>
            </w:pPr>
            <w:r>
              <w:t>政务公开审批</w:t>
            </w:r>
          </w:p>
        </w:tc>
        <w:tc>
          <w:tcPr>
            <w:tcW w:w="1361" w:type="dxa"/>
            <w:vAlign w:val="center"/>
          </w:tcPr>
          <w:p>
            <w:pPr>
              <w:pStyle w:val="11"/>
            </w:pPr>
            <w:r>
              <w:t>1085.93</w:t>
            </w:r>
          </w:p>
        </w:tc>
        <w:tc>
          <w:tcPr>
            <w:tcW w:w="1361" w:type="dxa"/>
            <w:vAlign w:val="center"/>
          </w:tcPr>
          <w:p>
            <w:pPr>
              <w:pStyle w:val="11"/>
            </w:pPr>
            <w:r>
              <w:t>699.05</w:t>
            </w:r>
          </w:p>
        </w:tc>
        <w:tc>
          <w:tcPr>
            <w:tcW w:w="1361" w:type="dxa"/>
            <w:vAlign w:val="center"/>
          </w:tcPr>
          <w:p>
            <w:pPr>
              <w:pStyle w:val="11"/>
            </w:pPr>
            <w:r>
              <w:t>386.88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1.83</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1.83</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1.83</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62.05</w:t>
            </w:r>
          </w:p>
        </w:tc>
        <w:tc>
          <w:tcPr>
            <w:tcW w:w="1361" w:type="dxa"/>
            <w:vAlign w:val="center"/>
          </w:tcPr>
          <w:p>
            <w:pPr>
              <w:pStyle w:val="11"/>
            </w:pPr>
            <w:r>
              <w:t>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62.05</w:t>
            </w:r>
          </w:p>
        </w:tc>
        <w:tc>
          <w:tcPr>
            <w:tcW w:w="1361" w:type="dxa"/>
            <w:vAlign w:val="center"/>
          </w:tcPr>
          <w:p>
            <w:pPr>
              <w:pStyle w:val="11"/>
            </w:pPr>
            <w:r>
              <w:t>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62.05</w:t>
            </w:r>
          </w:p>
        </w:tc>
        <w:tc>
          <w:tcPr>
            <w:tcW w:w="1361" w:type="dxa"/>
            <w:vAlign w:val="center"/>
          </w:tcPr>
          <w:p>
            <w:pPr>
              <w:pStyle w:val="11"/>
            </w:pPr>
            <w:r>
              <w:t>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45.26</w:t>
            </w:r>
          </w:p>
        </w:tc>
        <w:tc>
          <w:tcPr>
            <w:tcW w:w="1361" w:type="dxa"/>
            <w:vAlign w:val="center"/>
          </w:tcPr>
          <w:p>
            <w:pPr>
              <w:pStyle w:val="11"/>
            </w:pPr>
            <w:r>
              <w:t>45.26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45.26</w:t>
            </w:r>
          </w:p>
        </w:tc>
        <w:tc>
          <w:tcPr>
            <w:tcW w:w="1361" w:type="dxa"/>
            <w:vAlign w:val="center"/>
          </w:tcPr>
          <w:p>
            <w:pPr>
              <w:pStyle w:val="11"/>
            </w:pPr>
            <w:r>
              <w:t>45.26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45.26</w:t>
            </w:r>
          </w:p>
        </w:tc>
        <w:tc>
          <w:tcPr>
            <w:tcW w:w="1361" w:type="dxa"/>
            <w:vAlign w:val="center"/>
          </w:tcPr>
          <w:p>
            <w:pPr>
              <w:pStyle w:val="11"/>
            </w:pPr>
            <w:r>
              <w:t>45.26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1195.07</w:t>
            </w:r>
          </w:p>
        </w:tc>
        <w:tc>
          <w:tcPr>
            <w:tcW w:w="3402" w:type="dxa"/>
            <w:vAlign w:val="center"/>
          </w:tcPr>
          <w:p>
            <w:pPr>
              <w:pStyle w:val="12"/>
            </w:pPr>
            <w:r>
              <w:t>一、一般公共服务支出</w:t>
            </w:r>
          </w:p>
        </w:tc>
        <w:tc>
          <w:tcPr>
            <w:tcW w:w="1474" w:type="dxa"/>
            <w:vAlign w:val="center"/>
          </w:tcPr>
          <w:p>
            <w:pPr>
              <w:pStyle w:val="11"/>
            </w:pPr>
            <w:r>
              <w:t>1085.93</w:t>
            </w:r>
          </w:p>
        </w:tc>
        <w:tc>
          <w:tcPr>
            <w:tcW w:w="1474" w:type="dxa"/>
            <w:vAlign w:val="center"/>
          </w:tcPr>
          <w:p>
            <w:pPr>
              <w:pStyle w:val="11"/>
            </w:pPr>
            <w:r>
              <w:t>1085.93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1.83</w:t>
            </w:r>
          </w:p>
        </w:tc>
        <w:tc>
          <w:tcPr>
            <w:tcW w:w="1474" w:type="dxa"/>
            <w:vAlign w:val="center"/>
          </w:tcPr>
          <w:p>
            <w:pPr>
              <w:pStyle w:val="11"/>
            </w:pPr>
            <w:r>
              <w:t>1.83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62.05</w:t>
            </w:r>
          </w:p>
        </w:tc>
        <w:tc>
          <w:tcPr>
            <w:tcW w:w="1474" w:type="dxa"/>
            <w:vAlign w:val="center"/>
          </w:tcPr>
          <w:p>
            <w:pPr>
              <w:pStyle w:val="11"/>
            </w:pPr>
            <w:r>
              <w:t>62.05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45.26</w:t>
            </w:r>
          </w:p>
        </w:tc>
        <w:tc>
          <w:tcPr>
            <w:tcW w:w="1474" w:type="dxa"/>
            <w:vAlign w:val="center"/>
          </w:tcPr>
          <w:p>
            <w:pPr>
              <w:pStyle w:val="11"/>
            </w:pPr>
            <w:r>
              <w:t>45.26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1195.07</w:t>
            </w:r>
          </w:p>
        </w:tc>
        <w:tc>
          <w:tcPr>
            <w:tcW w:w="3402" w:type="dxa"/>
            <w:vAlign w:val="center"/>
          </w:tcPr>
          <w:p>
            <w:pPr>
              <w:pStyle w:val="14"/>
            </w:pPr>
            <w:r>
              <w:t>本年支出合计</w:t>
            </w:r>
          </w:p>
        </w:tc>
        <w:tc>
          <w:tcPr>
            <w:tcW w:w="1474" w:type="dxa"/>
            <w:vAlign w:val="center"/>
          </w:tcPr>
          <w:p>
            <w:pPr>
              <w:pStyle w:val="15"/>
            </w:pPr>
            <w:r>
              <w:t>1195.07</w:t>
            </w:r>
          </w:p>
        </w:tc>
        <w:tc>
          <w:tcPr>
            <w:tcW w:w="1474" w:type="dxa"/>
            <w:vAlign w:val="center"/>
          </w:tcPr>
          <w:p>
            <w:pPr>
              <w:pStyle w:val="15"/>
            </w:pPr>
            <w:r>
              <w:t>1195.07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1195.07</w:t>
            </w:r>
          </w:p>
        </w:tc>
        <w:tc>
          <w:tcPr>
            <w:tcW w:w="3402" w:type="dxa"/>
            <w:vAlign w:val="center"/>
          </w:tcPr>
          <w:p>
            <w:pPr>
              <w:pStyle w:val="14"/>
            </w:pPr>
            <w:r>
              <w:t>支出总计</w:t>
            </w:r>
          </w:p>
        </w:tc>
        <w:tc>
          <w:tcPr>
            <w:tcW w:w="1474" w:type="dxa"/>
            <w:vAlign w:val="center"/>
          </w:tcPr>
          <w:p>
            <w:pPr>
              <w:pStyle w:val="15"/>
            </w:pPr>
            <w:r>
              <w:t>1195.07</w:t>
            </w:r>
          </w:p>
        </w:tc>
        <w:tc>
          <w:tcPr>
            <w:tcW w:w="1474" w:type="dxa"/>
            <w:vAlign w:val="center"/>
          </w:tcPr>
          <w:p>
            <w:pPr>
              <w:pStyle w:val="15"/>
            </w:pPr>
            <w:r>
              <w:t>1195.07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1195.07</w:t>
            </w:r>
          </w:p>
        </w:tc>
        <w:tc>
          <w:tcPr>
            <w:tcW w:w="2551" w:type="dxa"/>
            <w:vAlign w:val="center"/>
          </w:tcPr>
          <w:p>
            <w:pPr>
              <w:pStyle w:val="15"/>
            </w:pPr>
            <w:r>
              <w:t>808.19</w:t>
            </w:r>
          </w:p>
        </w:tc>
        <w:tc>
          <w:tcPr>
            <w:tcW w:w="2551" w:type="dxa"/>
            <w:vAlign w:val="center"/>
          </w:tcPr>
          <w:p>
            <w:pPr>
              <w:pStyle w:val="15"/>
            </w:pPr>
            <w:r>
              <w:t>386.88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1085.93</w:t>
            </w:r>
          </w:p>
        </w:tc>
        <w:tc>
          <w:tcPr>
            <w:tcW w:w="2551" w:type="dxa"/>
            <w:vAlign w:val="center"/>
          </w:tcPr>
          <w:p>
            <w:pPr>
              <w:pStyle w:val="11"/>
            </w:pPr>
            <w:r>
              <w:t>699.05</w:t>
            </w:r>
          </w:p>
        </w:tc>
        <w:tc>
          <w:tcPr>
            <w:tcW w:w="2551" w:type="dxa"/>
            <w:vAlign w:val="center"/>
          </w:tcPr>
          <w:p>
            <w:pPr>
              <w:pStyle w:val="11"/>
            </w:pPr>
            <w:r>
              <w:t>386.88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1085.93</w:t>
            </w:r>
          </w:p>
        </w:tc>
        <w:tc>
          <w:tcPr>
            <w:tcW w:w="2551" w:type="dxa"/>
            <w:vAlign w:val="center"/>
          </w:tcPr>
          <w:p>
            <w:pPr>
              <w:pStyle w:val="11"/>
            </w:pPr>
            <w:r>
              <w:t>699.05</w:t>
            </w:r>
          </w:p>
        </w:tc>
        <w:tc>
          <w:tcPr>
            <w:tcW w:w="2551" w:type="dxa"/>
            <w:vAlign w:val="center"/>
          </w:tcPr>
          <w:p>
            <w:pPr>
              <w:pStyle w:val="11"/>
            </w:pPr>
            <w:r>
              <w:t>386.88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2010306</w:t>
            </w:r>
          </w:p>
        </w:tc>
        <w:tc>
          <w:tcPr>
            <w:tcW w:w="4535" w:type="dxa"/>
            <w:vAlign w:val="center"/>
          </w:tcPr>
          <w:p>
            <w:pPr>
              <w:pStyle w:val="12"/>
            </w:pPr>
            <w:r>
              <w:t>政务公开审批</w:t>
            </w:r>
          </w:p>
        </w:tc>
        <w:tc>
          <w:tcPr>
            <w:tcW w:w="2551" w:type="dxa"/>
            <w:vAlign w:val="center"/>
          </w:tcPr>
          <w:p>
            <w:pPr>
              <w:pStyle w:val="11"/>
            </w:pPr>
            <w:r>
              <w:t>1085.93</w:t>
            </w:r>
          </w:p>
        </w:tc>
        <w:tc>
          <w:tcPr>
            <w:tcW w:w="2551" w:type="dxa"/>
            <w:vAlign w:val="center"/>
          </w:tcPr>
          <w:p>
            <w:pPr>
              <w:pStyle w:val="11"/>
            </w:pPr>
            <w:r>
              <w:t>699.05</w:t>
            </w:r>
          </w:p>
        </w:tc>
        <w:tc>
          <w:tcPr>
            <w:tcW w:w="2551" w:type="dxa"/>
            <w:vAlign w:val="center"/>
          </w:tcPr>
          <w:p>
            <w:pPr>
              <w:pStyle w:val="11"/>
            </w:pPr>
            <w:r>
              <w:t>386.88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1.83</w:t>
            </w:r>
          </w:p>
        </w:tc>
        <w:tc>
          <w:tcPr>
            <w:tcW w:w="2551" w:type="dxa"/>
            <w:vAlign w:val="center"/>
          </w:tcPr>
          <w:p>
            <w:pPr>
              <w:pStyle w:val="11"/>
            </w:pPr>
            <w:r>
              <w:t>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62.05</w:t>
            </w:r>
          </w:p>
        </w:tc>
        <w:tc>
          <w:tcPr>
            <w:tcW w:w="2551" w:type="dxa"/>
            <w:vAlign w:val="center"/>
          </w:tcPr>
          <w:p>
            <w:pPr>
              <w:pStyle w:val="11"/>
            </w:pPr>
            <w:r>
              <w:t>62.05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62.05</w:t>
            </w:r>
          </w:p>
        </w:tc>
        <w:tc>
          <w:tcPr>
            <w:tcW w:w="2551" w:type="dxa"/>
            <w:vAlign w:val="center"/>
          </w:tcPr>
          <w:p>
            <w:pPr>
              <w:pStyle w:val="11"/>
            </w:pPr>
            <w:r>
              <w:t>62.05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62.05</w:t>
            </w:r>
          </w:p>
        </w:tc>
        <w:tc>
          <w:tcPr>
            <w:tcW w:w="2551" w:type="dxa"/>
            <w:vAlign w:val="center"/>
          </w:tcPr>
          <w:p>
            <w:pPr>
              <w:pStyle w:val="11"/>
            </w:pPr>
            <w:r>
              <w:t>62.05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45.26</w:t>
            </w:r>
          </w:p>
        </w:tc>
        <w:tc>
          <w:tcPr>
            <w:tcW w:w="2551" w:type="dxa"/>
            <w:vAlign w:val="center"/>
          </w:tcPr>
          <w:p>
            <w:pPr>
              <w:pStyle w:val="11"/>
            </w:pPr>
            <w:r>
              <w:t>45.26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45.26</w:t>
            </w:r>
          </w:p>
        </w:tc>
        <w:tc>
          <w:tcPr>
            <w:tcW w:w="2551" w:type="dxa"/>
            <w:vAlign w:val="center"/>
          </w:tcPr>
          <w:p>
            <w:pPr>
              <w:pStyle w:val="11"/>
            </w:pPr>
            <w:r>
              <w:t>45.26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45.26</w:t>
            </w:r>
          </w:p>
        </w:tc>
        <w:tc>
          <w:tcPr>
            <w:tcW w:w="2551" w:type="dxa"/>
            <w:vAlign w:val="center"/>
          </w:tcPr>
          <w:p>
            <w:pPr>
              <w:pStyle w:val="11"/>
            </w:pPr>
            <w:r>
              <w:t>45.26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808.19</w:t>
            </w:r>
          </w:p>
        </w:tc>
        <w:tc>
          <w:tcPr>
            <w:tcW w:w="2551" w:type="dxa"/>
            <w:vAlign w:val="center"/>
          </w:tcPr>
          <w:p>
            <w:pPr>
              <w:pStyle w:val="15"/>
            </w:pPr>
            <w:r>
              <w:t>755.45</w:t>
            </w:r>
          </w:p>
        </w:tc>
        <w:tc>
          <w:tcPr>
            <w:tcW w:w="2551" w:type="dxa"/>
            <w:vAlign w:val="center"/>
          </w:tcPr>
          <w:p>
            <w:pPr>
              <w:pStyle w:val="15"/>
            </w:pPr>
            <w:r>
              <w:t>52.74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751.79</w:t>
            </w:r>
          </w:p>
        </w:tc>
        <w:tc>
          <w:tcPr>
            <w:tcW w:w="2551" w:type="dxa"/>
            <w:vAlign w:val="center"/>
          </w:tcPr>
          <w:p>
            <w:pPr>
              <w:pStyle w:val="11"/>
            </w:pPr>
            <w:r>
              <w:t>751.79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170.98</w:t>
            </w:r>
          </w:p>
        </w:tc>
        <w:tc>
          <w:tcPr>
            <w:tcW w:w="2551" w:type="dxa"/>
            <w:vAlign w:val="center"/>
          </w:tcPr>
          <w:p>
            <w:pPr>
              <w:pStyle w:val="11"/>
            </w:pPr>
            <w:r>
              <w:t>170.98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125.40</w:t>
            </w:r>
          </w:p>
        </w:tc>
        <w:tc>
          <w:tcPr>
            <w:tcW w:w="2551" w:type="dxa"/>
            <w:vAlign w:val="center"/>
          </w:tcPr>
          <w:p>
            <w:pPr>
              <w:pStyle w:val="11"/>
            </w:pPr>
            <w:r>
              <w:t>125.40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7.47</w:t>
            </w:r>
          </w:p>
        </w:tc>
        <w:tc>
          <w:tcPr>
            <w:tcW w:w="2551" w:type="dxa"/>
            <w:vAlign w:val="center"/>
          </w:tcPr>
          <w:p>
            <w:pPr>
              <w:pStyle w:val="11"/>
            </w:pPr>
            <w:r>
              <w:t>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95.27</w:t>
            </w:r>
          </w:p>
        </w:tc>
        <w:tc>
          <w:tcPr>
            <w:tcW w:w="2551" w:type="dxa"/>
            <w:vAlign w:val="center"/>
          </w:tcPr>
          <w:p>
            <w:pPr>
              <w:pStyle w:val="11"/>
            </w:pPr>
            <w:r>
              <w:t>95.27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57.34</w:t>
            </w:r>
          </w:p>
        </w:tc>
        <w:tc>
          <w:tcPr>
            <w:tcW w:w="2551" w:type="dxa"/>
            <w:vAlign w:val="center"/>
          </w:tcPr>
          <w:p>
            <w:pPr>
              <w:pStyle w:val="11"/>
            </w:pPr>
            <w:r>
              <w:t>57.34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28.67</w:t>
            </w:r>
          </w:p>
        </w:tc>
        <w:tc>
          <w:tcPr>
            <w:tcW w:w="2551" w:type="dxa"/>
            <w:vAlign w:val="center"/>
          </w:tcPr>
          <w:p>
            <w:pPr>
              <w:pStyle w:val="11"/>
            </w:pPr>
            <w:r>
              <w:t>28.67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55.64</w:t>
            </w:r>
          </w:p>
        </w:tc>
        <w:tc>
          <w:tcPr>
            <w:tcW w:w="2551" w:type="dxa"/>
            <w:vAlign w:val="center"/>
          </w:tcPr>
          <w:p>
            <w:pPr>
              <w:pStyle w:val="11"/>
            </w:pPr>
            <w:r>
              <w:t>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27.14</w:t>
            </w:r>
          </w:p>
        </w:tc>
        <w:tc>
          <w:tcPr>
            <w:tcW w:w="2551" w:type="dxa"/>
            <w:vAlign w:val="center"/>
          </w:tcPr>
          <w:p>
            <w:pPr>
              <w:pStyle w:val="11"/>
            </w:pPr>
            <w:r>
              <w:t>27.14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43.01</w:t>
            </w:r>
          </w:p>
        </w:tc>
        <w:tc>
          <w:tcPr>
            <w:tcW w:w="2551" w:type="dxa"/>
            <w:vAlign w:val="center"/>
          </w:tcPr>
          <w:p>
            <w:pPr>
              <w:pStyle w:val="11"/>
            </w:pPr>
            <w:r>
              <w:t>43.01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140.88</w:t>
            </w:r>
          </w:p>
        </w:tc>
        <w:tc>
          <w:tcPr>
            <w:tcW w:w="2551" w:type="dxa"/>
            <w:vAlign w:val="center"/>
          </w:tcPr>
          <w:p>
            <w:pPr>
              <w:pStyle w:val="11"/>
            </w:pPr>
            <w:r>
              <w:t>140.88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51.18</w:t>
            </w:r>
          </w:p>
        </w:tc>
        <w:tc>
          <w:tcPr>
            <w:tcW w:w="2551" w:type="dxa"/>
            <w:vAlign w:val="center"/>
          </w:tcPr>
          <w:p>
            <w:pPr>
              <w:pStyle w:val="11"/>
            </w:pPr>
          </w:p>
        </w:tc>
        <w:tc>
          <w:tcPr>
            <w:tcW w:w="2551" w:type="dxa"/>
            <w:vAlign w:val="center"/>
          </w:tcPr>
          <w:p>
            <w:pPr>
              <w:pStyle w:val="11"/>
            </w:pPr>
            <w:r>
              <w:t>51.18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11.89</w:t>
            </w:r>
          </w:p>
        </w:tc>
        <w:tc>
          <w:tcPr>
            <w:tcW w:w="2551" w:type="dxa"/>
            <w:vAlign w:val="center"/>
          </w:tcPr>
          <w:p>
            <w:pPr>
              <w:pStyle w:val="11"/>
            </w:pPr>
          </w:p>
        </w:tc>
        <w:tc>
          <w:tcPr>
            <w:tcW w:w="2551" w:type="dxa"/>
            <w:vAlign w:val="center"/>
          </w:tcPr>
          <w:p>
            <w:pPr>
              <w:pStyle w:val="11"/>
            </w:pPr>
            <w:r>
              <w:t>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4.27</w:t>
            </w:r>
          </w:p>
        </w:tc>
        <w:tc>
          <w:tcPr>
            <w:tcW w:w="2551" w:type="dxa"/>
            <w:vAlign w:val="center"/>
          </w:tcPr>
          <w:p>
            <w:pPr>
              <w:pStyle w:val="11"/>
            </w:pPr>
          </w:p>
        </w:tc>
        <w:tc>
          <w:tcPr>
            <w:tcW w:w="2551" w:type="dxa"/>
            <w:vAlign w:val="center"/>
          </w:tcPr>
          <w:p>
            <w:pPr>
              <w:pStyle w:val="11"/>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13.56</w:t>
            </w:r>
          </w:p>
        </w:tc>
        <w:tc>
          <w:tcPr>
            <w:tcW w:w="2551" w:type="dxa"/>
            <w:vAlign w:val="center"/>
          </w:tcPr>
          <w:p>
            <w:pPr>
              <w:pStyle w:val="11"/>
            </w:pPr>
          </w:p>
        </w:tc>
        <w:tc>
          <w:tcPr>
            <w:tcW w:w="2551" w:type="dxa"/>
            <w:vAlign w:val="center"/>
          </w:tcPr>
          <w:p>
            <w:pPr>
              <w:pStyle w:val="11"/>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1.63</w:t>
            </w:r>
          </w:p>
        </w:tc>
        <w:tc>
          <w:tcPr>
            <w:tcW w:w="2551" w:type="dxa"/>
            <w:vAlign w:val="center"/>
          </w:tcPr>
          <w:p>
            <w:pPr>
              <w:pStyle w:val="11"/>
            </w:pPr>
            <w:r>
              <w:t>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439唐山市开平区行政审批局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rPr>
            </w:pPr>
            <w:r>
              <w:rPr>
                <w:rFonts w:ascii="方正书宋_GBK" w:eastAsia="方正书宋_GBK"/>
                <w:b/>
              </w:rPr>
              <w:t>4.00</w:t>
            </w:r>
          </w:p>
        </w:tc>
        <w:tc>
          <w:tcPr>
            <w:tcW w:w="2381" w:type="dxa"/>
            <w:vAlign w:val="center"/>
          </w:tcPr>
          <w:p>
            <w:pPr>
              <w:spacing w:line="300" w:lineRule="exact"/>
              <w:jc w:val="right"/>
              <w:rPr>
                <w:rFonts w:ascii="方正书宋_GBK" w:eastAsia="方正书宋_GBK"/>
                <w:b/>
              </w:rPr>
            </w:pPr>
            <w:r>
              <w:rPr>
                <w:rFonts w:ascii="方正书宋_GBK" w:eastAsia="方正书宋_GBK"/>
                <w:b/>
              </w:rPr>
              <w:t>4.00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r>
              <w:rPr>
                <w:rFonts w:ascii="方正书宋_GBK" w:eastAsia="方正书宋_GBK"/>
              </w:rPr>
              <w:t>4.00</w:t>
            </w:r>
          </w:p>
        </w:tc>
        <w:tc>
          <w:tcPr>
            <w:tcW w:w="2381" w:type="dxa"/>
            <w:vAlign w:val="center"/>
          </w:tcPr>
          <w:p>
            <w:pPr>
              <w:spacing w:line="300" w:lineRule="exact"/>
              <w:jc w:val="right"/>
              <w:rPr>
                <w:rFonts w:ascii="方正书宋_GBK" w:eastAsia="方正书宋_GBK"/>
              </w:rPr>
            </w:pPr>
            <w:r>
              <w:rPr>
                <w:rFonts w:ascii="方正书宋_GBK" w:eastAsia="方正书宋_GBK"/>
              </w:rPr>
              <w:t>4.00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r>
              <w:rPr>
                <w:rFonts w:ascii="方正书宋_GBK" w:eastAsia="方正书宋_GBK"/>
              </w:rPr>
              <w:t>4.00</w:t>
            </w:r>
          </w:p>
        </w:tc>
        <w:tc>
          <w:tcPr>
            <w:tcW w:w="2381" w:type="dxa"/>
            <w:vAlign w:val="center"/>
          </w:tcPr>
          <w:p>
            <w:pPr>
              <w:spacing w:line="300" w:lineRule="exact"/>
              <w:jc w:val="right"/>
              <w:rPr>
                <w:rFonts w:ascii="方正书宋_GBK" w:eastAsia="方正书宋_GBK"/>
              </w:rPr>
            </w:pPr>
            <w:r>
              <w:rPr>
                <w:rFonts w:ascii="方正书宋_GBK" w:eastAsia="方正书宋_GBK"/>
              </w:rPr>
              <w:t>4.00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开平区行政审批局2022年部门预算信息公开情况说明</w:t>
      </w:r>
    </w:p>
    <w:p>
      <w:pPr>
        <w:jc w:val="center"/>
      </w:pPr>
      <w:r>
        <w:rPr>
          <w:rFonts w:ascii="方正小标宋_GBK" w:hAnsi="方正小标宋_GBK" w:eastAsia="方正小标宋_GBK" w:cs="方正小标宋_GBK"/>
          <w:color w:val="000000"/>
          <w:sz w:val="44"/>
        </w:rPr>
        <w:t>唐山市开平区行政审批局2022年部门预算信息公开情况说明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按照《预算法》、《地方预决算公开操作规程》和《关于进一步推进预算公开工作的实施意见》规定，现将唐山市开平区行政审批局2022年部门预算公开如下：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 负责贯彻落实国家、省、市有关行政审批制度改革的决定和行政审批相关法律、法规，创新和完善相关工作体制机制，规范全区行政审批行为；负责全区行政审批的监督检查和综合考核评价工作。</w:t>
      </w:r>
    </w:p>
    <w:p>
      <w:pPr>
        <w:pStyle w:val="17"/>
      </w:pPr>
      <w:r>
        <w:t>2. 负责投资项目、市场服务、文教卫生、社会事务、住建交通、农林水务、商贸流通等方面行政审批、政务服务事项的办理及相关行政性收费，并承担相应的法律责任。</w:t>
      </w:r>
    </w:p>
    <w:p>
      <w:pPr>
        <w:pStyle w:val="17"/>
      </w:pPr>
      <w:r>
        <w:t>3. 负责审批及服务事项流程的标准化管理工作；规范审批事项的办理依据、程序和自由裁量权；负责对行政审批、部门管理及服务事项进行流程再造、环节优化、压缩时限，并对办理情况进行跟踪督办。</w:t>
      </w:r>
    </w:p>
    <w:p>
      <w:pPr>
        <w:pStyle w:val="17"/>
      </w:pPr>
      <w:r>
        <w:t>4. 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pPr>
        <w:pStyle w:val="17"/>
      </w:pPr>
      <w:r>
        <w:t>5. 负责进驻综合服务中心的职能部门行政审批工作的规范、管理、监督和工作人员的教育、培训、管理、绩效考核；协调、指导未划入行政审批局的职能部门以及乡镇街道的行政审批业务工作。</w:t>
      </w:r>
    </w:p>
    <w:p>
      <w:pPr>
        <w:pStyle w:val="17"/>
      </w:pPr>
      <w:r>
        <w:t>6. 负责指导和协调全区公共资源交易工作；负责组织拟订统一的公共资源交易规则和操作规程；负责对进入区公共资源交易平台的交易活动实施现场监管；负责法律法规尚未明确监管部门交易事项的监管。</w:t>
      </w:r>
    </w:p>
    <w:p>
      <w:pPr>
        <w:pStyle w:val="17"/>
      </w:pPr>
      <w:r>
        <w:t>7. 负责政务服务大厅综合平台的建设和管理，建立和完善全区政务服务体系；负责全区行政审批、政务服务体系信息化建设。</w:t>
      </w:r>
    </w:p>
    <w:p>
      <w:pPr>
        <w:pStyle w:val="17"/>
      </w:pPr>
      <w:r>
        <w:t>8. 协助相关部门完成“放管服”工作任务。</w:t>
      </w:r>
    </w:p>
    <w:p>
      <w:pPr>
        <w:pStyle w:val="17"/>
      </w:pPr>
      <w:r>
        <w:t>9. 承办区委、区政府交办的其他事项。</w:t>
      </w:r>
    </w:p>
    <w:p>
      <w:pPr>
        <w:pStyle w:val="17"/>
      </w:pPr>
      <w:r>
        <w:t>10.政务中心信息化建设与维护；政务中心基础设施建设与维护；政务中心日常管理事务；对进驻行政服务中心（公共资源交易中心）工作人员进行管理、培训和日常考核。负责进驻区行政服务中心部门（单位）及行政审批事项的核定工作；负责进驻部门（单位）行政审批业务指导、管理和协调工作；负责大厅服务总台值班，掌握各进驻部门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pPr>
        <w:pStyle w:val="17"/>
      </w:pPr>
      <w:r>
        <w:t>11.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唐山市开平区行政审批局本级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按照预算管理有关规定，目前我省部门预算的编制实行综合预算管理，即全部收入和支出都反映在预算中。唐山市开平区行政审批局机关及所属事业单位的收支包含在部门预算中。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64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52.74</w:t>
      </w:r>
      <w:r>
        <w:rPr>
          <w:rFonts w:hint="eastAsia" w:eastAsia="方正仿宋_GBK"/>
          <w:color w:val="000000"/>
          <w:sz w:val="28"/>
        </w:rPr>
        <w:t>万元，主要用于保证正常办公的基本需要和维持单位日常业务运转，包括：办公费、邮电费、差旅费、维修（护）费、</w:t>
      </w:r>
      <w:r>
        <w:rPr>
          <w:rFonts w:hint="eastAsia" w:eastAsia="方正仿宋_GBK"/>
          <w:color w:val="000000"/>
          <w:sz w:val="28"/>
          <w:lang w:eastAsia="zh-CN"/>
        </w:rPr>
        <w:t>工会经费、福利费</w:t>
      </w:r>
      <w:r>
        <w:rPr>
          <w:rFonts w:hint="eastAsia" w:eastAsia="方正仿宋_GBK"/>
          <w:color w:val="000000"/>
          <w:sz w:val="28"/>
        </w:rPr>
        <w:t>、公务用车运行维护费</w:t>
      </w:r>
      <w:r>
        <w:rPr>
          <w:rFonts w:hint="eastAsia" w:eastAsia="方正仿宋_GBK"/>
          <w:color w:val="000000"/>
          <w:sz w:val="28"/>
          <w:lang w:eastAsia="zh-CN"/>
        </w:rPr>
        <w:t>、其他交通费用</w:t>
      </w:r>
      <w:r>
        <w:rPr>
          <w:rFonts w:hint="eastAsia" w:eastAsia="方正仿宋_GBK"/>
          <w:color w:val="000000"/>
          <w:sz w:val="28"/>
        </w:rPr>
        <w:t>和其他</w:t>
      </w:r>
      <w:r>
        <w:rPr>
          <w:rFonts w:hint="eastAsia" w:eastAsia="方正仿宋_GBK"/>
          <w:color w:val="000000"/>
          <w:sz w:val="28"/>
          <w:lang w:eastAsia="zh-CN"/>
        </w:rPr>
        <w:t>商品和服务支出</w:t>
      </w:r>
      <w:r>
        <w:rPr>
          <w:rFonts w:hint="eastAsia" w:eastAsia="方正仿宋_GBK"/>
          <w:color w:val="000000"/>
          <w:sz w:val="28"/>
        </w:rPr>
        <w:t>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rPr>
          <w:rFonts w:eastAsia="方正仿宋_GBK"/>
          <w:color w:val="000000"/>
          <w:sz w:val="28"/>
          <w:lang w:eastAsia="zh-CN"/>
        </w:rPr>
      </w:pPr>
      <w:r>
        <w:rPr>
          <w:rFonts w:hint="eastAsia" w:eastAsia="方正仿宋_GBK"/>
          <w:color w:val="000000"/>
          <w:sz w:val="28"/>
        </w:rPr>
        <w:t>2022年我部门“三公”经费预算安排4万元，较上年预算持平。</w:t>
      </w:r>
    </w:p>
    <w:p>
      <w:pPr>
        <w:autoSpaceDE w:val="0"/>
        <w:autoSpaceDN w:val="0"/>
        <w:adjustRightInd w:val="0"/>
        <w:ind w:left="198" w:firstLine="560" w:firstLineChars="200"/>
        <w:rPr>
          <w:rFonts w:eastAsia="方正仿宋_GBK"/>
          <w:color w:val="000000"/>
          <w:sz w:val="28"/>
        </w:rPr>
      </w:pPr>
      <w:r>
        <w:rPr>
          <w:rFonts w:hint="eastAsia" w:eastAsia="方正仿宋_GBK"/>
          <w:color w:val="000000"/>
          <w:sz w:val="28"/>
        </w:rPr>
        <w:t xml:space="preserve">具体安排情况为： </w:t>
      </w:r>
    </w:p>
    <w:p>
      <w:pPr>
        <w:autoSpaceDE w:val="0"/>
        <w:autoSpaceDN w:val="0"/>
        <w:adjustRightInd w:val="0"/>
        <w:ind w:left="198" w:firstLine="560" w:firstLineChars="200"/>
        <w:rPr>
          <w:rFonts w:eastAsia="方正仿宋_GBK"/>
          <w:color w:val="000000"/>
          <w:sz w:val="28"/>
        </w:rPr>
      </w:pPr>
      <w:r>
        <w:rPr>
          <w:rFonts w:hint="eastAsia" w:eastAsia="方正仿宋_GBK"/>
          <w:color w:val="000000"/>
          <w:sz w:val="28"/>
        </w:rPr>
        <w:t>（一）公务用车购置及运行费。共计安排4万元，与上年持平。①公务用车购置安排0万元。与上年持平。②公车运行维护经费安排4万元，与上年持平。</w:t>
      </w:r>
    </w:p>
    <w:p>
      <w:pPr>
        <w:autoSpaceDE w:val="0"/>
        <w:autoSpaceDN w:val="0"/>
        <w:adjustRightInd w:val="0"/>
        <w:ind w:left="198" w:firstLine="560" w:firstLineChars="200"/>
        <w:rPr>
          <w:rFonts w:eastAsia="方正仿宋_GBK"/>
          <w:color w:val="000000"/>
          <w:sz w:val="28"/>
        </w:rPr>
      </w:pPr>
      <w:r>
        <w:rPr>
          <w:rFonts w:hint="eastAsia" w:eastAsia="方正仿宋_GBK"/>
          <w:color w:val="000000"/>
          <w:sz w:val="28"/>
        </w:rPr>
        <w:t>（二）公务接待费。安排0万元。与上年持平。</w:t>
      </w:r>
    </w:p>
    <w:p>
      <w:pPr>
        <w:autoSpaceDE w:val="0"/>
        <w:autoSpaceDN w:val="0"/>
        <w:adjustRightInd w:val="0"/>
        <w:ind w:left="198" w:firstLine="560" w:firstLineChars="200"/>
        <w:rPr>
          <w:rFonts w:eastAsia="方正仿宋_GBK"/>
          <w:color w:val="000000"/>
          <w:sz w:val="28"/>
        </w:rPr>
      </w:pPr>
      <w:r>
        <w:rPr>
          <w:rFonts w:hint="eastAsia" w:eastAsia="方正仿宋_GBK"/>
          <w:color w:val="000000"/>
          <w:sz w:val="28"/>
        </w:rPr>
        <w:t>（三）因公出国（境）费安排0万元，与上年持平。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在区委、区政府的坚强领导和上级有关部门的关心指导下，不断加强机关建设，大力推进“放管服”改革与持续优化营商环境工作，持续推动“一窗受理”“百事通”改革，加大文明城创建工作力度。</w:t>
      </w:r>
    </w:p>
    <w:p>
      <w:pPr>
        <w:pStyle w:val="21"/>
      </w:pPr>
    </w:p>
    <w:p>
      <w:pPr>
        <w:spacing w:line="500" w:lineRule="exact"/>
        <w:ind w:firstLine="560"/>
      </w:pPr>
      <w:r>
        <w:rPr>
          <w:rFonts w:eastAsia="方正仿宋_GBK"/>
          <w:color w:val="000000"/>
          <w:sz w:val="28"/>
        </w:rPr>
        <w:t>（二）分项绩效目标</w:t>
      </w:r>
    </w:p>
    <w:p>
      <w:pPr>
        <w:pStyle w:val="22"/>
      </w:pPr>
      <w:r>
        <w:t>（一）政务服务大厅和公共资源交易中心为群众提供便民  服务。</w:t>
      </w:r>
    </w:p>
    <w:p>
      <w:pPr>
        <w:pStyle w:val="22"/>
      </w:pPr>
      <w:r>
        <w:t>绩效目标：接入“互联网+政务服务”平台、公共资源交易中心网络平台、“冀时办”热点、《信用开平》网站平台、“云视频会议系统”平台。</w:t>
      </w:r>
    </w:p>
    <w:p>
      <w:pPr>
        <w:pStyle w:val="22"/>
      </w:pPr>
      <w:r>
        <w:t>绩效指标：优化审批服务流程。企业和群众办事可线上预约、线下办理，申请材料线上提交、线下调用，补齐补正线上增补、线下审验，办理结果线上查询、线下送达。</w:t>
      </w:r>
    </w:p>
    <w:p>
      <w:pPr>
        <w:pStyle w:val="22"/>
      </w:pPr>
      <w:r>
        <w:t>（二）区国有土地使用权招拍挂。</w:t>
      </w:r>
    </w:p>
    <w:p>
      <w:pPr>
        <w:pStyle w:val="22"/>
      </w:pPr>
      <w:r>
        <w:t>绩效目标：开平区公共资源交易中心按照区编办开机编字[2017]06号文件要求承接土地招牌挂出让交易环节业务。需要在《唐山劳动日报》发布土地出让公告，需支付公告费。</w:t>
      </w:r>
    </w:p>
    <w:p>
      <w:pPr>
        <w:pStyle w:val="22"/>
      </w:pPr>
      <w:r>
        <w:t>绩效指标：指定媒体发布公告，满足业务流程法定要求。保证国有土地招拍挂的透明度，受众广，可充分竞争。</w:t>
      </w:r>
    </w:p>
    <w:p>
      <w:pPr>
        <w:pStyle w:val="22"/>
      </w:pPr>
      <w:r>
        <w:t>（三）按照业务需求印制证照表格及宣传展板。</w:t>
      </w:r>
    </w:p>
    <w:p>
      <w:pPr>
        <w:pStyle w:val="22"/>
      </w:pPr>
      <w:r>
        <w:t>绩效目标：按照区委组织部印发的“开平区镇（街道）行政综合服务中心建设工作阶段性总结”的文件精神，行政审批局需对全区各镇街审批证照统一印刷，以保证证照质量、数量及减少费用支出。</w:t>
      </w:r>
    </w:p>
    <w:p>
      <w:pPr>
        <w:pStyle w:val="22"/>
      </w:pPr>
      <w:r>
        <w:t>绩效指标：按照区属镇街行政综合服务中心及我局各业务科室实际需求统一印制。确保各审批事项顺利有序开展。</w:t>
      </w:r>
    </w:p>
    <w:p>
      <w:pPr>
        <w:pStyle w:val="22"/>
      </w:pPr>
    </w:p>
    <w:p>
      <w:pPr>
        <w:spacing w:line="500" w:lineRule="exact"/>
        <w:ind w:firstLine="560"/>
      </w:pPr>
      <w:r>
        <w:rPr>
          <w:rFonts w:eastAsia="方正仿宋_GBK"/>
          <w:color w:val="000000"/>
          <w:sz w:val="28"/>
        </w:rPr>
        <w:t>（三）工作保障措施</w:t>
      </w:r>
    </w:p>
    <w:p>
      <w:pPr>
        <w:pStyle w:val="23"/>
      </w:pPr>
      <w:r>
        <w:t>一是全面加强机关建设。目前，开平区行政审批局下设市场服务、社会事务、涉农事务、投资项目、建设交通5个业务科室，办公室、政策法规科、管理监督科3个行政科室，综合服务中心、公共资源交易中心2个中心，全力推动区政府赋予的各项行政审批事项，着力打造全区最佳的窗口服务单位。</w:t>
      </w:r>
    </w:p>
    <w:p>
      <w:pPr>
        <w:pStyle w:val="23"/>
      </w:pPr>
      <w:r>
        <w:t>二是全面加强党的建设。充分发挥党支部战斗堡垒作用，不断加强党组建设，把党建优势转化为改革优势。落实党组工作制度，扎实推进“两学一做”“</w:t>
      </w:r>
      <w:bookmarkStart w:id="18" w:name="_GoBack"/>
      <w:r>
        <w:t>不忘初心</w:t>
      </w:r>
      <w:bookmarkEnd w:id="18"/>
      <w:r>
        <w:rPr>
          <w:rFonts w:hint="eastAsia"/>
          <w:lang w:eastAsia="zh-CN"/>
        </w:rPr>
        <w:t>、</w:t>
      </w:r>
      <w:r>
        <w:t>牢记使命”等专题活动，“三会一课”等学习教育常态化制度化，干部队伍的先进性、纯洁性得到较大提升。</w:t>
      </w:r>
    </w:p>
    <w:p>
      <w:pPr>
        <w:pStyle w:val="23"/>
      </w:pPr>
      <w:r>
        <w:t>三是全面优化营商环境。积极推进“放管服”改革，实行首问负责制、一次性告知制、限时办结制、责任追究等工作制度。疫情防控期间，落实行政审批“不打烊”，方便办事群众，得到社会各界欢迎。开展“审批人素质提升年”活动，工作人员综合素质得到较大提升。</w:t>
      </w:r>
    </w:p>
    <w:p>
      <w:pPr>
        <w:pStyle w:val="24"/>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pStyle w:val="24"/>
        <w:ind w:firstLine="560"/>
      </w:pPr>
      <w:r>
        <w:rPr>
          <w:rFonts w:ascii="方正仿宋_GBK" w:hAnsi="方正仿宋_GBK" w:eastAsia="方正仿宋_GBK" w:cs="方正仿宋_GBK"/>
          <w:b/>
          <w:color w:val="000000"/>
          <w:sz w:val="28"/>
        </w:rPr>
        <w:t>1、平台运维费用本级绩效目标表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1.建成一体化网上政务服务平台，全面公开政务服务事项，政务服务标准化、网络化水平显著提升。大幅提升政务服务智慧化水平，让政府服务更聪明，让企业和群众办事更方便、更快捷、更有效率。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审批业务受理率（%）</w:t>
            </w:r>
          </w:p>
        </w:tc>
        <w:tc>
          <w:tcPr>
            <w:tcW w:w="2835" w:type="dxa"/>
            <w:vAlign w:val="center"/>
          </w:tcPr>
          <w:p>
            <w:pPr>
              <w:pStyle w:val="26"/>
            </w:pPr>
            <w:r>
              <w:t>全年审批业务受理情况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审批业务办结率（%）</w:t>
            </w:r>
          </w:p>
        </w:tc>
        <w:tc>
          <w:tcPr>
            <w:tcW w:w="2835" w:type="dxa"/>
            <w:vAlign w:val="center"/>
          </w:tcPr>
          <w:p>
            <w:pPr>
              <w:pStyle w:val="26"/>
            </w:pPr>
            <w:r>
              <w:t>全年审批业务办结情况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办公自动化覆盖率（%）</w:t>
            </w:r>
          </w:p>
        </w:tc>
        <w:tc>
          <w:tcPr>
            <w:tcW w:w="2835" w:type="dxa"/>
            <w:vAlign w:val="center"/>
          </w:tcPr>
          <w:p>
            <w:pPr>
              <w:pStyle w:val="26"/>
            </w:pPr>
            <w:r>
              <w:t>办公自动化覆盖范围占应覆盖范围的比率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办公成本降低率（%）</w:t>
            </w:r>
          </w:p>
        </w:tc>
        <w:tc>
          <w:tcPr>
            <w:tcW w:w="2835" w:type="dxa"/>
            <w:vAlign w:val="center"/>
          </w:tcPr>
          <w:p>
            <w:pPr>
              <w:pStyle w:val="26"/>
            </w:pPr>
            <w:r>
              <w:t>全年办公成本降低情况</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业务保障能力提升情况（%）</w:t>
            </w:r>
          </w:p>
        </w:tc>
        <w:tc>
          <w:tcPr>
            <w:tcW w:w="2835" w:type="dxa"/>
            <w:vAlign w:val="center"/>
          </w:tcPr>
          <w:p>
            <w:pPr>
              <w:pStyle w:val="26"/>
            </w:pPr>
            <w:r>
              <w:t>项目实施后业务受理办结保障比率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公共服务水平提升情况（%）</w:t>
            </w:r>
          </w:p>
        </w:tc>
        <w:tc>
          <w:tcPr>
            <w:tcW w:w="2835" w:type="dxa"/>
            <w:vAlign w:val="center"/>
          </w:tcPr>
          <w:p>
            <w:pPr>
              <w:pStyle w:val="26"/>
            </w:pPr>
            <w:r>
              <w:t>项目实施后办事群众的满意度比率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用户使用满意度（%）</w:t>
            </w:r>
          </w:p>
        </w:tc>
        <w:tc>
          <w:tcPr>
            <w:tcW w:w="2835" w:type="dxa"/>
            <w:vAlign w:val="center"/>
          </w:tcPr>
          <w:p>
            <w:pPr>
              <w:pStyle w:val="26"/>
            </w:pPr>
            <w:r>
              <w:t>调查中用户反馈满意和较满意的数量占调查用户总数量的比率</w:t>
            </w:r>
          </w:p>
        </w:tc>
        <w:tc>
          <w:tcPr>
            <w:tcW w:w="2551" w:type="dxa"/>
            <w:vAlign w:val="center"/>
          </w:tcPr>
          <w:p>
            <w:pPr>
              <w:pStyle w:val="26"/>
            </w:pPr>
            <w:r>
              <w:t>≥95%</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2、政务服务大厅提升改造工程本级绩效目标表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成后，按照窗口管理模式，统一规范管理，实现服务标准化，彻底解决群众企业多头跑、往返跑的问题，提高了审批效率。推行智慧政务服务和“一窗受理”改革，建设“绿色、和谐、阳光”精神的“一窗式”服务之窗。打造一个科技、人文、绿色、特色、统一的一流政务服务大厅。</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审批业务受理率（%）</w:t>
            </w:r>
          </w:p>
        </w:tc>
        <w:tc>
          <w:tcPr>
            <w:tcW w:w="2835" w:type="dxa"/>
            <w:vAlign w:val="center"/>
          </w:tcPr>
          <w:p>
            <w:pPr>
              <w:pStyle w:val="26"/>
            </w:pPr>
            <w:r>
              <w:t>全年审批业务受理情况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审批业务办结率（%）</w:t>
            </w:r>
          </w:p>
        </w:tc>
        <w:tc>
          <w:tcPr>
            <w:tcW w:w="2835" w:type="dxa"/>
            <w:vAlign w:val="center"/>
          </w:tcPr>
          <w:p>
            <w:pPr>
              <w:pStyle w:val="26"/>
            </w:pPr>
            <w:r>
              <w:t>全年审批业务办结情况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办公自动化覆盖率（%）</w:t>
            </w:r>
          </w:p>
        </w:tc>
        <w:tc>
          <w:tcPr>
            <w:tcW w:w="2835" w:type="dxa"/>
            <w:vAlign w:val="center"/>
          </w:tcPr>
          <w:p>
            <w:pPr>
              <w:pStyle w:val="26"/>
            </w:pPr>
            <w:r>
              <w:t>办公自动化覆盖范围占应覆盖范围的比率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办公成本降低率（%）</w:t>
            </w:r>
          </w:p>
        </w:tc>
        <w:tc>
          <w:tcPr>
            <w:tcW w:w="2835" w:type="dxa"/>
            <w:vAlign w:val="center"/>
          </w:tcPr>
          <w:p>
            <w:pPr>
              <w:pStyle w:val="26"/>
            </w:pPr>
            <w:r>
              <w:t>全年办公成本降低情况</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业务保障能力提升情况（%）</w:t>
            </w:r>
          </w:p>
        </w:tc>
        <w:tc>
          <w:tcPr>
            <w:tcW w:w="2835" w:type="dxa"/>
            <w:vAlign w:val="center"/>
          </w:tcPr>
          <w:p>
            <w:pPr>
              <w:pStyle w:val="26"/>
            </w:pPr>
            <w:r>
              <w:t>项目实施后业务受理办结保障比率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公共服务水平提升情况（%）</w:t>
            </w:r>
          </w:p>
        </w:tc>
        <w:tc>
          <w:tcPr>
            <w:tcW w:w="2835" w:type="dxa"/>
            <w:vAlign w:val="center"/>
          </w:tcPr>
          <w:p>
            <w:pPr>
              <w:pStyle w:val="26"/>
            </w:pPr>
            <w:r>
              <w:t>项目实施后办事群众的满意度比率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用户使用满意度（%）</w:t>
            </w:r>
          </w:p>
        </w:tc>
        <w:tc>
          <w:tcPr>
            <w:tcW w:w="2835" w:type="dxa"/>
            <w:vAlign w:val="center"/>
          </w:tcPr>
          <w:p>
            <w:pPr>
              <w:pStyle w:val="26"/>
            </w:pPr>
            <w:r>
              <w:t>调查中用户反馈满意和较满意的数量占调查用户总数量的比率</w:t>
            </w:r>
          </w:p>
        </w:tc>
        <w:tc>
          <w:tcPr>
            <w:tcW w:w="2551" w:type="dxa"/>
            <w:vAlign w:val="center"/>
          </w:tcPr>
          <w:p>
            <w:pPr>
              <w:pStyle w:val="26"/>
            </w:pPr>
            <w:r>
              <w:t>≥95%</w:t>
            </w:r>
          </w:p>
        </w:tc>
        <w:tc>
          <w:tcPr>
            <w:tcW w:w="2268" w:type="dxa"/>
            <w:vAlign w:val="center"/>
          </w:tcPr>
          <w:p>
            <w:pPr>
              <w:pStyle w:val="26"/>
            </w:pPr>
          </w:p>
        </w:tc>
      </w:tr>
    </w:tbl>
    <w:p>
      <w:pPr>
        <w:pStyle w:val="24"/>
      </w:pPr>
    </w:p>
    <w:p>
      <w:pPr>
        <w:pStyle w:val="24"/>
        <w:ind w:firstLine="560"/>
      </w:pPr>
      <w:r>
        <w:rPr>
          <w:rFonts w:ascii="方正仿宋_GBK" w:hAnsi="方正仿宋_GBK" w:eastAsia="方正仿宋_GBK" w:cs="方正仿宋_GBK"/>
          <w:b/>
          <w:color w:val="000000"/>
          <w:sz w:val="28"/>
        </w:rPr>
        <w:t>3、行政审批综合管理事务本级绩效目标表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1.完成政务服务活动，国有土地招拍挂全流程在法律规定范围内公平、公正、公开、诚信，推动了我区公共资源交易活动的发展，更方便、快捷、有效率。</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审批业务受理率（%）</w:t>
            </w:r>
          </w:p>
        </w:tc>
        <w:tc>
          <w:tcPr>
            <w:tcW w:w="2835" w:type="dxa"/>
            <w:vAlign w:val="center"/>
          </w:tcPr>
          <w:p>
            <w:pPr>
              <w:pStyle w:val="26"/>
            </w:pPr>
            <w:r>
              <w:t>全年审批业务受理情况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审批业务办结率（%）</w:t>
            </w:r>
          </w:p>
        </w:tc>
        <w:tc>
          <w:tcPr>
            <w:tcW w:w="2835" w:type="dxa"/>
            <w:vAlign w:val="center"/>
          </w:tcPr>
          <w:p>
            <w:pPr>
              <w:pStyle w:val="26"/>
            </w:pPr>
            <w:r>
              <w:t>全年审批业务办结情况</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办公自动化覆盖率（%）</w:t>
            </w:r>
          </w:p>
        </w:tc>
        <w:tc>
          <w:tcPr>
            <w:tcW w:w="2835" w:type="dxa"/>
            <w:vAlign w:val="center"/>
          </w:tcPr>
          <w:p>
            <w:pPr>
              <w:pStyle w:val="26"/>
            </w:pPr>
            <w:r>
              <w:t>办公自动化覆盖范围占应覆盖范围的比率</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办公成本降低率（%）</w:t>
            </w:r>
          </w:p>
        </w:tc>
        <w:tc>
          <w:tcPr>
            <w:tcW w:w="2835" w:type="dxa"/>
            <w:vAlign w:val="center"/>
          </w:tcPr>
          <w:p>
            <w:pPr>
              <w:pStyle w:val="26"/>
            </w:pPr>
            <w:r>
              <w:t>全年办公成本降低情况</w:t>
            </w:r>
          </w:p>
        </w:tc>
        <w:tc>
          <w:tcPr>
            <w:tcW w:w="2551" w:type="dxa"/>
            <w:vAlign w:val="center"/>
          </w:tcPr>
          <w:p>
            <w:pPr>
              <w:pStyle w:val="26"/>
            </w:pPr>
            <w:r>
              <w:t>≥90%</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业务保障能力提升情况（%）</w:t>
            </w:r>
          </w:p>
        </w:tc>
        <w:tc>
          <w:tcPr>
            <w:tcW w:w="2835" w:type="dxa"/>
            <w:vAlign w:val="center"/>
          </w:tcPr>
          <w:p>
            <w:pPr>
              <w:pStyle w:val="26"/>
            </w:pPr>
            <w:r>
              <w:t>项目实施后业务受理办结保障比率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公共服务水平提升情况（%）</w:t>
            </w:r>
          </w:p>
        </w:tc>
        <w:tc>
          <w:tcPr>
            <w:tcW w:w="2835" w:type="dxa"/>
            <w:vAlign w:val="center"/>
          </w:tcPr>
          <w:p>
            <w:pPr>
              <w:pStyle w:val="26"/>
            </w:pPr>
            <w:r>
              <w:t>项目实施后办事群众的满意度比率</w:t>
            </w:r>
          </w:p>
        </w:tc>
        <w:tc>
          <w:tcPr>
            <w:tcW w:w="2551" w:type="dxa"/>
            <w:vAlign w:val="center"/>
          </w:tcPr>
          <w:p>
            <w:pPr>
              <w:pStyle w:val="26"/>
            </w:pPr>
            <w:r>
              <w:t>≥95%</w:t>
            </w:r>
          </w:p>
        </w:tc>
        <w:tc>
          <w:tcPr>
            <w:tcW w:w="2268"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用户使用满意度（%）</w:t>
            </w:r>
          </w:p>
        </w:tc>
        <w:tc>
          <w:tcPr>
            <w:tcW w:w="2835" w:type="dxa"/>
            <w:vAlign w:val="center"/>
          </w:tcPr>
          <w:p>
            <w:pPr>
              <w:pStyle w:val="26"/>
            </w:pPr>
            <w:r>
              <w:t>调查中用户反馈满意和较满意的数量占调查用户总数量的比率</w:t>
            </w:r>
          </w:p>
        </w:tc>
        <w:tc>
          <w:tcPr>
            <w:tcW w:w="2551" w:type="dxa"/>
            <w:vAlign w:val="center"/>
          </w:tcPr>
          <w:p>
            <w:pPr>
              <w:pStyle w:val="26"/>
            </w:pPr>
            <w:r>
              <w:t>≥95%</w:t>
            </w:r>
          </w:p>
        </w:tc>
        <w:tc>
          <w:tcPr>
            <w:tcW w:w="2268" w:type="dxa"/>
            <w:vAlign w:val="center"/>
          </w:tcPr>
          <w:p>
            <w:pPr>
              <w:pStyle w:val="26"/>
            </w:pP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2022年，唐山市开平区行政审批局安排政府采购预算301.56万元。具体内容见下表。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439唐山市开平区行政审批局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301.56</w:t>
            </w:r>
          </w:p>
        </w:tc>
        <w:tc>
          <w:tcPr>
            <w:tcW w:w="964" w:type="dxa"/>
            <w:vAlign w:val="center"/>
          </w:tcPr>
          <w:p>
            <w:pPr>
              <w:pStyle w:val="15"/>
            </w:pPr>
            <w:r>
              <w:t>301.56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唐山市开平区行政审批局本级小计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301.56</w:t>
            </w:r>
          </w:p>
        </w:tc>
        <w:tc>
          <w:tcPr>
            <w:tcW w:w="964" w:type="dxa"/>
            <w:vAlign w:val="center"/>
          </w:tcPr>
          <w:p>
            <w:pPr>
              <w:pStyle w:val="15"/>
            </w:pPr>
            <w:r>
              <w:t>301.56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52.74</w:t>
            </w:r>
          </w:p>
        </w:tc>
        <w:tc>
          <w:tcPr>
            <w:tcW w:w="1134" w:type="dxa"/>
            <w:vAlign w:val="center"/>
          </w:tcPr>
          <w:p>
            <w:pPr>
              <w:pStyle w:val="12"/>
            </w:pPr>
            <w:r>
              <w:t>便携式计算机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52.74</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52.74</w:t>
            </w:r>
          </w:p>
        </w:tc>
        <w:tc>
          <w:tcPr>
            <w:tcW w:w="1134" w:type="dxa"/>
            <w:vAlign w:val="center"/>
          </w:tcPr>
          <w:p>
            <w:pPr>
              <w:pStyle w:val="12"/>
            </w:pPr>
            <w:r>
              <w:t>金属质柜类</w:t>
            </w:r>
          </w:p>
        </w:tc>
        <w:tc>
          <w:tcPr>
            <w:tcW w:w="1134" w:type="dxa"/>
            <w:vAlign w:val="center"/>
          </w:tcPr>
          <w:p>
            <w:pPr>
              <w:pStyle w:val="12"/>
            </w:pPr>
            <w:r>
              <w:t>A060503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政务服务大厅提升改造工程本级</w:t>
            </w:r>
          </w:p>
        </w:tc>
        <w:tc>
          <w:tcPr>
            <w:tcW w:w="964" w:type="dxa"/>
            <w:vAlign w:val="center"/>
          </w:tcPr>
          <w:p>
            <w:pPr>
              <w:pStyle w:val="11"/>
            </w:pPr>
            <w:r>
              <w:t>300.00</w:t>
            </w:r>
          </w:p>
        </w:tc>
        <w:tc>
          <w:tcPr>
            <w:tcW w:w="1134" w:type="dxa"/>
            <w:vAlign w:val="center"/>
          </w:tcPr>
          <w:p>
            <w:pPr>
              <w:pStyle w:val="12"/>
            </w:pPr>
            <w:r>
              <w:t>其他建筑物、构筑物修缮</w:t>
            </w:r>
          </w:p>
        </w:tc>
        <w:tc>
          <w:tcPr>
            <w:tcW w:w="1134" w:type="dxa"/>
            <w:vAlign w:val="center"/>
          </w:tcPr>
          <w:p>
            <w:pPr>
              <w:pStyle w:val="12"/>
            </w:pPr>
            <w:r>
              <w:t>B0899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唐山市开平区行政审批局（含所属单位）上年末固定资产金额为</w:t>
      </w:r>
      <w:r>
        <w:rPr>
          <w:rFonts w:hint="eastAsia" w:eastAsia="方正仿宋_GBK"/>
          <w:color w:val="000000"/>
          <w:sz w:val="28"/>
          <w:lang w:eastAsia="zh-CN"/>
        </w:rPr>
        <w:t>541.35</w:t>
      </w:r>
      <w:r>
        <w:rPr>
          <w:rFonts w:eastAsia="方正仿宋_GBK"/>
          <w:color w:val="000000"/>
          <w:sz w:val="28"/>
        </w:rPr>
        <w:t>万元（详见下表）。本年度拟购置固定资产总额为</w:t>
      </w:r>
      <w:r>
        <w:rPr>
          <w:rFonts w:hint="eastAsia" w:eastAsia="方正仿宋_GBK"/>
          <w:color w:val="000000"/>
          <w:sz w:val="28"/>
          <w:lang w:eastAsia="zh-CN"/>
        </w:rPr>
        <w:t>301.56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439唐山市开平区行政审批局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rPr>
                <w:rFonts w:ascii="宋体" w:hAnsi="宋体" w:cs="宋体" w:eastAsiaTheme="minorEastAsia"/>
                <w:szCs w:val="21"/>
                <w:lang w:eastAsia="zh-CN"/>
              </w:rPr>
            </w:pPr>
            <w:r>
              <w:rPr>
                <w:rFonts w:hint="eastAsia" w:ascii="宋体" w:hAnsi="宋体" w:cs="宋体" w:eastAsiaTheme="minorEastAsia"/>
                <w:szCs w:val="21"/>
                <w:lang w:eastAsia="zh-CN"/>
              </w:rPr>
              <w:t>541.35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149.14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27.61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364.6</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Y5NzM3MWNhYjllZTMwYzU3YzgxOTBhNDRhMTBiMDEifQ=="/>
  </w:docVars>
  <w:rsids>
    <w:rsidRoot w:val="002900AC"/>
    <w:rsid w:val="00045034"/>
    <w:rsid w:val="000C18D1"/>
    <w:rsid w:val="00103E7F"/>
    <w:rsid w:val="001517AF"/>
    <w:rsid w:val="00161BEC"/>
    <w:rsid w:val="001877C5"/>
    <w:rsid w:val="002900AC"/>
    <w:rsid w:val="00294DF4"/>
    <w:rsid w:val="002F5FAC"/>
    <w:rsid w:val="00390D62"/>
    <w:rsid w:val="004640A4"/>
    <w:rsid w:val="004D265F"/>
    <w:rsid w:val="005458BA"/>
    <w:rsid w:val="00643B95"/>
    <w:rsid w:val="00666B36"/>
    <w:rsid w:val="00744A15"/>
    <w:rsid w:val="007A1AA0"/>
    <w:rsid w:val="008D6906"/>
    <w:rsid w:val="00956674"/>
    <w:rsid w:val="009C3488"/>
    <w:rsid w:val="009D1238"/>
    <w:rsid w:val="009F3E7E"/>
    <w:rsid w:val="00A42EF8"/>
    <w:rsid w:val="00B4297D"/>
    <w:rsid w:val="00B56E75"/>
    <w:rsid w:val="00DC00B7"/>
    <w:rsid w:val="00ED6A86"/>
    <w:rsid w:val="00F60422"/>
    <w:rsid w:val="00FE6F25"/>
    <w:rsid w:val="07336117"/>
    <w:rsid w:val="30450A8C"/>
    <w:rsid w:val="36375384"/>
    <w:rsid w:val="414C53FF"/>
    <w:rsid w:val="768E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67911ade-df40-468b-9db8-be83f9252908"/>
    <w:qFormat/>
    <w:uiPriority w:val="0"/>
    <w:rPr>
      <w:rFonts w:ascii="Times New Roman" w:hAnsi="Times New Roman" w:eastAsia="Times New Roman" w:cs="Times New Roman"/>
      <w:sz w:val="24"/>
      <w:szCs w:val="24"/>
      <w:lang w:val="en-US" w:eastAsia="uk-UA" w:bidi="ar-SA"/>
    </w:rPr>
  </w:style>
  <w:style w:type="paragraph" w:customStyle="1" w:styleId="25">
    <w:name w:val="单元格样式1_00469448-1a31-44e2-a9ca-aecfe4cd5c31"/>
    <w:basedOn w:val="1"/>
    <w:qFormat/>
    <w:uiPriority w:val="0"/>
    <w:pPr>
      <w:jc w:val="center"/>
    </w:pPr>
    <w:rPr>
      <w:rFonts w:ascii="方正书宋_GBK" w:hAnsi="方正书宋_GBK" w:eastAsia="方正书宋_GBK" w:cs="方正书宋_GBK"/>
      <w:b/>
      <w:sz w:val="21"/>
    </w:rPr>
  </w:style>
  <w:style w:type="paragraph" w:customStyle="1" w:styleId="26">
    <w:name w:val="单元格样式2_002fe1b1-215b-4a4c-85aa-f292ec075356"/>
    <w:basedOn w:val="1"/>
    <w:qFormat/>
    <w:uiPriority w:val="0"/>
    <w:rPr>
      <w:rFonts w:ascii="方正书宋_GBK" w:hAnsi="方正书宋_GBK" w:eastAsia="方正书宋_GBK" w:cs="方正书宋_GBK"/>
      <w:sz w:val="21"/>
    </w:rPr>
  </w:style>
  <w:style w:type="paragraph" w:customStyle="1" w:styleId="27">
    <w:name w:val="单元格样式3_ba74030b-4f2c-4b04-85a1-cae9077265bf"/>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2022-02-16T13:50:27Z</dcterms:created>
  <dcterms:modified xsi:type="dcterms:W3CDTF">2022-02-16T05:50:27Z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2022-02-16T13:50:30Z</dcterms:created>
  <dcterms:modified xsi:type="dcterms:W3CDTF">2022-02-16T05:50:30Z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2022-02-16T13:50:17Z</dcterms:created>
  <dcterms:modified xsi:type="dcterms:W3CDTF">2022-02-16T05:50:17Z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2022-02-16T13:50:23Z</dcterms:created>
  <dcterms:modified xsi:type="dcterms:W3CDTF">2022-02-16T05:50:23Z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E90728-C329-486A-9FF2-81378B3FF1FD}">
  <ds:schemaRefs/>
</ds:datastoreItem>
</file>

<file path=customXml/itemProps2.xml><?xml version="1.0" encoding="utf-8"?>
<ds:datastoreItem xmlns:ds="http://schemas.openxmlformats.org/officeDocument/2006/customXml" ds:itemID="{0F9B77DB-F040-4DDD-8417-114E0A316144}">
  <ds:schemaRefs/>
</ds:datastoreItem>
</file>

<file path=customXml/itemProps3.xml><?xml version="1.0" encoding="utf-8"?>
<ds:datastoreItem xmlns:ds="http://schemas.openxmlformats.org/officeDocument/2006/customXml" ds:itemID="{4A427A52-6C95-4E14-8E27-0B820A6AD9BF}">
  <ds:schemaRefs/>
</ds:datastoreItem>
</file>

<file path=customXml/itemProps4.xml><?xml version="1.0" encoding="utf-8"?>
<ds:datastoreItem xmlns:ds="http://schemas.openxmlformats.org/officeDocument/2006/customXml" ds:itemID="{9726F243-8532-4FE9-91C1-1BF2A0BAD49E}">
  <ds:schemaRefs/>
</ds:datastoreItem>
</file>

<file path=customXml/itemProps5.xml><?xml version="1.0" encoding="utf-8"?>
<ds:datastoreItem xmlns:ds="http://schemas.openxmlformats.org/officeDocument/2006/customXml" ds:itemID="{F19FDE8A-AFA5-4C56-9D83-604DAF268586}">
  <ds:schemaRefs/>
</ds:datastoreItem>
</file>

<file path=customXml/itemProps6.xml><?xml version="1.0" encoding="utf-8"?>
<ds:datastoreItem xmlns:ds="http://schemas.openxmlformats.org/officeDocument/2006/customXml" ds:itemID="{5B95552E-7B23-4983-95A3-986BA065DF65}">
  <ds:schemaRefs/>
</ds:datastoreItem>
</file>

<file path=customXml/itemProps7.xml><?xml version="1.0" encoding="utf-8"?>
<ds:datastoreItem xmlns:ds="http://schemas.openxmlformats.org/officeDocument/2006/customXml" ds:itemID="{C919110B-2289-483B-AC80-766BAA265208}">
  <ds:schemaRefs/>
</ds:datastoreItem>
</file>

<file path=customXml/itemProps8.xml><?xml version="1.0" encoding="utf-8"?>
<ds:datastoreItem xmlns:ds="http://schemas.openxmlformats.org/officeDocument/2006/customXml" ds:itemID="{564524B3-3882-4215-BFD5-54888FAFC3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14078</Words>
  <Characters>16955</Characters>
  <Lines>159</Lines>
  <Paragraphs>44</Paragraphs>
  <TotalTime>1</TotalTime>
  <ScaleCrop>false</ScaleCrop>
  <LinksUpToDate>false</LinksUpToDate>
  <CharactersWithSpaces>17310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2022-02-16T13:50:00Z</dcterms:created>
  <dc:creator>lenovo</dc:creator>
  <cp:lastModifiedBy>lenovo</cp:lastModifiedBy>
  <dcterms:modified xsi:type="dcterms:W3CDTF">2024-10-09T02:49:34Z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239B4D34AF6C4777A325156D6FF1B6C0_12</vt:lpwstr>
  </property>
</Properties>
</file>