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rPr>
          <w:rFonts w:hint="eastAsia"/>
          <w:lang w:eastAsia="zh-CN"/>
        </w:rPr>
        <w:t>部门</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rPr>
          <w:rFonts w:hint="eastAsia"/>
          <w:lang w:eastAsia="zh-CN"/>
        </w:rPr>
        <w:t>部门</w:t>
      </w:r>
      <w:r>
        <w:t>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w:t>
      </w:r>
      <w:r>
        <w:rPr>
          <w:rFonts w:hint="eastAsia"/>
          <w:lang w:eastAsia="zh-CN"/>
        </w:rPr>
        <w:t>部门</w:t>
      </w:r>
      <w:r>
        <w:t>整体绩效目标</w:t>
      </w:r>
      <w:r>
        <w:tab/>
      </w:r>
      <w:r>
        <w:fldChar w:fldCharType="begin"/>
      </w:r>
      <w:r>
        <w:instrText xml:space="preserve">PAGEREF _Toc_3_3_0000000014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w:t>
      </w:r>
      <w:r>
        <w:rPr>
          <w:rFonts w:hint="eastAsia"/>
          <w:lang w:eastAsia="zh-CN"/>
        </w:rPr>
        <w:t>部门</w:t>
      </w:r>
      <w:r>
        <w:t>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w:t>
      </w:r>
      <w:r>
        <w:rPr>
          <w:rFonts w:hint="eastAsia"/>
          <w:lang w:eastAsia="zh-CN"/>
        </w:rPr>
        <w:t>部门</w:t>
      </w:r>
      <w:r>
        <w:t>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426唐山市开平区应急管理局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1581.93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w:t>
            </w:r>
            <w:r>
              <w:rPr>
                <w:rFonts w:hint="eastAsia"/>
                <w:lang w:eastAsia="zh-CN"/>
              </w:rPr>
              <w:t>部门</w:t>
            </w:r>
            <w:r>
              <w:t>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1410.52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1581.93</w:t>
            </w:r>
          </w:p>
        </w:tc>
        <w:tc>
          <w:tcPr>
            <w:tcW w:w="4535" w:type="dxa"/>
            <w:vAlign w:val="center"/>
          </w:tcPr>
          <w:p>
            <w:pPr>
              <w:pStyle w:val="14"/>
            </w:pPr>
            <w:r>
              <w:t>本年支出合计</w:t>
            </w:r>
          </w:p>
        </w:tc>
        <w:tc>
          <w:tcPr>
            <w:tcW w:w="2126" w:type="dxa"/>
            <w:vAlign w:val="center"/>
          </w:tcPr>
          <w:p>
            <w:pPr>
              <w:pStyle w:val="15"/>
            </w:pPr>
            <w:r>
              <w:t>1581.93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1581.93</w:t>
            </w:r>
          </w:p>
        </w:tc>
        <w:tc>
          <w:tcPr>
            <w:tcW w:w="4535" w:type="dxa"/>
            <w:vAlign w:val="center"/>
          </w:tcPr>
          <w:p>
            <w:pPr>
              <w:pStyle w:val="14"/>
            </w:pPr>
            <w:r>
              <w:t>支出总计</w:t>
            </w:r>
          </w:p>
        </w:tc>
        <w:tc>
          <w:tcPr>
            <w:tcW w:w="2126" w:type="dxa"/>
            <w:vAlign w:val="center"/>
          </w:tcPr>
          <w:p>
            <w:pPr>
              <w:pStyle w:val="15"/>
            </w:pPr>
            <w:r>
              <w:t>1581.93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426唐山市开平区应急管理局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w:t>
            </w:r>
            <w:r>
              <w:rPr>
                <w:rFonts w:hint="eastAsia"/>
                <w:lang w:eastAsia="zh-CN"/>
              </w:rPr>
              <w:t>部门</w:t>
            </w:r>
            <w:r>
              <w:t>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1581.93</w:t>
            </w:r>
          </w:p>
        </w:tc>
        <w:tc>
          <w:tcPr>
            <w:tcW w:w="1134" w:type="dxa"/>
            <w:vAlign w:val="center"/>
          </w:tcPr>
          <w:p>
            <w:pPr>
              <w:pStyle w:val="15"/>
            </w:pPr>
            <w:r>
              <w:t>1581.93</w:t>
            </w:r>
          </w:p>
        </w:tc>
        <w:tc>
          <w:tcPr>
            <w:tcW w:w="1134" w:type="dxa"/>
            <w:vAlign w:val="center"/>
          </w:tcPr>
          <w:p>
            <w:pPr>
              <w:pStyle w:val="15"/>
            </w:pPr>
            <w:r>
              <w:t>1581.93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w:t>
            </w:r>
            <w:r>
              <w:rPr>
                <w:rFonts w:hint="eastAsia"/>
                <w:lang w:eastAsia="zh-CN"/>
              </w:rPr>
              <w:t>部门</w:t>
            </w:r>
            <w:r>
              <w:t>养老支出</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w:t>
            </w:r>
            <w:r>
              <w:rPr>
                <w:rFonts w:hint="eastAsia"/>
                <w:lang w:eastAsia="zh-CN"/>
              </w:rPr>
              <w:t>部门</w:t>
            </w:r>
            <w:r>
              <w:t>离退休</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w:t>
            </w:r>
            <w:r>
              <w:rPr>
                <w:rFonts w:hint="eastAsia"/>
                <w:lang w:eastAsia="zh-CN"/>
              </w:rPr>
              <w:t>部门</w:t>
            </w:r>
            <w:r>
              <w:t>医疗</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w:t>
            </w:r>
            <w:r>
              <w:rPr>
                <w:rFonts w:hint="eastAsia"/>
                <w:lang w:eastAsia="zh-CN"/>
              </w:rPr>
              <w:t>部门</w:t>
            </w:r>
            <w:r>
              <w:t>医疗</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1581.93</w:t>
            </w:r>
          </w:p>
        </w:tc>
        <w:tc>
          <w:tcPr>
            <w:tcW w:w="1361" w:type="dxa"/>
            <w:vAlign w:val="center"/>
          </w:tcPr>
          <w:p>
            <w:pPr>
              <w:pStyle w:val="15"/>
            </w:pPr>
            <w:r>
              <w:t>906.14</w:t>
            </w:r>
          </w:p>
        </w:tc>
        <w:tc>
          <w:tcPr>
            <w:tcW w:w="1361" w:type="dxa"/>
            <w:vAlign w:val="center"/>
          </w:tcPr>
          <w:p>
            <w:pPr>
              <w:pStyle w:val="15"/>
            </w:pPr>
            <w:r>
              <w:t>675.79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43.70</w:t>
            </w:r>
          </w:p>
        </w:tc>
        <w:tc>
          <w:tcPr>
            <w:tcW w:w="1361" w:type="dxa"/>
            <w:vAlign w:val="center"/>
          </w:tcPr>
          <w:p>
            <w:pPr>
              <w:pStyle w:val="11"/>
            </w:pPr>
            <w:r>
              <w:t>43.70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w:t>
            </w:r>
            <w:r>
              <w:rPr>
                <w:rFonts w:hint="eastAsia"/>
                <w:lang w:eastAsia="zh-CN"/>
              </w:rPr>
              <w:t>部门</w:t>
            </w:r>
            <w:r>
              <w:t>养老支出</w:t>
            </w:r>
          </w:p>
        </w:tc>
        <w:tc>
          <w:tcPr>
            <w:tcW w:w="1361" w:type="dxa"/>
            <w:vAlign w:val="center"/>
          </w:tcPr>
          <w:p>
            <w:pPr>
              <w:pStyle w:val="11"/>
            </w:pPr>
            <w:r>
              <w:t>43.70</w:t>
            </w:r>
          </w:p>
        </w:tc>
        <w:tc>
          <w:tcPr>
            <w:tcW w:w="1361" w:type="dxa"/>
            <w:vAlign w:val="center"/>
          </w:tcPr>
          <w:p>
            <w:pPr>
              <w:pStyle w:val="11"/>
            </w:pPr>
            <w:r>
              <w:t>43.70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w:t>
            </w:r>
            <w:r>
              <w:rPr>
                <w:rFonts w:hint="eastAsia"/>
                <w:lang w:eastAsia="zh-CN"/>
              </w:rPr>
              <w:t>部门</w:t>
            </w:r>
            <w:r>
              <w:t>离退休</w:t>
            </w:r>
          </w:p>
        </w:tc>
        <w:tc>
          <w:tcPr>
            <w:tcW w:w="1361" w:type="dxa"/>
            <w:vAlign w:val="center"/>
          </w:tcPr>
          <w:p>
            <w:pPr>
              <w:pStyle w:val="11"/>
            </w:pPr>
            <w:r>
              <w:t>43.70</w:t>
            </w:r>
          </w:p>
        </w:tc>
        <w:tc>
          <w:tcPr>
            <w:tcW w:w="1361" w:type="dxa"/>
            <w:vAlign w:val="center"/>
          </w:tcPr>
          <w:p>
            <w:pPr>
              <w:pStyle w:val="11"/>
            </w:pPr>
            <w:r>
              <w:t>43.70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77.53</w:t>
            </w:r>
          </w:p>
        </w:tc>
        <w:tc>
          <w:tcPr>
            <w:tcW w:w="1361" w:type="dxa"/>
            <w:vAlign w:val="center"/>
          </w:tcPr>
          <w:p>
            <w:pPr>
              <w:pStyle w:val="11"/>
            </w:pPr>
            <w:r>
              <w:t>77.53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w:t>
            </w:r>
            <w:r>
              <w:rPr>
                <w:rFonts w:hint="eastAsia"/>
                <w:lang w:eastAsia="zh-CN"/>
              </w:rPr>
              <w:t>部门</w:t>
            </w:r>
            <w:r>
              <w:t>医疗</w:t>
            </w:r>
          </w:p>
        </w:tc>
        <w:tc>
          <w:tcPr>
            <w:tcW w:w="1361" w:type="dxa"/>
            <w:vAlign w:val="center"/>
          </w:tcPr>
          <w:p>
            <w:pPr>
              <w:pStyle w:val="11"/>
            </w:pPr>
            <w:r>
              <w:t>77.53</w:t>
            </w:r>
          </w:p>
        </w:tc>
        <w:tc>
          <w:tcPr>
            <w:tcW w:w="1361" w:type="dxa"/>
            <w:vAlign w:val="center"/>
          </w:tcPr>
          <w:p>
            <w:pPr>
              <w:pStyle w:val="11"/>
            </w:pPr>
            <w:r>
              <w:t>77.53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w:t>
            </w:r>
            <w:r>
              <w:rPr>
                <w:rFonts w:hint="eastAsia"/>
                <w:lang w:eastAsia="zh-CN"/>
              </w:rPr>
              <w:t>部门</w:t>
            </w:r>
            <w:r>
              <w:t>医疗</w:t>
            </w:r>
          </w:p>
        </w:tc>
        <w:tc>
          <w:tcPr>
            <w:tcW w:w="1361" w:type="dxa"/>
            <w:vAlign w:val="center"/>
          </w:tcPr>
          <w:p>
            <w:pPr>
              <w:pStyle w:val="11"/>
            </w:pPr>
            <w:r>
              <w:t>77.53</w:t>
            </w:r>
          </w:p>
        </w:tc>
        <w:tc>
          <w:tcPr>
            <w:tcW w:w="1361" w:type="dxa"/>
            <w:vAlign w:val="center"/>
          </w:tcPr>
          <w:p>
            <w:pPr>
              <w:pStyle w:val="11"/>
            </w:pPr>
            <w:r>
              <w:t>77.53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50.18</w:t>
            </w:r>
          </w:p>
        </w:tc>
        <w:tc>
          <w:tcPr>
            <w:tcW w:w="1361" w:type="dxa"/>
            <w:vAlign w:val="center"/>
          </w:tcPr>
          <w:p>
            <w:pPr>
              <w:pStyle w:val="11"/>
            </w:pPr>
            <w:r>
              <w:t>50.18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50.18</w:t>
            </w:r>
          </w:p>
        </w:tc>
        <w:tc>
          <w:tcPr>
            <w:tcW w:w="1361" w:type="dxa"/>
            <w:vAlign w:val="center"/>
          </w:tcPr>
          <w:p>
            <w:pPr>
              <w:pStyle w:val="11"/>
            </w:pPr>
            <w:r>
              <w:t>50.18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50.18</w:t>
            </w:r>
          </w:p>
        </w:tc>
        <w:tc>
          <w:tcPr>
            <w:tcW w:w="1361" w:type="dxa"/>
            <w:vAlign w:val="center"/>
          </w:tcPr>
          <w:p>
            <w:pPr>
              <w:pStyle w:val="11"/>
            </w:pPr>
            <w:r>
              <w:t>50.18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1410.52</w:t>
            </w:r>
          </w:p>
        </w:tc>
        <w:tc>
          <w:tcPr>
            <w:tcW w:w="1361" w:type="dxa"/>
            <w:vAlign w:val="center"/>
          </w:tcPr>
          <w:p>
            <w:pPr>
              <w:pStyle w:val="11"/>
            </w:pPr>
            <w:r>
              <w:t>734.72</w:t>
            </w:r>
          </w:p>
        </w:tc>
        <w:tc>
          <w:tcPr>
            <w:tcW w:w="1361" w:type="dxa"/>
            <w:vAlign w:val="center"/>
          </w:tcPr>
          <w:p>
            <w:pPr>
              <w:pStyle w:val="11"/>
            </w:pPr>
            <w:r>
              <w:t>675.79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1410.52</w:t>
            </w:r>
          </w:p>
        </w:tc>
        <w:tc>
          <w:tcPr>
            <w:tcW w:w="1361" w:type="dxa"/>
            <w:vAlign w:val="center"/>
          </w:tcPr>
          <w:p>
            <w:pPr>
              <w:pStyle w:val="11"/>
            </w:pPr>
            <w:r>
              <w:t>734.72</w:t>
            </w:r>
          </w:p>
        </w:tc>
        <w:tc>
          <w:tcPr>
            <w:tcW w:w="1361" w:type="dxa"/>
            <w:vAlign w:val="center"/>
          </w:tcPr>
          <w:p>
            <w:pPr>
              <w:pStyle w:val="11"/>
            </w:pPr>
            <w:r>
              <w:t>675.79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1410.52</w:t>
            </w:r>
          </w:p>
        </w:tc>
        <w:tc>
          <w:tcPr>
            <w:tcW w:w="1361" w:type="dxa"/>
            <w:vAlign w:val="center"/>
          </w:tcPr>
          <w:p>
            <w:pPr>
              <w:pStyle w:val="11"/>
            </w:pPr>
            <w:r>
              <w:t>734.72</w:t>
            </w:r>
          </w:p>
        </w:tc>
        <w:tc>
          <w:tcPr>
            <w:tcW w:w="1361" w:type="dxa"/>
            <w:vAlign w:val="center"/>
          </w:tcPr>
          <w:p>
            <w:pPr>
              <w:pStyle w:val="11"/>
            </w:pPr>
            <w:r>
              <w:t>675.79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1581.93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43.70</w:t>
            </w:r>
          </w:p>
        </w:tc>
        <w:tc>
          <w:tcPr>
            <w:tcW w:w="1474" w:type="dxa"/>
            <w:vAlign w:val="center"/>
          </w:tcPr>
          <w:p>
            <w:pPr>
              <w:pStyle w:val="11"/>
            </w:pPr>
            <w:r>
              <w:t>43.70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77.53</w:t>
            </w:r>
          </w:p>
        </w:tc>
        <w:tc>
          <w:tcPr>
            <w:tcW w:w="1474" w:type="dxa"/>
            <w:vAlign w:val="center"/>
          </w:tcPr>
          <w:p>
            <w:pPr>
              <w:pStyle w:val="11"/>
            </w:pPr>
            <w:r>
              <w:t>77.53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50.18</w:t>
            </w:r>
          </w:p>
        </w:tc>
        <w:tc>
          <w:tcPr>
            <w:tcW w:w="1474" w:type="dxa"/>
            <w:vAlign w:val="center"/>
          </w:tcPr>
          <w:p>
            <w:pPr>
              <w:pStyle w:val="11"/>
            </w:pPr>
            <w:r>
              <w:t>50.18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1410.52</w:t>
            </w:r>
          </w:p>
        </w:tc>
        <w:tc>
          <w:tcPr>
            <w:tcW w:w="1474" w:type="dxa"/>
            <w:vAlign w:val="center"/>
          </w:tcPr>
          <w:p>
            <w:pPr>
              <w:pStyle w:val="11"/>
            </w:pPr>
            <w:r>
              <w:t>1410.52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1581.93</w:t>
            </w:r>
          </w:p>
        </w:tc>
        <w:tc>
          <w:tcPr>
            <w:tcW w:w="3402" w:type="dxa"/>
            <w:vAlign w:val="center"/>
          </w:tcPr>
          <w:p>
            <w:pPr>
              <w:pStyle w:val="14"/>
            </w:pPr>
            <w:r>
              <w:t>本年支出合计</w:t>
            </w:r>
          </w:p>
        </w:tc>
        <w:tc>
          <w:tcPr>
            <w:tcW w:w="1474" w:type="dxa"/>
            <w:vAlign w:val="center"/>
          </w:tcPr>
          <w:p>
            <w:pPr>
              <w:pStyle w:val="15"/>
            </w:pPr>
            <w:r>
              <w:t>1581.93</w:t>
            </w:r>
          </w:p>
        </w:tc>
        <w:tc>
          <w:tcPr>
            <w:tcW w:w="1474" w:type="dxa"/>
            <w:vAlign w:val="center"/>
          </w:tcPr>
          <w:p>
            <w:pPr>
              <w:pStyle w:val="15"/>
            </w:pPr>
            <w:r>
              <w:t>1581.93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1581.93</w:t>
            </w:r>
          </w:p>
        </w:tc>
        <w:tc>
          <w:tcPr>
            <w:tcW w:w="3402" w:type="dxa"/>
            <w:vAlign w:val="center"/>
          </w:tcPr>
          <w:p>
            <w:pPr>
              <w:pStyle w:val="14"/>
            </w:pPr>
            <w:r>
              <w:t>支出总计</w:t>
            </w:r>
          </w:p>
        </w:tc>
        <w:tc>
          <w:tcPr>
            <w:tcW w:w="1474" w:type="dxa"/>
            <w:vAlign w:val="center"/>
          </w:tcPr>
          <w:p>
            <w:pPr>
              <w:pStyle w:val="15"/>
            </w:pPr>
            <w:r>
              <w:t>1581.93</w:t>
            </w:r>
          </w:p>
        </w:tc>
        <w:tc>
          <w:tcPr>
            <w:tcW w:w="1474" w:type="dxa"/>
            <w:vAlign w:val="center"/>
          </w:tcPr>
          <w:p>
            <w:pPr>
              <w:pStyle w:val="15"/>
            </w:pPr>
            <w:r>
              <w:t>1581.93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1581.93</w:t>
            </w:r>
          </w:p>
        </w:tc>
        <w:tc>
          <w:tcPr>
            <w:tcW w:w="2551" w:type="dxa"/>
            <w:vAlign w:val="center"/>
          </w:tcPr>
          <w:p>
            <w:pPr>
              <w:pStyle w:val="15"/>
            </w:pPr>
            <w:r>
              <w:t>906.14</w:t>
            </w:r>
          </w:p>
        </w:tc>
        <w:tc>
          <w:tcPr>
            <w:tcW w:w="2551" w:type="dxa"/>
            <w:vAlign w:val="center"/>
          </w:tcPr>
          <w:p>
            <w:pPr>
              <w:pStyle w:val="15"/>
            </w:pPr>
            <w:r>
              <w:t>675.79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43.70</w:t>
            </w:r>
          </w:p>
        </w:tc>
        <w:tc>
          <w:tcPr>
            <w:tcW w:w="2551" w:type="dxa"/>
            <w:vAlign w:val="center"/>
          </w:tcPr>
          <w:p>
            <w:pPr>
              <w:pStyle w:val="11"/>
            </w:pPr>
            <w:r>
              <w:t>43.70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w:t>
            </w:r>
            <w:r>
              <w:rPr>
                <w:rFonts w:hint="eastAsia"/>
                <w:lang w:eastAsia="zh-CN"/>
              </w:rPr>
              <w:t>部门</w:t>
            </w:r>
            <w:r>
              <w:t>养老支出</w:t>
            </w:r>
          </w:p>
        </w:tc>
        <w:tc>
          <w:tcPr>
            <w:tcW w:w="2551" w:type="dxa"/>
            <w:vAlign w:val="center"/>
          </w:tcPr>
          <w:p>
            <w:pPr>
              <w:pStyle w:val="11"/>
            </w:pPr>
            <w:r>
              <w:t>43.70</w:t>
            </w:r>
          </w:p>
        </w:tc>
        <w:tc>
          <w:tcPr>
            <w:tcW w:w="2551" w:type="dxa"/>
            <w:vAlign w:val="center"/>
          </w:tcPr>
          <w:p>
            <w:pPr>
              <w:pStyle w:val="11"/>
            </w:pPr>
            <w:r>
              <w:t>43.70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w:t>
            </w:r>
            <w:r>
              <w:rPr>
                <w:rFonts w:hint="eastAsia"/>
                <w:lang w:eastAsia="zh-CN"/>
              </w:rPr>
              <w:t>部门</w:t>
            </w:r>
            <w:r>
              <w:t>离退休</w:t>
            </w:r>
          </w:p>
        </w:tc>
        <w:tc>
          <w:tcPr>
            <w:tcW w:w="2551" w:type="dxa"/>
            <w:vAlign w:val="center"/>
          </w:tcPr>
          <w:p>
            <w:pPr>
              <w:pStyle w:val="11"/>
            </w:pPr>
            <w:r>
              <w:t>43.70</w:t>
            </w:r>
          </w:p>
        </w:tc>
        <w:tc>
          <w:tcPr>
            <w:tcW w:w="2551" w:type="dxa"/>
            <w:vAlign w:val="center"/>
          </w:tcPr>
          <w:p>
            <w:pPr>
              <w:pStyle w:val="11"/>
            </w:pPr>
            <w:r>
              <w:t>43.70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77.53</w:t>
            </w:r>
          </w:p>
        </w:tc>
        <w:tc>
          <w:tcPr>
            <w:tcW w:w="2551" w:type="dxa"/>
            <w:vAlign w:val="center"/>
          </w:tcPr>
          <w:p>
            <w:pPr>
              <w:pStyle w:val="11"/>
            </w:pPr>
            <w:r>
              <w:t>77.53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w:t>
            </w:r>
            <w:r>
              <w:rPr>
                <w:rFonts w:hint="eastAsia"/>
                <w:lang w:eastAsia="zh-CN"/>
              </w:rPr>
              <w:t>部门</w:t>
            </w:r>
            <w:r>
              <w:t>医疗</w:t>
            </w:r>
          </w:p>
        </w:tc>
        <w:tc>
          <w:tcPr>
            <w:tcW w:w="2551" w:type="dxa"/>
            <w:vAlign w:val="center"/>
          </w:tcPr>
          <w:p>
            <w:pPr>
              <w:pStyle w:val="11"/>
            </w:pPr>
            <w:r>
              <w:t>77.53</w:t>
            </w:r>
          </w:p>
        </w:tc>
        <w:tc>
          <w:tcPr>
            <w:tcW w:w="2551" w:type="dxa"/>
            <w:vAlign w:val="center"/>
          </w:tcPr>
          <w:p>
            <w:pPr>
              <w:pStyle w:val="11"/>
            </w:pPr>
            <w:r>
              <w:t>77.53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w:t>
            </w:r>
            <w:r>
              <w:rPr>
                <w:rFonts w:hint="eastAsia"/>
                <w:lang w:eastAsia="zh-CN"/>
              </w:rPr>
              <w:t>部门</w:t>
            </w:r>
            <w:r>
              <w:t>医疗</w:t>
            </w:r>
          </w:p>
        </w:tc>
        <w:tc>
          <w:tcPr>
            <w:tcW w:w="2551" w:type="dxa"/>
            <w:vAlign w:val="center"/>
          </w:tcPr>
          <w:p>
            <w:pPr>
              <w:pStyle w:val="11"/>
            </w:pPr>
            <w:r>
              <w:t>77.53</w:t>
            </w:r>
          </w:p>
        </w:tc>
        <w:tc>
          <w:tcPr>
            <w:tcW w:w="2551" w:type="dxa"/>
            <w:vAlign w:val="center"/>
          </w:tcPr>
          <w:p>
            <w:pPr>
              <w:pStyle w:val="11"/>
            </w:pPr>
            <w:r>
              <w:t>77.53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50.18</w:t>
            </w:r>
          </w:p>
        </w:tc>
        <w:tc>
          <w:tcPr>
            <w:tcW w:w="2551" w:type="dxa"/>
            <w:vAlign w:val="center"/>
          </w:tcPr>
          <w:p>
            <w:pPr>
              <w:pStyle w:val="11"/>
            </w:pPr>
            <w:r>
              <w:t>50.18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50.18</w:t>
            </w:r>
          </w:p>
        </w:tc>
        <w:tc>
          <w:tcPr>
            <w:tcW w:w="2551" w:type="dxa"/>
            <w:vAlign w:val="center"/>
          </w:tcPr>
          <w:p>
            <w:pPr>
              <w:pStyle w:val="11"/>
            </w:pPr>
            <w:r>
              <w:t>50.18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50.18</w:t>
            </w:r>
          </w:p>
        </w:tc>
        <w:tc>
          <w:tcPr>
            <w:tcW w:w="2551" w:type="dxa"/>
            <w:vAlign w:val="center"/>
          </w:tcPr>
          <w:p>
            <w:pPr>
              <w:pStyle w:val="11"/>
            </w:pPr>
            <w:r>
              <w:t>50.18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1410.52</w:t>
            </w:r>
          </w:p>
        </w:tc>
        <w:tc>
          <w:tcPr>
            <w:tcW w:w="2551" w:type="dxa"/>
            <w:vAlign w:val="center"/>
          </w:tcPr>
          <w:p>
            <w:pPr>
              <w:pStyle w:val="11"/>
            </w:pPr>
            <w:r>
              <w:t>734.72</w:t>
            </w:r>
          </w:p>
        </w:tc>
        <w:tc>
          <w:tcPr>
            <w:tcW w:w="2551" w:type="dxa"/>
            <w:vAlign w:val="center"/>
          </w:tcPr>
          <w:p>
            <w:pPr>
              <w:pStyle w:val="11"/>
            </w:pPr>
            <w:r>
              <w:t>675.79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1410.52</w:t>
            </w:r>
          </w:p>
        </w:tc>
        <w:tc>
          <w:tcPr>
            <w:tcW w:w="2551" w:type="dxa"/>
            <w:vAlign w:val="center"/>
          </w:tcPr>
          <w:p>
            <w:pPr>
              <w:pStyle w:val="11"/>
            </w:pPr>
            <w:r>
              <w:t>734.72</w:t>
            </w:r>
          </w:p>
        </w:tc>
        <w:tc>
          <w:tcPr>
            <w:tcW w:w="2551" w:type="dxa"/>
            <w:vAlign w:val="center"/>
          </w:tcPr>
          <w:p>
            <w:pPr>
              <w:pStyle w:val="11"/>
            </w:pPr>
            <w:r>
              <w:t>675.79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1410.52</w:t>
            </w:r>
          </w:p>
        </w:tc>
        <w:tc>
          <w:tcPr>
            <w:tcW w:w="2551" w:type="dxa"/>
            <w:vAlign w:val="center"/>
          </w:tcPr>
          <w:p>
            <w:pPr>
              <w:pStyle w:val="11"/>
            </w:pPr>
            <w:r>
              <w:t>734.72</w:t>
            </w:r>
          </w:p>
        </w:tc>
        <w:tc>
          <w:tcPr>
            <w:tcW w:w="2551" w:type="dxa"/>
            <w:vAlign w:val="center"/>
          </w:tcPr>
          <w:p>
            <w:pPr>
              <w:pStyle w:val="11"/>
            </w:pPr>
            <w:r>
              <w:t>675.79</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部门</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906.14</w:t>
            </w:r>
          </w:p>
        </w:tc>
        <w:tc>
          <w:tcPr>
            <w:tcW w:w="2551" w:type="dxa"/>
            <w:vAlign w:val="center"/>
          </w:tcPr>
          <w:p>
            <w:pPr>
              <w:pStyle w:val="15"/>
            </w:pPr>
            <w:r>
              <w:t>852.42</w:t>
            </w:r>
          </w:p>
        </w:tc>
        <w:tc>
          <w:tcPr>
            <w:tcW w:w="2551" w:type="dxa"/>
            <w:vAlign w:val="center"/>
          </w:tcPr>
          <w:p>
            <w:pPr>
              <w:pStyle w:val="15"/>
            </w:pPr>
            <w:r>
              <w:t>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812.02</w:t>
            </w:r>
          </w:p>
        </w:tc>
        <w:tc>
          <w:tcPr>
            <w:tcW w:w="2551" w:type="dxa"/>
            <w:vAlign w:val="center"/>
          </w:tcPr>
          <w:p>
            <w:pPr>
              <w:pStyle w:val="11"/>
            </w:pPr>
            <w:r>
              <w:t>812.02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191.34</w:t>
            </w:r>
          </w:p>
        </w:tc>
        <w:tc>
          <w:tcPr>
            <w:tcW w:w="2551" w:type="dxa"/>
            <w:vAlign w:val="center"/>
          </w:tcPr>
          <w:p>
            <w:pPr>
              <w:pStyle w:val="11"/>
            </w:pPr>
            <w:r>
              <w:t>191.34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99.35</w:t>
            </w:r>
          </w:p>
        </w:tc>
        <w:tc>
          <w:tcPr>
            <w:tcW w:w="2551" w:type="dxa"/>
            <w:vAlign w:val="center"/>
          </w:tcPr>
          <w:p>
            <w:pPr>
              <w:pStyle w:val="11"/>
            </w:pPr>
            <w:r>
              <w:t>99.35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30.86</w:t>
            </w:r>
          </w:p>
        </w:tc>
        <w:tc>
          <w:tcPr>
            <w:tcW w:w="2551" w:type="dxa"/>
            <w:vAlign w:val="center"/>
          </w:tcPr>
          <w:p>
            <w:pPr>
              <w:pStyle w:val="11"/>
            </w:pPr>
            <w:r>
              <w:t>30.86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147.75</w:t>
            </w:r>
          </w:p>
        </w:tc>
        <w:tc>
          <w:tcPr>
            <w:tcW w:w="2551" w:type="dxa"/>
            <w:vAlign w:val="center"/>
          </w:tcPr>
          <w:p>
            <w:pPr>
              <w:pStyle w:val="11"/>
            </w:pPr>
            <w:r>
              <w:t>147.75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w:t>
            </w:r>
            <w:r>
              <w:rPr>
                <w:rFonts w:hint="eastAsia"/>
                <w:lang w:eastAsia="zh-CN"/>
              </w:rPr>
              <w:t>部门</w:t>
            </w:r>
            <w:r>
              <w:t>基本养老保险缴费</w:t>
            </w:r>
          </w:p>
        </w:tc>
        <w:tc>
          <w:tcPr>
            <w:tcW w:w="2551" w:type="dxa"/>
            <w:vAlign w:val="center"/>
          </w:tcPr>
          <w:p>
            <w:pPr>
              <w:pStyle w:val="11"/>
            </w:pPr>
            <w:r>
              <w:t>63.79</w:t>
            </w:r>
          </w:p>
        </w:tc>
        <w:tc>
          <w:tcPr>
            <w:tcW w:w="2551" w:type="dxa"/>
            <w:vAlign w:val="center"/>
          </w:tcPr>
          <w:p>
            <w:pPr>
              <w:pStyle w:val="11"/>
            </w:pPr>
            <w:r>
              <w:t>63.79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30.20</w:t>
            </w:r>
          </w:p>
        </w:tc>
        <w:tc>
          <w:tcPr>
            <w:tcW w:w="2551" w:type="dxa"/>
            <w:vAlign w:val="center"/>
          </w:tcPr>
          <w:p>
            <w:pPr>
              <w:pStyle w:val="11"/>
            </w:pPr>
            <w:r>
              <w:t>30.20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74.88</w:t>
            </w:r>
          </w:p>
        </w:tc>
        <w:tc>
          <w:tcPr>
            <w:tcW w:w="2551" w:type="dxa"/>
            <w:vAlign w:val="center"/>
          </w:tcPr>
          <w:p>
            <w:pPr>
              <w:pStyle w:val="11"/>
            </w:pPr>
            <w:r>
              <w:t>74.88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32.47</w:t>
            </w:r>
          </w:p>
        </w:tc>
        <w:tc>
          <w:tcPr>
            <w:tcW w:w="2551" w:type="dxa"/>
            <w:vAlign w:val="center"/>
          </w:tcPr>
          <w:p>
            <w:pPr>
              <w:pStyle w:val="11"/>
            </w:pPr>
            <w:r>
              <w:t>32.47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49.23</w:t>
            </w:r>
          </w:p>
        </w:tc>
        <w:tc>
          <w:tcPr>
            <w:tcW w:w="2551" w:type="dxa"/>
            <w:vAlign w:val="center"/>
          </w:tcPr>
          <w:p>
            <w:pPr>
              <w:pStyle w:val="11"/>
            </w:pPr>
            <w:r>
              <w:t>49.23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92.14</w:t>
            </w:r>
          </w:p>
        </w:tc>
        <w:tc>
          <w:tcPr>
            <w:tcW w:w="2551" w:type="dxa"/>
            <w:vAlign w:val="center"/>
          </w:tcPr>
          <w:p>
            <w:pPr>
              <w:pStyle w:val="11"/>
            </w:pPr>
            <w:r>
              <w:t>92.14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53.71</w:t>
            </w:r>
          </w:p>
        </w:tc>
        <w:tc>
          <w:tcPr>
            <w:tcW w:w="2551" w:type="dxa"/>
            <w:vAlign w:val="center"/>
          </w:tcPr>
          <w:p>
            <w:pPr>
              <w:pStyle w:val="11"/>
            </w:pPr>
          </w:p>
        </w:tc>
        <w:tc>
          <w:tcPr>
            <w:tcW w:w="2551" w:type="dxa"/>
            <w:vAlign w:val="center"/>
          </w:tcPr>
          <w:p>
            <w:pPr>
              <w:pStyle w:val="11"/>
            </w:pPr>
            <w:r>
              <w:t>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10.80</w:t>
            </w:r>
          </w:p>
        </w:tc>
        <w:tc>
          <w:tcPr>
            <w:tcW w:w="2551" w:type="dxa"/>
            <w:vAlign w:val="center"/>
          </w:tcPr>
          <w:p>
            <w:pPr>
              <w:pStyle w:val="11"/>
            </w:pPr>
          </w:p>
        </w:tc>
        <w:tc>
          <w:tcPr>
            <w:tcW w:w="2551" w:type="dxa"/>
            <w:vAlign w:val="center"/>
          </w:tcPr>
          <w:p>
            <w:pPr>
              <w:pStyle w:val="11"/>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3.83</w:t>
            </w:r>
          </w:p>
        </w:tc>
        <w:tc>
          <w:tcPr>
            <w:tcW w:w="2551" w:type="dxa"/>
            <w:vAlign w:val="center"/>
          </w:tcPr>
          <w:p>
            <w:pPr>
              <w:pStyle w:val="11"/>
            </w:pPr>
          </w:p>
        </w:tc>
        <w:tc>
          <w:tcPr>
            <w:tcW w:w="2551" w:type="dxa"/>
            <w:vAlign w:val="center"/>
          </w:tcPr>
          <w:p>
            <w:pPr>
              <w:pStyle w:val="11"/>
            </w:pPr>
            <w: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4.78</w:t>
            </w:r>
          </w:p>
        </w:tc>
        <w:tc>
          <w:tcPr>
            <w:tcW w:w="2551" w:type="dxa"/>
            <w:vAlign w:val="center"/>
          </w:tcPr>
          <w:p>
            <w:pPr>
              <w:pStyle w:val="11"/>
            </w:pPr>
          </w:p>
        </w:tc>
        <w:tc>
          <w:tcPr>
            <w:tcW w:w="2551" w:type="dxa"/>
            <w:vAlign w:val="center"/>
          </w:tcPr>
          <w:p>
            <w:pPr>
              <w:pStyle w:val="11"/>
            </w:pPr>
            <w:r>
              <w:t>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11.40</w:t>
            </w:r>
          </w:p>
        </w:tc>
        <w:tc>
          <w:tcPr>
            <w:tcW w:w="2551" w:type="dxa"/>
            <w:vAlign w:val="center"/>
          </w:tcPr>
          <w:p>
            <w:pPr>
              <w:pStyle w:val="11"/>
            </w:pPr>
          </w:p>
        </w:tc>
        <w:tc>
          <w:tcPr>
            <w:tcW w:w="2551" w:type="dxa"/>
            <w:vAlign w:val="center"/>
          </w:tcPr>
          <w:p>
            <w:pPr>
              <w:pStyle w:val="11"/>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40.40</w:t>
            </w:r>
          </w:p>
        </w:tc>
        <w:tc>
          <w:tcPr>
            <w:tcW w:w="2551" w:type="dxa"/>
            <w:vAlign w:val="center"/>
          </w:tcPr>
          <w:p>
            <w:pPr>
              <w:pStyle w:val="11"/>
            </w:pPr>
            <w:r>
              <w:t>40.40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40.40</w:t>
            </w:r>
          </w:p>
        </w:tc>
        <w:tc>
          <w:tcPr>
            <w:tcW w:w="2551" w:type="dxa"/>
            <w:vAlign w:val="center"/>
          </w:tcPr>
          <w:p>
            <w:pPr>
              <w:pStyle w:val="11"/>
            </w:pPr>
            <w:r>
              <w:t>40.40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唐山市开平区应急管理局2024年</w:t>
      </w:r>
      <w:r>
        <w:rPr>
          <w:rFonts w:hint="eastAsia" w:ascii="方正书宋_GBK" w:hAnsi="方正书宋_GBK" w:eastAsia="方正书宋_GBK" w:cs="方正书宋_GBK"/>
          <w:color w:val="FFFFFF"/>
          <w:sz w:val="21"/>
          <w:lang w:eastAsia="zh-CN"/>
        </w:rPr>
        <w:t>部门</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唐山市开平区应急管理局2024年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按照《中华人民共和国预算法》、《地方预决算公开操作规程》和《关于进一步推进预算公开工作的实施意见》规定，现将唐山市开平区应急管理局2024年</w:t>
      </w:r>
      <w:r>
        <w:rPr>
          <w:rFonts w:hint="eastAsia" w:eastAsia="方正仿宋_GBK"/>
          <w:color w:val="000000"/>
          <w:sz w:val="28"/>
          <w:lang w:eastAsia="zh-CN"/>
        </w:rPr>
        <w:t>部门</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17"/>
      </w:pPr>
      <w:r>
        <w:t>根据《唐山市开平区应急管理局职能配置、内设机构和人员编制规定》，唐山市开平区应急管理局的主要职责是：</w:t>
      </w:r>
    </w:p>
    <w:p>
      <w:pPr>
        <w:pStyle w:val="17"/>
      </w:pPr>
      <w:r>
        <w:t>（一）负责全区应急管理工作，指导全区各</w:t>
      </w:r>
      <w:r>
        <w:rPr>
          <w:rFonts w:hint="eastAsia"/>
          <w:lang w:eastAsia="zh-CN"/>
        </w:rPr>
        <w:t>部门</w:t>
      </w:r>
      <w:r>
        <w:t>应对安全生产类、自然灾害类等突发事件和综合防灾减灾救灾工作。负责全区安全生产综合监督管理和相关工矿（含煤矿）商贸行业安全生产监督管理工作。</w:t>
      </w:r>
    </w:p>
    <w:p>
      <w:pPr>
        <w:pStyle w:val="17"/>
      </w:pPr>
      <w:r>
        <w:t>（二）拟订地方性应急管理、防震减灾、安全生产等政策规定，组织编制区应急体系建设、综合防灾减灾和安全生产规划，起草相关地方性法规和政府规章草案，指导、监督相关规程和标准实施。</w:t>
      </w:r>
    </w:p>
    <w:p>
      <w:pPr>
        <w:pStyle w:val="17"/>
      </w:pPr>
      <w:r>
        <w:t>（三）指导应急预案体系建设，建立完善事故灾难和自然灾害分级应对制度，组织编制区总体应急预案和安全生产类、自然灾害类专项预案，综合协调应急预案衔接工作，组织开展预案演练，推动应急避难设施建设。</w:t>
      </w:r>
    </w:p>
    <w:p>
      <w:pPr>
        <w:pStyle w:val="17"/>
      </w:pPr>
      <w:r>
        <w:t>（四）牵头建立统一的全区应急管理信息系统，负责信息传输渠道的规划和布局，建立监测预警和灾情报告制度，健全自然灾害信息资源获取和共享机制，依法统一发布灾情。</w:t>
      </w:r>
    </w:p>
    <w:p>
      <w:pPr>
        <w:pStyle w:val="17"/>
      </w:pPr>
      <w: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（七）统筹应急救援力量建设，负责消防、森林火灾扑救、抗洪抢险、地质灾害救援、生产安全事故救援等专业应急救援力量建设，管理区综合性应急救援队伍，指导各级及社会应急救援力量建设。</w:t>
      </w:r>
    </w:p>
    <w:p>
      <w:pPr>
        <w:pStyle w:val="17"/>
      </w:pPr>
      <w:r>
        <w:t>（八）组织指导全区防震减灾工作，负责地震监测预测预警、震害防御和地震现场应急救援工作，参与震后救援和震后重建等工作。</w:t>
      </w:r>
    </w:p>
    <w:p>
      <w:pPr>
        <w:pStyle w:val="17"/>
      </w:pPr>
      <w:r>
        <w:t>（九）组织协调消防工作，指导各级消防监督、火灾预防、火灾扑救等工作。</w:t>
      </w:r>
    </w:p>
    <w:p>
      <w:pPr>
        <w:pStyle w:val="17"/>
      </w:pPr>
      <w:r>
        <w:t>（十）指导协调森林火灾、水旱灾害、地质灾害等防治工作，负责地震灾害防御工作，负责自然灾害综合监测预警工作，指导开展自然灾害综合风险评估工作。</w:t>
      </w:r>
    </w:p>
    <w:p>
      <w:pPr>
        <w:pStyle w:val="17"/>
      </w:pPr>
      <w:r>
        <w:t>（十一）组织协调灾害救助工作，组织指导灾情核查、损失评估、救灾捐赠工作，管理、分配区救灾款物并监督使用。</w:t>
      </w:r>
    </w:p>
    <w:p>
      <w:pPr>
        <w:pStyle w:val="17"/>
      </w:pPr>
      <w:r>
        <w:t>（十二）依法行使区安全生产综合监督管理职权，指导协调、监督检查区有关</w:t>
      </w:r>
      <w:r>
        <w:rPr>
          <w:rFonts w:hint="eastAsia"/>
          <w:lang w:eastAsia="zh-CN"/>
        </w:rPr>
        <w:t>部门</w:t>
      </w:r>
      <w:r>
        <w:t>和各镇、街道办事处、开发区管委会安全生产工作，组织开展安全生产巡查、考核工作。</w:t>
      </w:r>
    </w:p>
    <w:p>
      <w:pPr>
        <w:pStyle w:val="17"/>
      </w:pPr>
      <w:r>
        <w:t>（十三）按照分级、属地原则，依法监督检查工矿商贸生产经营</w:t>
      </w:r>
      <w:r>
        <w:rPr>
          <w:rFonts w:hint="eastAsia"/>
          <w:lang w:eastAsia="zh-CN"/>
        </w:rPr>
        <w:t>部门</w:t>
      </w:r>
      <w:r>
        <w:t>贯彻执行安全生产法律法规情况，及其安全生产条件和有关设备（特种设备除外）、材料、劳动防护用品的安全生产管理工作。负责监督管理区属及以下工矿商贸企业的安全生产工作。负责危险化学品企业安全监督管理综合工作和烟花爆竹安全生产监督管理工作。</w:t>
      </w:r>
    </w:p>
    <w:p>
      <w:pPr>
        <w:pStyle w:val="17"/>
      </w:pPr>
      <w:r>
        <w:t>（十四）依法组织指导生产安全事故调查处理，监督事故查处和责任追究落实情况。组织开展自然灾害类突发事件的调查评估工作。</w:t>
      </w:r>
    </w:p>
    <w:p>
      <w:pPr>
        <w:pStyle w:val="17"/>
      </w:pPr>
      <w:r>
        <w:t>（十五）制定应急物资储备和应急救援装备规划并组织实施，会同区相关</w:t>
      </w:r>
      <w:r>
        <w:rPr>
          <w:rFonts w:hint="eastAsia"/>
          <w:lang w:eastAsia="zh-CN"/>
        </w:rPr>
        <w:t>部门</w:t>
      </w:r>
      <w:r>
        <w:t>建立健全应急物资、救援装备信息平台和调拨制度，在救灾时统一调度。</w:t>
      </w:r>
    </w:p>
    <w:p>
      <w:pPr>
        <w:pStyle w:val="17"/>
      </w:pPr>
      <w:r>
        <w:t>（十六）负责应急管理、防震减灾、安全生产宣传教育和培训工作，组织指导应急管理、防灾减灾、安全生产的科学技术推广应用和信息化建设工作。</w:t>
      </w:r>
    </w:p>
    <w:p>
      <w:pPr>
        <w:pStyle w:val="17"/>
      </w:pPr>
      <w:r>
        <w:t>（十七）负责组织指导协调和监督全区安全生产行政执法工作。负责全区地震行政执法工作。管理直属执法机构对分管区域内的企业开展安全生产执法工作。</w:t>
      </w:r>
    </w:p>
    <w:p>
      <w:pPr>
        <w:pStyle w:val="17"/>
      </w:pPr>
      <w:r>
        <w:t>（十八）组织开展应急管理方面的对外交流与合作。</w:t>
      </w:r>
    </w:p>
    <w:p>
      <w:pPr>
        <w:pStyle w:val="17"/>
      </w:pPr>
      <w:r>
        <w:t>（十九）完成区委、区政府交办的其他任务。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lang w:eastAsia="zh-CN"/>
              </w:rPr>
              <w:t>部门</w:t>
            </w:r>
            <w:r>
              <w:t>名称</w:t>
            </w:r>
          </w:p>
        </w:tc>
        <w:tc>
          <w:tcPr>
            <w:tcW w:w="1843" w:type="dxa"/>
            <w:vAlign w:val="center"/>
          </w:tcPr>
          <w:p>
            <w:pPr>
              <w:pStyle w:val="10"/>
            </w:pPr>
            <w:r>
              <w:rPr>
                <w:rFonts w:hint="eastAsia"/>
                <w:lang w:eastAsia="zh-CN"/>
              </w:rPr>
              <w:t>部门</w:t>
            </w:r>
            <w:r>
              <w:t>性质</w:t>
            </w:r>
          </w:p>
        </w:tc>
        <w:tc>
          <w:tcPr>
            <w:tcW w:w="2126" w:type="dxa"/>
            <w:vAlign w:val="center"/>
          </w:tcPr>
          <w:p>
            <w:pPr>
              <w:pStyle w:val="10"/>
            </w:pPr>
            <w:r>
              <w:rPr>
                <w:rFonts w:hint="eastAsia"/>
                <w:lang w:eastAsia="zh-CN"/>
              </w:rPr>
              <w:t>部门</w:t>
            </w:r>
            <w:r>
              <w:t>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bookmarkEnd w:id="10"/>
    </w:p>
    <w:p>
      <w:pPr>
        <w:pStyle w:val="18"/>
      </w:pPr>
      <w:r>
        <w:t>按照预算管理有关规定，目前</w:t>
      </w:r>
      <w:r>
        <w:rPr>
          <w:rFonts w:hint="eastAsia"/>
          <w:lang w:eastAsia="zh-CN"/>
        </w:rPr>
        <w:t>部门</w:t>
      </w:r>
      <w:r>
        <w:t>预算的编制实行综合预算管理，即全部收入和支出都反映在预算中。唐山市开平区应急管理局机关及所属事业</w:t>
      </w:r>
      <w:r>
        <w:rPr>
          <w:rFonts w:hint="eastAsia"/>
          <w:lang w:eastAsia="zh-CN"/>
        </w:rPr>
        <w:t>部门</w:t>
      </w:r>
      <w:r>
        <w:t>的收支包含在</w:t>
      </w:r>
      <w:r>
        <w:rPr>
          <w:rFonts w:hint="eastAsia"/>
          <w:lang w:eastAsia="zh-CN"/>
        </w:rPr>
        <w:t>部门</w:t>
      </w:r>
      <w:r>
        <w:t>预算中。</w:t>
      </w:r>
    </w:p>
    <w:p>
      <w:pPr>
        <w:pStyle w:val="18"/>
      </w:pPr>
      <w:r>
        <w:t>1、收入说明</w:t>
      </w:r>
    </w:p>
    <w:p>
      <w:pPr>
        <w:pStyle w:val="18"/>
      </w:pPr>
      <w:r>
        <w:t>反映本</w:t>
      </w:r>
      <w:r>
        <w:rPr>
          <w:rFonts w:hint="eastAsia"/>
          <w:lang w:eastAsia="zh-CN"/>
        </w:rPr>
        <w:t>部门</w:t>
      </w:r>
      <w:r>
        <w:t>当年全部收入。2024年预算收入1581.93万元，其中：一般公共预算收入1581.93万元，基金预算收入0.00万元，国有资本经营预算收入0.00万元，财政专户核拨收入0.00万元，</w:t>
      </w:r>
      <w:r>
        <w:rPr>
          <w:rFonts w:hint="eastAsia"/>
          <w:lang w:eastAsia="zh-CN"/>
        </w:rPr>
        <w:t>部门</w:t>
      </w:r>
      <w:r>
        <w:t>资金收入0.00万元，上年结转结余0.00万元。</w:t>
      </w:r>
    </w:p>
    <w:p>
      <w:pPr>
        <w:pStyle w:val="18"/>
      </w:pPr>
      <w:r>
        <w:t>2、支出说明</w:t>
      </w:r>
    </w:p>
    <w:p>
      <w:pPr>
        <w:pStyle w:val="18"/>
      </w:pPr>
      <w:r>
        <w:t>收支预算总表支出栏、基本支出表、项目支出表按经济分类和支出功能分类科目编制，反映唐山市开平区应急管理局年度</w:t>
      </w:r>
      <w:r>
        <w:rPr>
          <w:rFonts w:hint="eastAsia"/>
          <w:lang w:eastAsia="zh-CN"/>
        </w:rPr>
        <w:t>部门</w:t>
      </w:r>
      <w:r>
        <w:t>预算中支出预算的总体情况。2024年支出预算1581.93万元，其中基本支出906.14万元，包括人员经费852.42万元和日常公用经费53.71万元；项目支出675.79万元，主要为煤矿人员工资、医疗保险、非统筹等302万元；道口办经费79.36万元；防汛、森林防火、防震救灾、防灾减灾115万元；本级安全生产专项100万元；2024年省级自然灾害救助资金79.43万元</w:t>
      </w:r>
    </w:p>
    <w:p>
      <w:pPr>
        <w:pStyle w:val="18"/>
      </w:pPr>
      <w:r>
        <w:t>3、比上年增减情况</w:t>
      </w:r>
    </w:p>
    <w:p>
      <w:pPr>
        <w:pStyle w:val="18"/>
      </w:pPr>
      <w:r>
        <w:t>2024年预算收支安排1581.93万元，较2023年预算减少53.42万元，其中：基本支出增加147.40万元，主要为2023年</w:t>
      </w:r>
      <w:r>
        <w:rPr>
          <w:rFonts w:hint="eastAsia"/>
          <w:lang w:eastAsia="zh-CN"/>
        </w:rPr>
        <w:t>部门</w:t>
      </w:r>
      <w:r>
        <w:t>新增15人导致人员经费和日常公用经费增加的正常增减变动项目支出减少200.82万元，主要为原包含于防汛、森林防火、防震救灾、防灾减灾项目的双桥镇防火减灾款170万项目资金于2023年后不列入我</w:t>
      </w:r>
      <w:r>
        <w:rPr>
          <w:rFonts w:hint="eastAsia"/>
          <w:lang w:eastAsia="zh-CN"/>
        </w:rPr>
        <w:t>部门</w:t>
      </w:r>
      <w:r>
        <w:t>预算项目</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w:t>
      </w:r>
      <w:r>
        <w:rPr>
          <w:rFonts w:hint="eastAsia"/>
          <w:lang w:eastAsia="zh-CN"/>
        </w:rPr>
        <w:t>部门</w:t>
      </w:r>
      <w:r>
        <w:t>财政拨款“三公”经费预算安排8.00万元，其中因公出国（境）费0.00万元；公务用车购置及运维费8.00万元（其中：公务用车购置费为0.00万元，公务用车运维费8.00万元)；公务接待费0.00万元。与2023年相比增加0.00万元，增减变化的主要原因是</w:t>
      </w:r>
      <w:r>
        <w:rPr>
          <w:rFonts w:hint="eastAsia"/>
          <w:lang w:eastAsia="zh-CN"/>
        </w:rPr>
        <w:t>部门</w:t>
      </w:r>
      <w:r>
        <w:t>共有4辆可使用车辆，其中维修费4万元，保险费1.5万元，燃料2.5万元</w:t>
      </w:r>
    </w:p>
    <w:p>
      <w:pPr>
        <w:spacing w:before="10" w:after="10" w:line="360" w:lineRule="auto"/>
        <w:ind w:firstLine="640"/>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部门</w:t>
      </w:r>
      <w:r>
        <w:rPr>
          <w:rFonts w:ascii="黑体" w:hAnsi="黑体" w:eastAsia="黑体" w:cs="黑体"/>
          <w:color w:val="000000"/>
          <w:sz w:val="32"/>
        </w:rPr>
        <w:t>整体绩效目标</w:t>
      </w:r>
      <w:bookmarkEnd w:id="13"/>
    </w:p>
    <w:p>
      <w:pPr>
        <w:spacing w:line="500" w:lineRule="exact"/>
        <w:ind w:firstLine="560"/>
      </w:pPr>
      <w:r>
        <w:rPr>
          <w:rFonts w:eastAsia="方正仿宋_GBK"/>
          <w:color w:val="000000"/>
          <w:sz w:val="28"/>
        </w:rPr>
        <w:t>（一）总体绩效目标</w:t>
      </w:r>
    </w:p>
    <w:p>
      <w:pPr>
        <w:pStyle w:val="21"/>
      </w:pPr>
      <w:r>
        <w:t>一、总体绩效目标</w:t>
      </w:r>
    </w:p>
    <w:p>
      <w:pPr>
        <w:pStyle w:val="21"/>
      </w:pPr>
      <w:r>
        <w:t>区应急管理局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pStyle w:val="21"/>
      </w:pPr>
      <w:r>
        <w:t>(1)、主要任务：“十三五”期间，根据区委八届六次全会精神，我区国民经济和社会发展的总体要求是：全面贯彻党的十八大和十八届三中、四中、五中全会，省委八届十二次全会和市委九届七次全会精神，以邓小平理论和“三个代表”重要思想、科学发展观为指导，深入贯彻习近平</w:t>
      </w:r>
      <w:r>
        <w:rPr>
          <w:rFonts w:hint="eastAsia"/>
          <w:lang w:eastAsia="zh-CN"/>
        </w:rPr>
        <w:t>总书记</w:t>
      </w:r>
      <w:r>
        <w:t>系列重要讲话精神，树牢创新、协调、绿色、开放、共享的发展理念，抢抓京津冀协同发展重大机遇，突出协同发展、转型升级、又好又快的工作主基调，以发展城市经济，建设田园城市为着力点，全面深化改革，扩大对外开放，加快形成引领经济发展新常态的体制机制和发展方式，统筹推进经济建设、政治建设、文化建设、社会建设和生态文明建设，努力把开平建设成生态经济强区、现代文明新城、和谐幸福家园。</w:t>
      </w:r>
    </w:p>
    <w:p>
      <w:pPr>
        <w:pStyle w:val="21"/>
      </w:pPr>
      <w:r>
        <w:t>(2)、总体目标</w:t>
      </w:r>
    </w:p>
    <w:p>
      <w:pPr>
        <w:pStyle w:val="21"/>
      </w:pPr>
      <w:r>
        <w:t>&lt;1&gt;、企业安全生产管理明显加强，现代化企业管理理念明显提升，从业人员岗位技能综合素质显著提高。</w:t>
      </w:r>
    </w:p>
    <w:p>
      <w:pPr>
        <w:pStyle w:val="21"/>
      </w:pPr>
      <w:r>
        <w:t>&lt;2&gt;、安全生产监管工作向法制化、规范化、标准化、制度化不断迈进。</w:t>
      </w:r>
    </w:p>
    <w:p>
      <w:pPr>
        <w:pStyle w:val="21"/>
      </w:pPr>
      <w:r>
        <w:t>&lt;3&gt;、企业安全生产主体责任落实到位；应急管理保障体系不断完善；安全科技支撑体系不断提速。</w:t>
      </w:r>
    </w:p>
    <w:p>
      <w:pPr>
        <w:pStyle w:val="21"/>
      </w:pPr>
      <w:r>
        <w:t>&lt;4&gt;、杜绝特大事故、遏制重大事故、减少一般事故，确保在“十三五”期间实现安全生产无重大事故。</w:t>
      </w:r>
    </w:p>
    <w:p>
      <w:pPr>
        <w:pStyle w:val="21"/>
      </w:pPr>
      <w:r>
        <w:t>&lt;5&gt;坚持以人为本，把确保人民群众生命安全放在首位，确保受灾群众基本生活，加强应急预案演练，增强全民防灾减灾意识，提升公众知识普及和自救互救技能，切实减少人员伤亡和财产损失。</w:t>
      </w:r>
    </w:p>
    <w:p>
      <w:pPr>
        <w:spacing w:line="500" w:lineRule="exact"/>
        <w:ind w:firstLine="560"/>
      </w:pPr>
      <w:r>
        <w:rPr>
          <w:rFonts w:eastAsia="方正仿宋_GBK"/>
          <w:color w:val="000000"/>
          <w:sz w:val="28"/>
        </w:rPr>
        <w:t>（二）分项绩效目标</w:t>
      </w:r>
    </w:p>
    <w:p>
      <w:pPr>
        <w:pStyle w:val="22"/>
      </w:pPr>
      <w:r>
        <w:t>（一）确保全区安全生产形势稳定好转</w:t>
      </w:r>
    </w:p>
    <w:p>
      <w:pPr>
        <w:pStyle w:val="22"/>
      </w:pPr>
      <w:r>
        <w:t>绩效目标：定期组织在全区开展安全生产督导检查活动，对重点行业安全生产加强行政执法监察，依法对违法行为实施行政处罚；不断加强安全生产监管能力建设，改善执法检测、监察检查等能力。加强重大危险源的监测、监控、辨识与评估及登记建档、备案与核销等安全管理。组织制订全区各行业隐患排查标准，建设区级隐患排查治理</w:t>
      </w:r>
    </w:p>
    <w:p>
      <w:pPr>
        <w:pStyle w:val="22"/>
      </w:pPr>
      <w:r>
        <w:t>绩效指标：依法开展执法检查工作，对发现的安全生产违法行为依法进行行政处罚，遏制重特大事故发生，确保全区安全生产形势稳定好转。</w:t>
      </w:r>
    </w:p>
    <w:p>
      <w:pPr>
        <w:pStyle w:val="22"/>
      </w:pPr>
      <w:r>
        <w:t>（二）指导完善应急预案体系建设</w:t>
      </w:r>
    </w:p>
    <w:p>
      <w:pPr>
        <w:pStyle w:val="22"/>
      </w:pPr>
      <w:r>
        <w:t>绩效目标：加强应急预案的管理与实施，及时组织锻炼应急救援队伍，切实提升应急处置能力。</w:t>
      </w:r>
    </w:p>
    <w:p>
      <w:pPr>
        <w:pStyle w:val="22"/>
      </w:pPr>
      <w:r>
        <w:t>绩效指标：指导应急预案体系建设，建立完善事故灾难和自然灾害分级应对制度，组织编制区总体应急预案和安全生产类、自然灾害类专项预案，综合协调应急预案衔接工作，组织开展应急预案演练，推动应急避难设施建设。</w:t>
      </w:r>
    </w:p>
    <w:p>
      <w:pPr>
        <w:pStyle w:val="22"/>
      </w:pPr>
      <w:r>
        <w:t>（三）统筹应急救援力量建设</w:t>
      </w:r>
    </w:p>
    <w:p>
      <w:pPr>
        <w:pStyle w:val="22"/>
      </w:pPr>
      <w:r>
        <w:t>绩效目标：统筹应急救援力量建设，负责消防、森林火灾扑救、抗洪抢险、地质灾害救援、生产安全事故救援等专业应急救援力量建设，管理区综合性应急救援队伍，指导各级及社会应急救援力量建设。</w:t>
      </w:r>
    </w:p>
    <w:p>
      <w:pPr>
        <w:pStyle w:val="22"/>
      </w:pPr>
      <w:r>
        <w:t>绩效指标：组织指导协调安全生产类、自然灾害类等突发事件应急救援，承担区应对相关事故灾害指挥部工作，综合研判突发事件发展态势并提出应对建议，协助区委、区政府指定的负责同志组织相关事故灾害应急处置工作。统一协调指挥各类应急专业队伍，建立应急协调联动机制，推进指挥平台对接，衔接解放军和武警部队参与应急救援工作。</w:t>
      </w:r>
    </w:p>
    <w:p>
      <w:pPr>
        <w:pStyle w:val="22"/>
      </w:pPr>
      <w:r>
        <w:t>（四）加强安全生产执法及全区地震行政执法监察检查</w:t>
      </w:r>
    </w:p>
    <w:p>
      <w:pPr>
        <w:pStyle w:val="22"/>
      </w:pPr>
      <w:r>
        <w:t>绩效目标：通过督导检查全区安全生产，最大限度地发现、纠正、督促企业消除各类隐患，预防和减少事故的发生，确保全区安全生产形势持续稳定好转。</w:t>
      </w:r>
    </w:p>
    <w:p>
      <w:pPr>
        <w:pStyle w:val="22"/>
      </w:pPr>
      <w:r>
        <w:t>绩效指标：定期组织在全区开展安全生产及地震行政执法督导检查活动，对重点行业安全生产进行督导检查，加强行政执法监察，依法对违法行为实施行政处罚；不断加强安全生产监管能力建设，改善执法检测、监察检查等能力。</w:t>
      </w:r>
    </w:p>
    <w:p>
      <w:pPr>
        <w:pStyle w:val="22"/>
      </w:pPr>
      <w:r>
        <w:t>（五）加强重大危险源安全管理</w:t>
      </w:r>
    </w:p>
    <w:p>
      <w:pPr>
        <w:pStyle w:val="22"/>
      </w:pPr>
      <w:r>
        <w:t>绩效目标：科学准确进行重大危险源等级界定；有效开展监测数据的综合分析、数据发布工作；督促企业切实加强危险源监控，有效治理隐患，落实监管责任。</w:t>
      </w:r>
    </w:p>
    <w:p>
      <w:pPr>
        <w:pStyle w:val="22"/>
      </w:pPr>
      <w:r>
        <w:t>绩效指标：加强重大危险源的监测、监控、辨识与评估及登记建档、备案与核销等安全管理；开展重大危险源执法检查工作。</w:t>
      </w:r>
    </w:p>
    <w:p>
      <w:pPr>
        <w:pStyle w:val="22"/>
      </w:pPr>
      <w:r>
        <w:t>（六）构建和完善安全生产监管体系</w:t>
      </w:r>
    </w:p>
    <w:p>
      <w:pPr>
        <w:pStyle w:val="22"/>
      </w:pPr>
      <w:r>
        <w:t>绩效目标：基本建成全区安全生产隐患排查治理体系。</w:t>
      </w:r>
    </w:p>
    <w:p>
      <w:pPr>
        <w:pStyle w:val="22"/>
      </w:pPr>
      <w:r>
        <w:t>绩效指标：建设区级隐患排查治理信息系统平台；加强全区安全生产技术服务机构及注册安全工程师管理；组织开展安全生产事故专项调查；审核提出安全生产举报奖励意见；开展安全生产宣传教育活动，定期向社会公布安全生产重大事项情况；组织全区安全生产目标管理及考核工作；促进企业全面落实安全生产诚信管理。</w:t>
      </w:r>
    </w:p>
    <w:p>
      <w:pPr>
        <w:pStyle w:val="22"/>
      </w:pPr>
      <w:r>
        <w:t>（七）重点行业安全生产监管</w:t>
      </w:r>
    </w:p>
    <w:p>
      <w:pPr>
        <w:pStyle w:val="22"/>
      </w:pPr>
      <w:r>
        <w:t>绩效目标：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等工作；加强高危行业建设项目安全条件、安全设施设计、职业病防护设施设计审查和竣工验收管理。加强煤矿的停产监管；拟订并组织实施全区煤矿整合关闭等整顿政策。落实省、市政府关于加快山水林田湖生态修复的实施意见。</w:t>
      </w:r>
    </w:p>
    <w:p>
      <w:pPr>
        <w:pStyle w:val="22"/>
      </w:pPr>
      <w:r>
        <w:t>绩效指标：依法监督检查工矿商贸生产经营</w:t>
      </w:r>
      <w:r>
        <w:rPr>
          <w:rFonts w:hint="eastAsia"/>
          <w:lang w:eastAsia="zh-CN"/>
        </w:rPr>
        <w:t>部门</w:t>
      </w:r>
      <w:r>
        <w:t>贯彻执行安全生产法律法规情况及其安全生产条件和有关设备(适用《特种设备安全监察条例》的特种设备除外)、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p>
      <w:pPr>
        <w:pStyle w:val="22"/>
      </w:pPr>
      <w:r>
        <w:t>（八）加强高危重点行业、商贸及金属非金属矿山安全生产监管</w:t>
      </w:r>
    </w:p>
    <w:p>
      <w:pPr>
        <w:pStyle w:val="22"/>
      </w:pPr>
      <w:r>
        <w:t>绩效目标：严格审查企业的安全生产条件，从源头把好企业准入关，消除事故隐患，提升企业安全管理水平，确保我区安全生产形势稳定。</w:t>
      </w:r>
    </w:p>
    <w:p>
      <w:pPr>
        <w:pStyle w:val="22"/>
      </w:pPr>
      <w:r>
        <w:t>绩效指标：对高危行业企业负责人、安全管理人员安全资格及特种作业人员操作证进行验印审批；对重点行业企业开展安全生产监督和专项整治活动；开展金属和非金属矿山的整顿关闭等工作；加强高危行业建设项目安全条件、安全设施设计审查和竣工验收管理。</w:t>
      </w:r>
    </w:p>
    <w:p>
      <w:pPr>
        <w:pStyle w:val="22"/>
      </w:pPr>
      <w:r>
        <w:t>（九）铁路道口安全管理</w:t>
      </w:r>
    </w:p>
    <w:p>
      <w:pPr>
        <w:pStyle w:val="22"/>
      </w:pPr>
      <w: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w:t>
      </w:r>
    </w:p>
    <w:p>
      <w:pPr>
        <w:pStyle w:val="22"/>
      </w:pPr>
      <w:r>
        <w:t>绩效指标：编制安全生产规划，开展安全生产调研和相关政策制订；开展对外合作交流；加强行政审批管理；开展行政复议及行政应诉工作等；为保障机关履行安全生产监管基本职责提供必要条件。</w:t>
      </w:r>
    </w:p>
    <w:p>
      <w:pPr>
        <w:pStyle w:val="22"/>
      </w:pPr>
      <w:r>
        <w:t>（十）安全生产政务管理</w:t>
      </w:r>
    </w:p>
    <w:p>
      <w:pPr>
        <w:pStyle w:val="22"/>
      </w:pPr>
      <w: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w:t>
      </w:r>
    </w:p>
    <w:p>
      <w:pPr>
        <w:pStyle w:val="22"/>
      </w:pPr>
      <w:r>
        <w:t>绩效指标：编制安全生产规划，开展安全生产调研和相关政策制订；开展对外合作交流；加强行政审批管理；开展行政复议及行政应诉工作等；为保障机关履行安全生产监管基本职责提供必要条件。</w:t>
      </w:r>
    </w:p>
    <w:p>
      <w:pPr>
        <w:pStyle w:val="22"/>
      </w:pPr>
      <w:r>
        <w:t>（十一）综合业务管理</w:t>
      </w:r>
    </w:p>
    <w:p>
      <w:pPr>
        <w:pStyle w:val="22"/>
      </w:pPr>
      <w:r>
        <w:t>绩效目标：保障各项业务工作畅通。</w:t>
      </w:r>
    </w:p>
    <w:p>
      <w:pPr>
        <w:pStyle w:val="22"/>
      </w:pPr>
      <w:r>
        <w:t>绩效指标：加强专项资金监管；开展对外合作交流；加强安全生产审批管理；开展行政复议及行政应诉工作；信访接待、业务宣传、政务信息公开等工作；开展网上行政服务；依法行政等。</w:t>
      </w:r>
    </w:p>
    <w:p>
      <w:pPr>
        <w:spacing w:line="500" w:lineRule="exact"/>
        <w:ind w:firstLine="560"/>
      </w:pPr>
      <w:r>
        <w:rPr>
          <w:rFonts w:eastAsia="方正仿宋_GBK"/>
          <w:color w:val="000000"/>
          <w:sz w:val="28"/>
        </w:rPr>
        <w:t>（三）工作保障措施</w:t>
      </w:r>
    </w:p>
    <w:p>
      <w:pPr>
        <w:pStyle w:val="23"/>
      </w:pPr>
      <w:r>
        <w:t>坚持以习近平新时代中国特色社会主义思想为统领，牢固树立和落实五大新发展理念，以全面深化改革为主线， 贯彻落实习近平总书记关于安全生产的重要指示和李克强总理批示，全国安全生产专项整治三年行动全面开展。为确保全面建成高质量小康社会和“十三五”规划圓满收官，为唐山加快实现“三个努力建成”“两个率先”目标作出新的更大贡献。</w:t>
      </w:r>
    </w:p>
    <w:p>
      <w:pPr>
        <w:pStyle w:val="23"/>
      </w:pPr>
      <w:r>
        <w:t>一、健全统一的应急物资保障体系。</w:t>
      </w:r>
    </w:p>
    <w:p>
      <w:pPr>
        <w:pStyle w:val="23"/>
      </w:pPr>
      <w:r>
        <w:t>围绕贯彻习近平总书记关于应急物资保障体系建设的重要论述，结合推动形成统一指挥、专常兼备、反应灵敏、上下联动、平战结合的中国特色应急管理体制，全面调研我区应急物资保障体系建设的基本现状，厘清应急物资保障方面各</w:t>
      </w:r>
      <w:r>
        <w:rPr>
          <w:rFonts w:hint="eastAsia"/>
          <w:lang w:eastAsia="zh-CN"/>
        </w:rPr>
        <w:t>部门</w:t>
      </w:r>
      <w:r>
        <w:t>的权限和责任。 预判我区突发事件的发展趋势基础上，前瞻性和系统性地提出我区应急物资保障体系的管理体制和工作机制，为健全统一的应急物资保障体系提供支撑。 研究建立应急物资集中生产调度机制、紧急采购机制、社会捐赠机制以及征用补偿机制，完善应急物资军地联动机制。</w:t>
      </w:r>
    </w:p>
    <w:p>
      <w:pPr>
        <w:pStyle w:val="23"/>
      </w:pPr>
      <w:r>
        <w:t>二、完善社会治理体系和治理能力体制机制。</w:t>
      </w:r>
    </w:p>
    <w:p>
      <w:pPr>
        <w:pStyle w:val="23"/>
      </w:pPr>
      <w:r>
        <w:t>严格落实安全生产责任，完善公共安全隐患排查和安全预防控制体系。健全突发事件的应急处置机制，构建实战化、扁平化、合成化应急处处置模式，提高防灾减灾救灾能力。</w:t>
      </w:r>
    </w:p>
    <w:p>
      <w:pPr>
        <w:pStyle w:val="23"/>
      </w:pPr>
      <w:r>
        <w:t>持续深化危险化学品和烟花爆竹、冶金建材、交通运输、建筑施工、燃气、消防、特种设备、农业机械、有限空间作业等重点行业领域专项整治，结合正在进行的安全生产隐患大排查执法大检查责任大督查专项行动、安全生产风险辨识管控和隐患排查治理双重预防机制建设，合理安排，统筹推进。按照“党政同责、一岗双责、失职追责”、“三个必须”和属地监管原则，严格落实安全生产集中整治领导包联责任制，实现安全生产责任包联全覆盖。进一步建立健全“一个台账、四个清单”，督促指导各行业企业严格按照“六查六看”要求彻查各类隐患问题。</w:t>
      </w:r>
    </w:p>
    <w:p>
      <w:pPr>
        <w:pStyle w:val="23"/>
      </w:pPr>
      <w:r>
        <w:t>针对前期企业复工复产高峰与疫情防控交织叠加所面临的新形势新问题，区安委办制定并印发了《开平区疫情防控期间复工复产企业安全生产工作方案》。各相关</w:t>
      </w:r>
      <w:r>
        <w:rPr>
          <w:rFonts w:hint="eastAsia"/>
          <w:lang w:eastAsia="zh-CN"/>
        </w:rPr>
        <w:t>部门</w:t>
      </w:r>
      <w:r>
        <w:t>及时分析研究企业复工复产中存在的风险隐患，主要负责人亲自安排部署，带头深入一线实地督导检查，帮扶指导企业解决重点难点问题，支持企业尽早恢复正常生产。</w:t>
      </w:r>
    </w:p>
    <w:p>
      <w:pPr>
        <w:pStyle w:val="23"/>
      </w:pPr>
      <w:r>
        <w:t>有序推进“双控”机制建设，按照省、市的统一安排部署和《开平区安全生产风险辨识管控和隐患排查治理双重预防机制建设工作方案》的步骤安排，以试点示范、全面推广的方式，在全区各行业领域逐步推进“双控”机制建设，尤其是高危行业和重点企业，严格落实企业分包责任制，定期调度督导，确保齐头并进、保质保量。</w:t>
      </w:r>
    </w:p>
    <w:p>
      <w:pPr>
        <w:pStyle w:val="23"/>
        <w:sectPr>
          <w:pgSz w:w="16840" w:h="11900" w:orient="landscape"/>
          <w:pgMar w:top="1361" w:right="1020" w:bottom="1361" w:left="1020" w:header="720" w:footer="720" w:gutter="0"/>
          <w:cols w:space="720" w:num="1"/>
        </w:sectPr>
      </w:pPr>
      <w:r>
        <w:t>夯实基层基础提升本质安全水平。严格落实党政领导分包责任制，实现“打非”工作无死角盲区，严厉打击非法生产经营建设行为。大力推进安全生产标准化和诚信管理工作，聘请行业安全专家对相关企业及时开展评定、复审，贯彻执行“黑名单”“红名单”管理制度。</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部门</w:t>
      </w:r>
      <w:r>
        <w:rPr>
          <w:rFonts w:ascii="黑体" w:hAnsi="黑体" w:eastAsia="黑体" w:cs="黑体"/>
          <w:color w:val="000000"/>
          <w:sz w:val="32"/>
        </w:rPr>
        <w:t>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部门</w:t>
      </w:r>
      <w:r>
        <w:rPr>
          <w:rFonts w:ascii="黑体" w:hAnsi="黑体" w:eastAsia="黑体" w:cs="黑体"/>
          <w:color w:val="000000"/>
          <w:sz w:val="32"/>
        </w:rPr>
        <w:t>项目预算安排情况及绩效目标</w:t>
      </w:r>
      <w:bookmarkEnd w:id="15"/>
    </w:p>
    <w:p>
      <w:pPr>
        <w:ind w:firstLine="560"/>
      </w:pPr>
      <w:r>
        <w:rPr>
          <w:rFonts w:ascii="方正仿宋_GBK" w:hAnsi="方正仿宋_GBK" w:eastAsia="方正仿宋_GBK" w:cs="方正仿宋_GBK"/>
          <w:color w:val="000000"/>
          <w:sz w:val="28"/>
        </w:rPr>
        <w:t>1、本级道口办经费绩效目标表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13020524P00905010001L</w:t>
            </w:r>
          </w:p>
        </w:tc>
        <w:tc>
          <w:tcPr>
            <w:tcW w:w="2835" w:type="dxa"/>
            <w:vAlign w:val="center"/>
          </w:tcPr>
          <w:p>
            <w:pPr>
              <w:pStyle w:val="10"/>
            </w:pPr>
            <w:r>
              <w:t>项目名称</w:t>
            </w:r>
          </w:p>
        </w:tc>
        <w:tc>
          <w:tcPr>
            <w:tcW w:w="6094" w:type="dxa"/>
            <w:gridSpan w:val="3"/>
            <w:vAlign w:val="center"/>
          </w:tcPr>
          <w:p>
            <w:pPr>
              <w:pStyle w:val="12"/>
            </w:pPr>
            <w:r>
              <w:t>本级道口办经费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79.36</w:t>
            </w:r>
          </w:p>
        </w:tc>
        <w:tc>
          <w:tcPr>
            <w:tcW w:w="2835" w:type="dxa"/>
            <w:vAlign w:val="center"/>
          </w:tcPr>
          <w:p>
            <w:pPr>
              <w:pStyle w:val="10"/>
            </w:pPr>
            <w:r>
              <w:t>其中：财政    资金</w:t>
            </w:r>
          </w:p>
        </w:tc>
        <w:tc>
          <w:tcPr>
            <w:tcW w:w="2551" w:type="dxa"/>
            <w:vAlign w:val="center"/>
          </w:tcPr>
          <w:p>
            <w:pPr>
              <w:pStyle w:val="12"/>
            </w:pPr>
            <w:r>
              <w:t>79.36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按时发放铁路道口监护员的工资及劳动保护用品,铁路道口设施正常运转,铁路道口安全管理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1.按时发放铁路道口监护员的工资及劳动保护用品</w:t>
            </w:r>
            <w:r>
              <w:tab/>
            </w:r>
            <w:r>
              <w:tab/>
            </w:r>
            <w:r>
              <w:tab/>
            </w:r>
            <w:r>
              <w:tab/>
            </w:r>
            <w:r>
              <w:tab/>
            </w:r>
          </w:p>
          <w:p>
            <w:pPr>
              <w:pStyle w:val="12"/>
            </w:pPr>
            <w:r>
              <w:t>2.铁路道口设施正常运转</w:t>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发放率</w:t>
            </w:r>
          </w:p>
        </w:tc>
        <w:tc>
          <w:tcPr>
            <w:tcW w:w="5386" w:type="dxa"/>
            <w:vAlign w:val="center"/>
          </w:tcPr>
          <w:p>
            <w:pPr>
              <w:pStyle w:val="12"/>
            </w:pPr>
            <w:r>
              <w:t>铁路道口监护员的工资及劳动保护用品发放率</w:t>
            </w:r>
          </w:p>
        </w:tc>
        <w:tc>
          <w:tcPr>
            <w:tcW w:w="2268" w:type="dxa"/>
            <w:vAlign w:val="center"/>
          </w:tcPr>
          <w:p>
            <w:pPr>
              <w:pStyle w:val="12"/>
            </w:pPr>
            <w:r>
              <w:t>100%</w:t>
            </w:r>
          </w:p>
        </w:tc>
        <w:tc>
          <w:tcPr>
            <w:tcW w:w="1276" w:type="dxa"/>
            <w:vAlign w:val="center"/>
          </w:tcPr>
          <w:p>
            <w:pPr>
              <w:pStyle w:val="12"/>
            </w:pPr>
            <w:r>
              <w:t>铁路道口监护员的工资及劳动保护用品发放率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铁路道口监护员的工资及劳动保护用品发放是否及时</w:t>
            </w:r>
          </w:p>
        </w:tc>
        <w:tc>
          <w:tcPr>
            <w:tcW w:w="2268" w:type="dxa"/>
            <w:vAlign w:val="center"/>
          </w:tcPr>
          <w:p>
            <w:pPr>
              <w:pStyle w:val="12"/>
            </w:pPr>
            <w:r>
              <w:t>100%</w:t>
            </w:r>
          </w:p>
        </w:tc>
        <w:tc>
          <w:tcPr>
            <w:tcW w:w="1276" w:type="dxa"/>
            <w:vAlign w:val="center"/>
          </w:tcPr>
          <w:p>
            <w:pPr>
              <w:pStyle w:val="12"/>
            </w:pPr>
            <w:r>
              <w:t>铁路道口监护员的工资及劳动保护用品发放率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铁路道口设施是否正常运转</w:t>
            </w:r>
          </w:p>
        </w:tc>
        <w:tc>
          <w:tcPr>
            <w:tcW w:w="2268" w:type="dxa"/>
            <w:vAlign w:val="center"/>
          </w:tcPr>
          <w:p>
            <w:pPr>
              <w:pStyle w:val="12"/>
            </w:pPr>
            <w:r>
              <w:t>≥90%</w:t>
            </w:r>
          </w:p>
        </w:tc>
        <w:tc>
          <w:tcPr>
            <w:tcW w:w="1276" w:type="dxa"/>
            <w:vAlign w:val="center"/>
          </w:tcPr>
          <w:p>
            <w:pPr>
              <w:pStyle w:val="12"/>
            </w:pPr>
            <w:r>
              <w:t>铁路道口设施是否正常运转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道口监护员进行日常管理和考核</w:t>
            </w:r>
          </w:p>
        </w:tc>
        <w:tc>
          <w:tcPr>
            <w:tcW w:w="5386" w:type="dxa"/>
            <w:vAlign w:val="center"/>
          </w:tcPr>
          <w:p>
            <w:pPr>
              <w:pStyle w:val="12"/>
            </w:pPr>
            <w:r>
              <w:t>道口监护员进行日常管理和考核</w:t>
            </w:r>
          </w:p>
        </w:tc>
        <w:tc>
          <w:tcPr>
            <w:tcW w:w="2268" w:type="dxa"/>
            <w:vAlign w:val="center"/>
          </w:tcPr>
          <w:p>
            <w:pPr>
              <w:pStyle w:val="12"/>
            </w:pPr>
            <w:r>
              <w:t>≥90%</w:t>
            </w:r>
          </w:p>
        </w:tc>
        <w:tc>
          <w:tcPr>
            <w:tcW w:w="1276" w:type="dxa"/>
            <w:vAlign w:val="center"/>
          </w:tcPr>
          <w:p>
            <w:pPr>
              <w:pStyle w:val="12"/>
            </w:pPr>
            <w:r>
              <w:t>道口监护员进行日常管理和考核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铁路道口安全管理</w:t>
            </w:r>
          </w:p>
        </w:tc>
        <w:tc>
          <w:tcPr>
            <w:tcW w:w="5386" w:type="dxa"/>
            <w:vAlign w:val="center"/>
          </w:tcPr>
          <w:p>
            <w:pPr>
              <w:pStyle w:val="12"/>
            </w:pPr>
            <w:r>
              <w:t>铁路道口安全管理</w:t>
            </w:r>
          </w:p>
        </w:tc>
        <w:tc>
          <w:tcPr>
            <w:tcW w:w="2268" w:type="dxa"/>
            <w:vAlign w:val="center"/>
          </w:tcPr>
          <w:p>
            <w:pPr>
              <w:pStyle w:val="12"/>
            </w:pPr>
            <w:r>
              <w:t>安全无事故</w:t>
            </w:r>
          </w:p>
        </w:tc>
        <w:tc>
          <w:tcPr>
            <w:tcW w:w="1276" w:type="dxa"/>
            <w:vAlign w:val="center"/>
          </w:tcPr>
          <w:p>
            <w:pPr>
              <w:pStyle w:val="12"/>
            </w:pPr>
            <w:r>
              <w:t>铁路道口安全管理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铁路道口设施正常运转率</w:t>
            </w:r>
          </w:p>
        </w:tc>
        <w:tc>
          <w:tcPr>
            <w:tcW w:w="5386" w:type="dxa"/>
            <w:vAlign w:val="center"/>
          </w:tcPr>
          <w:p>
            <w:pPr>
              <w:pStyle w:val="12"/>
            </w:pPr>
            <w:r>
              <w:t>铁路道口设施正常运转率</w:t>
            </w:r>
          </w:p>
        </w:tc>
        <w:tc>
          <w:tcPr>
            <w:tcW w:w="2268" w:type="dxa"/>
            <w:vAlign w:val="center"/>
          </w:tcPr>
          <w:p>
            <w:pPr>
              <w:pStyle w:val="12"/>
            </w:pPr>
            <w:r>
              <w:t>≥90%</w:t>
            </w:r>
          </w:p>
        </w:tc>
        <w:tc>
          <w:tcPr>
            <w:tcW w:w="1276" w:type="dxa"/>
            <w:vAlign w:val="center"/>
          </w:tcPr>
          <w:p>
            <w:pPr>
              <w:pStyle w:val="12"/>
            </w:pPr>
            <w:r>
              <w:t>铁路道口设施正常运转率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合格率</w:t>
            </w:r>
          </w:p>
        </w:tc>
        <w:tc>
          <w:tcPr>
            <w:tcW w:w="5386" w:type="dxa"/>
            <w:vAlign w:val="center"/>
          </w:tcPr>
          <w:p>
            <w:pPr>
              <w:pStyle w:val="12"/>
            </w:pPr>
            <w:r>
              <w:t>给铁路道口监护员发放的劳动保护用品的质量合格率</w:t>
            </w:r>
          </w:p>
        </w:tc>
        <w:tc>
          <w:tcPr>
            <w:tcW w:w="2268" w:type="dxa"/>
            <w:vAlign w:val="center"/>
          </w:tcPr>
          <w:p>
            <w:pPr>
              <w:pStyle w:val="12"/>
            </w:pPr>
            <w:r>
              <w:t>100%</w:t>
            </w:r>
          </w:p>
        </w:tc>
        <w:tc>
          <w:tcPr>
            <w:tcW w:w="1276" w:type="dxa"/>
            <w:vAlign w:val="center"/>
          </w:tcPr>
          <w:p>
            <w:pPr>
              <w:pStyle w:val="12"/>
            </w:pPr>
            <w:r>
              <w:t>给铁路道口监护员发放的劳动保护用品的质量合格率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服务对象满意度指标</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2、本级关闭煤矿人员工资、医疗保险、非统筹等绩效目标表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13020524P009052100010</w:t>
            </w:r>
          </w:p>
        </w:tc>
        <w:tc>
          <w:tcPr>
            <w:tcW w:w="2835" w:type="dxa"/>
            <w:vAlign w:val="center"/>
          </w:tcPr>
          <w:p>
            <w:pPr>
              <w:pStyle w:val="10"/>
            </w:pPr>
            <w:r>
              <w:t>项目名称</w:t>
            </w:r>
          </w:p>
        </w:tc>
        <w:tc>
          <w:tcPr>
            <w:tcW w:w="6094" w:type="dxa"/>
            <w:gridSpan w:val="3"/>
            <w:vAlign w:val="center"/>
          </w:tcPr>
          <w:p>
            <w:pPr>
              <w:pStyle w:val="12"/>
            </w:pPr>
            <w:r>
              <w:t>本级关闭煤矿人员工资、医疗保险、非统筹等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302.00</w:t>
            </w:r>
          </w:p>
        </w:tc>
        <w:tc>
          <w:tcPr>
            <w:tcW w:w="2835" w:type="dxa"/>
            <w:vAlign w:val="center"/>
          </w:tcPr>
          <w:p>
            <w:pPr>
              <w:pStyle w:val="10"/>
            </w:pPr>
            <w:r>
              <w:t>其中：财政    资金</w:t>
            </w:r>
          </w:p>
        </w:tc>
        <w:tc>
          <w:tcPr>
            <w:tcW w:w="2551" w:type="dxa"/>
            <w:vAlign w:val="center"/>
          </w:tcPr>
          <w:p>
            <w:pPr>
              <w:pStyle w:val="12"/>
            </w:pPr>
            <w:r>
              <w:t>302.00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按月交纳关闭煤矿医疗保险费及军转干部医疗费、按时发放非统筹、抚恤金、工资.基本保障下岗职工的基本生活需要，保障社会稳定。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1.基本保障下岗职工的基本生活需要，保障社会稳定。</w:t>
            </w:r>
          </w:p>
          <w:p>
            <w:pPr>
              <w:pStyle w:val="12"/>
            </w:pPr>
            <w:r>
              <w:t>2.按月缴纳关闭煤矿医疗保险费及军转干部医疗费、按时发放非统筹、抚恤金、工资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关闭地方国有煤矿数量</w:t>
            </w:r>
          </w:p>
        </w:tc>
        <w:tc>
          <w:tcPr>
            <w:tcW w:w="5386" w:type="dxa"/>
            <w:vAlign w:val="center"/>
          </w:tcPr>
          <w:p>
            <w:pPr>
              <w:pStyle w:val="12"/>
            </w:pPr>
            <w:r>
              <w:t>关闭地方国有煤矿需财政承担数量</w:t>
            </w:r>
          </w:p>
        </w:tc>
        <w:tc>
          <w:tcPr>
            <w:tcW w:w="2268" w:type="dxa"/>
            <w:vAlign w:val="center"/>
          </w:tcPr>
          <w:p>
            <w:pPr>
              <w:pStyle w:val="12"/>
            </w:pPr>
            <w:r>
              <w:t>≥90%</w:t>
            </w:r>
          </w:p>
        </w:tc>
        <w:tc>
          <w:tcPr>
            <w:tcW w:w="1276" w:type="dxa"/>
            <w:vAlign w:val="center"/>
          </w:tcPr>
          <w:p>
            <w:pPr>
              <w:pStyle w:val="12"/>
            </w:pPr>
            <w:r>
              <w:t>关闭地方国有煤矿需财政承担数量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非统筹抚恤金是否全部发放</w:t>
            </w:r>
          </w:p>
        </w:tc>
        <w:tc>
          <w:tcPr>
            <w:tcW w:w="5386" w:type="dxa"/>
            <w:vAlign w:val="center"/>
          </w:tcPr>
          <w:p>
            <w:pPr>
              <w:pStyle w:val="12"/>
            </w:pPr>
            <w:r>
              <w:t>非统筹、抚恤金是否全部支出</w:t>
            </w:r>
          </w:p>
        </w:tc>
        <w:tc>
          <w:tcPr>
            <w:tcW w:w="2268" w:type="dxa"/>
            <w:vAlign w:val="center"/>
          </w:tcPr>
          <w:p>
            <w:pPr>
              <w:pStyle w:val="12"/>
            </w:pPr>
            <w:r>
              <w:t>≥90%</w:t>
            </w:r>
          </w:p>
        </w:tc>
        <w:tc>
          <w:tcPr>
            <w:tcW w:w="1276" w:type="dxa"/>
            <w:vAlign w:val="center"/>
          </w:tcPr>
          <w:p>
            <w:pPr>
              <w:pStyle w:val="12"/>
            </w:pPr>
            <w:r>
              <w:t>非统筹、抚恤金是否全部支出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5386" w:type="dxa"/>
            <w:vAlign w:val="center"/>
          </w:tcPr>
          <w:p>
            <w:pPr>
              <w:pStyle w:val="12"/>
            </w:pPr>
            <w:r>
              <w:t>资金是否全部支出</w:t>
            </w:r>
          </w:p>
        </w:tc>
        <w:tc>
          <w:tcPr>
            <w:tcW w:w="2268" w:type="dxa"/>
            <w:vAlign w:val="center"/>
          </w:tcPr>
          <w:p>
            <w:pPr>
              <w:pStyle w:val="12"/>
            </w:pPr>
            <w:r>
              <w:t>≥90%</w:t>
            </w:r>
          </w:p>
        </w:tc>
        <w:tc>
          <w:tcPr>
            <w:tcW w:w="1276" w:type="dxa"/>
            <w:vAlign w:val="center"/>
          </w:tcPr>
          <w:p>
            <w:pPr>
              <w:pStyle w:val="12"/>
            </w:pPr>
            <w:r>
              <w:t>资金是否全部支出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资金支出是否及时</w:t>
            </w:r>
          </w:p>
        </w:tc>
        <w:tc>
          <w:tcPr>
            <w:tcW w:w="2268" w:type="dxa"/>
            <w:vAlign w:val="center"/>
          </w:tcPr>
          <w:p>
            <w:pPr>
              <w:pStyle w:val="12"/>
            </w:pPr>
            <w:r>
              <w:t>≥90%</w:t>
            </w:r>
          </w:p>
        </w:tc>
        <w:tc>
          <w:tcPr>
            <w:tcW w:w="1276" w:type="dxa"/>
            <w:vAlign w:val="center"/>
          </w:tcPr>
          <w:p>
            <w:pPr>
              <w:pStyle w:val="12"/>
            </w:pPr>
            <w:r>
              <w:t>资金支出是否及时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长期性</w:t>
            </w:r>
          </w:p>
        </w:tc>
        <w:tc>
          <w:tcPr>
            <w:tcW w:w="5386" w:type="dxa"/>
            <w:vAlign w:val="center"/>
          </w:tcPr>
          <w:p>
            <w:pPr>
              <w:pStyle w:val="12"/>
            </w:pPr>
            <w:r>
              <w:t>长期保障下岗职工的基本生活需要</w:t>
            </w:r>
          </w:p>
        </w:tc>
        <w:tc>
          <w:tcPr>
            <w:tcW w:w="2268" w:type="dxa"/>
            <w:vAlign w:val="center"/>
          </w:tcPr>
          <w:p>
            <w:pPr>
              <w:pStyle w:val="12"/>
            </w:pPr>
            <w:r>
              <w:t>≥90%</w:t>
            </w:r>
          </w:p>
        </w:tc>
        <w:tc>
          <w:tcPr>
            <w:tcW w:w="1276" w:type="dxa"/>
            <w:vAlign w:val="center"/>
          </w:tcPr>
          <w:p>
            <w:pPr>
              <w:pStyle w:val="12"/>
            </w:pPr>
            <w:r>
              <w:t>长期保障下岗职工的基本生活需要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医保费正常缴纳</w:t>
            </w:r>
          </w:p>
        </w:tc>
        <w:tc>
          <w:tcPr>
            <w:tcW w:w="5386" w:type="dxa"/>
            <w:vAlign w:val="center"/>
          </w:tcPr>
          <w:p>
            <w:pPr>
              <w:pStyle w:val="12"/>
            </w:pPr>
            <w:r>
              <w:t>按月缴纳关闭煤矿医疗保险费及军转干部医疗费、按时发放非统筹、抚恤金、工资</w:t>
            </w:r>
          </w:p>
        </w:tc>
        <w:tc>
          <w:tcPr>
            <w:tcW w:w="2268" w:type="dxa"/>
            <w:vAlign w:val="center"/>
          </w:tcPr>
          <w:p>
            <w:pPr>
              <w:pStyle w:val="12"/>
            </w:pPr>
            <w:r>
              <w:t>≥90%</w:t>
            </w:r>
          </w:p>
        </w:tc>
        <w:tc>
          <w:tcPr>
            <w:tcW w:w="1276" w:type="dxa"/>
            <w:vAlign w:val="center"/>
          </w:tcPr>
          <w:p>
            <w:pPr>
              <w:pStyle w:val="12"/>
            </w:pPr>
            <w:r>
              <w:t>按月缴纳关闭煤矿医疗保险费及军转干部医疗费、按时发放非统筹、抚恤金、工资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3、本级安全生产专项绩效目标表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13020524P00904910001G</w:t>
            </w:r>
          </w:p>
        </w:tc>
        <w:tc>
          <w:tcPr>
            <w:tcW w:w="2835" w:type="dxa"/>
            <w:vAlign w:val="center"/>
          </w:tcPr>
          <w:p>
            <w:pPr>
              <w:pStyle w:val="10"/>
            </w:pPr>
            <w:r>
              <w:t>项目名称</w:t>
            </w:r>
          </w:p>
        </w:tc>
        <w:tc>
          <w:tcPr>
            <w:tcW w:w="6094" w:type="dxa"/>
            <w:gridSpan w:val="3"/>
            <w:vAlign w:val="center"/>
          </w:tcPr>
          <w:p>
            <w:pPr>
              <w:pStyle w:val="12"/>
            </w:pPr>
            <w:r>
              <w:t>本级安全生产专项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安全生产应急救援体系建设，开展宣传教育培训以及用于支付监管监察</w:t>
            </w:r>
            <w:r>
              <w:rPr>
                <w:rFonts w:hint="eastAsia"/>
                <w:lang w:eastAsia="zh-CN"/>
              </w:rPr>
              <w:t>部门</w:t>
            </w:r>
            <w:r>
              <w:t>的技术装备、执法经费、专家费用，发现、纠正、督促企业消除各类隐患，预防和减少事故的发生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1.安全生产应急救援体系建设</w:t>
            </w:r>
          </w:p>
          <w:p>
            <w:pPr>
              <w:pStyle w:val="12"/>
            </w:pPr>
            <w:r>
              <w:t>2.开展宣传教育培训以及拥有执法监管</w:t>
            </w:r>
            <w:r>
              <w:rPr>
                <w:rFonts w:hint="eastAsia"/>
                <w:lang w:eastAsia="zh-CN"/>
              </w:rPr>
              <w:t>部门</w:t>
            </w:r>
            <w:r>
              <w:t>的技术装备、执法经费、专家费用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应急管理执法监察检查覆盖率</w:t>
            </w:r>
          </w:p>
        </w:tc>
        <w:tc>
          <w:tcPr>
            <w:tcW w:w="5386" w:type="dxa"/>
            <w:vAlign w:val="center"/>
          </w:tcPr>
          <w:p>
            <w:pPr>
              <w:pStyle w:val="12"/>
            </w:pPr>
            <w:r>
              <w:t>应急管理执法监察检查覆盖率</w:t>
            </w:r>
          </w:p>
        </w:tc>
        <w:tc>
          <w:tcPr>
            <w:tcW w:w="2268" w:type="dxa"/>
            <w:vAlign w:val="center"/>
          </w:tcPr>
          <w:p>
            <w:pPr>
              <w:pStyle w:val="12"/>
            </w:pPr>
            <w:r>
              <w:t>≥90%</w:t>
            </w:r>
          </w:p>
        </w:tc>
        <w:tc>
          <w:tcPr>
            <w:tcW w:w="1276" w:type="dxa"/>
            <w:vAlign w:val="center"/>
          </w:tcPr>
          <w:p>
            <w:pPr>
              <w:pStyle w:val="12"/>
            </w:pPr>
            <w:r>
              <w:t>应急管理执法监察检查覆盖率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构建和完善应急管理监管覆盖</w:t>
            </w:r>
          </w:p>
        </w:tc>
        <w:tc>
          <w:tcPr>
            <w:tcW w:w="5386" w:type="dxa"/>
            <w:vAlign w:val="center"/>
          </w:tcPr>
          <w:p>
            <w:pPr>
              <w:pStyle w:val="12"/>
            </w:pPr>
            <w:r>
              <w:t>应急管理监管覆盖率</w:t>
            </w:r>
          </w:p>
        </w:tc>
        <w:tc>
          <w:tcPr>
            <w:tcW w:w="2268" w:type="dxa"/>
            <w:vAlign w:val="center"/>
          </w:tcPr>
          <w:p>
            <w:pPr>
              <w:pStyle w:val="12"/>
            </w:pPr>
            <w:r>
              <w:t>≥90%</w:t>
            </w:r>
          </w:p>
        </w:tc>
        <w:tc>
          <w:tcPr>
            <w:tcW w:w="1276" w:type="dxa"/>
            <w:vAlign w:val="center"/>
          </w:tcPr>
          <w:p>
            <w:pPr>
              <w:pStyle w:val="12"/>
            </w:pPr>
            <w:r>
              <w:t>应急管理监管覆盖率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锻炼应急救援队伍，提高应急救援能力</w:t>
            </w:r>
          </w:p>
        </w:tc>
        <w:tc>
          <w:tcPr>
            <w:tcW w:w="5386" w:type="dxa"/>
            <w:vAlign w:val="center"/>
          </w:tcPr>
          <w:p>
            <w:pPr>
              <w:pStyle w:val="12"/>
            </w:pPr>
            <w:r>
              <w:t>指导企业完成应急预案编制及应急演练</w:t>
            </w:r>
          </w:p>
        </w:tc>
        <w:tc>
          <w:tcPr>
            <w:tcW w:w="2268" w:type="dxa"/>
            <w:vAlign w:val="center"/>
          </w:tcPr>
          <w:p>
            <w:pPr>
              <w:pStyle w:val="12"/>
            </w:pPr>
            <w:r>
              <w:t>≥90%</w:t>
            </w:r>
          </w:p>
        </w:tc>
        <w:tc>
          <w:tcPr>
            <w:tcW w:w="1276" w:type="dxa"/>
            <w:vAlign w:val="center"/>
          </w:tcPr>
          <w:p>
            <w:pPr>
              <w:pStyle w:val="12"/>
            </w:pPr>
            <w:r>
              <w:t>指导企业完成应急预案编制及应急演练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安全生产应急救援体系建设</w:t>
            </w:r>
          </w:p>
        </w:tc>
        <w:tc>
          <w:tcPr>
            <w:tcW w:w="5386" w:type="dxa"/>
            <w:vAlign w:val="center"/>
          </w:tcPr>
          <w:p>
            <w:pPr>
              <w:pStyle w:val="12"/>
            </w:pPr>
            <w:r>
              <w:t>安全生产应急救援体系建设</w:t>
            </w:r>
          </w:p>
        </w:tc>
        <w:tc>
          <w:tcPr>
            <w:tcW w:w="2268" w:type="dxa"/>
            <w:vAlign w:val="center"/>
          </w:tcPr>
          <w:p>
            <w:pPr>
              <w:pStyle w:val="12"/>
            </w:pPr>
            <w:r>
              <w:t>≥90%</w:t>
            </w:r>
          </w:p>
        </w:tc>
        <w:tc>
          <w:tcPr>
            <w:tcW w:w="1276" w:type="dxa"/>
            <w:vAlign w:val="center"/>
          </w:tcPr>
          <w:p>
            <w:pPr>
              <w:pStyle w:val="12"/>
            </w:pPr>
            <w:r>
              <w:t>安全生产应急救援体系建设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开展隐患排查预防事故演练</w:t>
            </w:r>
          </w:p>
        </w:tc>
        <w:tc>
          <w:tcPr>
            <w:tcW w:w="5386" w:type="dxa"/>
            <w:vAlign w:val="center"/>
          </w:tcPr>
          <w:p>
            <w:pPr>
              <w:pStyle w:val="12"/>
            </w:pPr>
            <w:r>
              <w:t>发现、纠正、督促企业消除各类隐患</w:t>
            </w:r>
          </w:p>
        </w:tc>
        <w:tc>
          <w:tcPr>
            <w:tcW w:w="2268" w:type="dxa"/>
            <w:vAlign w:val="center"/>
          </w:tcPr>
          <w:p>
            <w:pPr>
              <w:pStyle w:val="12"/>
            </w:pPr>
            <w:r>
              <w:t>≥90%</w:t>
            </w:r>
          </w:p>
        </w:tc>
        <w:tc>
          <w:tcPr>
            <w:tcW w:w="1276" w:type="dxa"/>
            <w:vAlign w:val="center"/>
          </w:tcPr>
          <w:p>
            <w:pPr>
              <w:pStyle w:val="12"/>
            </w:pPr>
            <w:r>
              <w:t>发现、纠正、督促企业消除各类隐患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加强危险源监控</w:t>
            </w:r>
          </w:p>
        </w:tc>
        <w:tc>
          <w:tcPr>
            <w:tcW w:w="5386" w:type="dxa"/>
            <w:vAlign w:val="center"/>
          </w:tcPr>
          <w:p>
            <w:pPr>
              <w:pStyle w:val="12"/>
            </w:pPr>
            <w:r>
              <w:t>开展重大危险源执法检查工作</w:t>
            </w:r>
          </w:p>
        </w:tc>
        <w:tc>
          <w:tcPr>
            <w:tcW w:w="2268" w:type="dxa"/>
            <w:vAlign w:val="center"/>
          </w:tcPr>
          <w:p>
            <w:pPr>
              <w:pStyle w:val="12"/>
            </w:pPr>
            <w:r>
              <w:t>≥1次</w:t>
            </w:r>
          </w:p>
        </w:tc>
        <w:tc>
          <w:tcPr>
            <w:tcW w:w="1276" w:type="dxa"/>
            <w:vAlign w:val="center"/>
          </w:tcPr>
          <w:p>
            <w:pPr>
              <w:pStyle w:val="12"/>
            </w:pPr>
            <w:r>
              <w:t>开展重大危险源执法检查工作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建设区级隐患排查治理体系</w:t>
            </w:r>
          </w:p>
        </w:tc>
        <w:tc>
          <w:tcPr>
            <w:tcW w:w="5386" w:type="dxa"/>
            <w:vAlign w:val="center"/>
          </w:tcPr>
          <w:p>
            <w:pPr>
              <w:pStyle w:val="12"/>
            </w:pPr>
            <w:r>
              <w:t>基本建成全区应急管理隐患排查治理体系</w:t>
            </w:r>
          </w:p>
        </w:tc>
        <w:tc>
          <w:tcPr>
            <w:tcW w:w="2268" w:type="dxa"/>
            <w:vAlign w:val="center"/>
          </w:tcPr>
          <w:p>
            <w:pPr>
              <w:pStyle w:val="12"/>
            </w:pPr>
            <w:r>
              <w:t>≥90%</w:t>
            </w:r>
          </w:p>
        </w:tc>
        <w:tc>
          <w:tcPr>
            <w:tcW w:w="1276" w:type="dxa"/>
            <w:vAlign w:val="center"/>
          </w:tcPr>
          <w:p>
            <w:pPr>
              <w:pStyle w:val="12"/>
            </w:pPr>
            <w:r>
              <w:t>基本建成全区应急管理隐患排查治理体系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应急监管服务对象</w:t>
            </w:r>
          </w:p>
        </w:tc>
        <w:tc>
          <w:tcPr>
            <w:tcW w:w="5386" w:type="dxa"/>
            <w:vAlign w:val="center"/>
          </w:tcPr>
          <w:p>
            <w:pPr>
              <w:pStyle w:val="12"/>
            </w:pPr>
            <w:r>
              <w:t>应急监管服务对象度</w:t>
            </w:r>
          </w:p>
        </w:tc>
        <w:tc>
          <w:tcPr>
            <w:tcW w:w="2268" w:type="dxa"/>
            <w:vAlign w:val="center"/>
          </w:tcPr>
          <w:p>
            <w:pPr>
              <w:pStyle w:val="12"/>
            </w:pPr>
            <w:r>
              <w:t>≥90%</w:t>
            </w:r>
          </w:p>
        </w:tc>
        <w:tc>
          <w:tcPr>
            <w:tcW w:w="1276" w:type="dxa"/>
            <w:vAlign w:val="center"/>
          </w:tcPr>
          <w:p>
            <w:pPr>
              <w:pStyle w:val="12"/>
            </w:pPr>
            <w:r>
              <w:t>应急监管服务对象度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4、本级防汛、森林防火、防震救灾、防灾减灾绩效目标表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13020524P00905110001A</w:t>
            </w:r>
          </w:p>
        </w:tc>
        <w:tc>
          <w:tcPr>
            <w:tcW w:w="2835" w:type="dxa"/>
            <w:vAlign w:val="center"/>
          </w:tcPr>
          <w:p>
            <w:pPr>
              <w:pStyle w:val="10"/>
            </w:pPr>
            <w:r>
              <w:t>项目名称</w:t>
            </w:r>
          </w:p>
        </w:tc>
        <w:tc>
          <w:tcPr>
            <w:tcW w:w="6094" w:type="dxa"/>
            <w:gridSpan w:val="3"/>
            <w:vAlign w:val="center"/>
          </w:tcPr>
          <w:p>
            <w:pPr>
              <w:pStyle w:val="12"/>
            </w:pPr>
            <w:r>
              <w:t>本级防汛、森林防火、防震救灾、防灾减灾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115.00</w:t>
            </w:r>
          </w:p>
        </w:tc>
        <w:tc>
          <w:tcPr>
            <w:tcW w:w="2835" w:type="dxa"/>
            <w:vAlign w:val="center"/>
          </w:tcPr>
          <w:p>
            <w:pPr>
              <w:pStyle w:val="10"/>
            </w:pPr>
            <w:r>
              <w:t>其中：财政    资金</w:t>
            </w:r>
          </w:p>
        </w:tc>
        <w:tc>
          <w:tcPr>
            <w:tcW w:w="2551" w:type="dxa"/>
            <w:vAlign w:val="center"/>
          </w:tcPr>
          <w:p>
            <w:pPr>
              <w:pStyle w:val="12"/>
            </w:pPr>
            <w:r>
              <w:t>115.00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有效预防和扑救森林火灾，保障人民生命财产安全，保护森林资源，维护生态安全;防治洪水，防御、减轻洪涝灾害，维护人民的生命和财产安全防御和减轻地震灾害，保护人民生命财产安全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1.有效预防和扑救森林火灾，保障人民生命财产安全，保护森林资源，维护生态安全</w:t>
            </w:r>
          </w:p>
          <w:p>
            <w:pPr>
              <w:pStyle w:val="12"/>
            </w:pPr>
            <w:r>
              <w:t>2.防治洪水，防御、减轻洪涝灾害，维护人民的生命和财产安全，保障社会主义现代化建设顺利进行</w:t>
            </w:r>
          </w:p>
          <w:p>
            <w:pPr>
              <w:pStyle w:val="12"/>
            </w:pPr>
            <w:r>
              <w:t>3.防御和减轻地震灾害，保护人民生命财产安全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财政资金是否拨付到位</w:t>
            </w:r>
          </w:p>
        </w:tc>
        <w:tc>
          <w:tcPr>
            <w:tcW w:w="5386" w:type="dxa"/>
            <w:vAlign w:val="center"/>
          </w:tcPr>
          <w:p>
            <w:pPr>
              <w:pStyle w:val="12"/>
            </w:pPr>
            <w:r>
              <w:t>财政资金是否拨付到位</w:t>
            </w:r>
          </w:p>
        </w:tc>
        <w:tc>
          <w:tcPr>
            <w:tcW w:w="2268" w:type="dxa"/>
            <w:vAlign w:val="center"/>
          </w:tcPr>
          <w:p>
            <w:pPr>
              <w:pStyle w:val="12"/>
            </w:pPr>
            <w:r>
              <w:t>≥90%</w:t>
            </w:r>
          </w:p>
        </w:tc>
        <w:tc>
          <w:tcPr>
            <w:tcW w:w="1276" w:type="dxa"/>
            <w:vAlign w:val="center"/>
          </w:tcPr>
          <w:p>
            <w:pPr>
              <w:pStyle w:val="12"/>
            </w:pPr>
            <w:r>
              <w:t>财政资金是否拨付到位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物资储备保有量</w:t>
            </w:r>
          </w:p>
        </w:tc>
        <w:tc>
          <w:tcPr>
            <w:tcW w:w="5386" w:type="dxa"/>
            <w:vAlign w:val="center"/>
          </w:tcPr>
          <w:p>
            <w:pPr>
              <w:pStyle w:val="12"/>
            </w:pPr>
            <w:r>
              <w:t>物资储备是否到位</w:t>
            </w:r>
          </w:p>
        </w:tc>
        <w:tc>
          <w:tcPr>
            <w:tcW w:w="2268" w:type="dxa"/>
            <w:vAlign w:val="center"/>
          </w:tcPr>
          <w:p>
            <w:pPr>
              <w:pStyle w:val="12"/>
            </w:pPr>
            <w:r>
              <w:t>≥90%</w:t>
            </w:r>
          </w:p>
        </w:tc>
        <w:tc>
          <w:tcPr>
            <w:tcW w:w="1276" w:type="dxa"/>
            <w:vAlign w:val="center"/>
          </w:tcPr>
          <w:p>
            <w:pPr>
              <w:pStyle w:val="12"/>
            </w:pPr>
            <w:r>
              <w:t>物资储备是否到位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物资储备时限</w:t>
            </w:r>
          </w:p>
        </w:tc>
        <w:tc>
          <w:tcPr>
            <w:tcW w:w="5386" w:type="dxa"/>
            <w:vAlign w:val="center"/>
          </w:tcPr>
          <w:p>
            <w:pPr>
              <w:pStyle w:val="12"/>
            </w:pPr>
            <w:r>
              <w:t>资金拨付后90天物资采购到位</w:t>
            </w:r>
          </w:p>
        </w:tc>
        <w:tc>
          <w:tcPr>
            <w:tcW w:w="2268" w:type="dxa"/>
            <w:vAlign w:val="center"/>
          </w:tcPr>
          <w:p>
            <w:pPr>
              <w:pStyle w:val="12"/>
            </w:pPr>
            <w:r>
              <w:t>≥90%</w:t>
            </w:r>
          </w:p>
        </w:tc>
        <w:tc>
          <w:tcPr>
            <w:tcW w:w="1276" w:type="dxa"/>
            <w:vAlign w:val="center"/>
          </w:tcPr>
          <w:p>
            <w:pPr>
              <w:pStyle w:val="12"/>
            </w:pPr>
            <w:r>
              <w:t>资金拨付后90天物资采购到位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装备设备数量</w:t>
            </w:r>
          </w:p>
        </w:tc>
        <w:tc>
          <w:tcPr>
            <w:tcW w:w="5386" w:type="dxa"/>
            <w:vAlign w:val="center"/>
          </w:tcPr>
          <w:p>
            <w:pPr>
              <w:pStyle w:val="12"/>
            </w:pPr>
            <w:r>
              <w:t>防汛物资储备、森林扑火、防震减灾、防灾减灾装备设备</w:t>
            </w:r>
          </w:p>
        </w:tc>
        <w:tc>
          <w:tcPr>
            <w:tcW w:w="2268" w:type="dxa"/>
            <w:vAlign w:val="center"/>
          </w:tcPr>
          <w:p>
            <w:pPr>
              <w:pStyle w:val="12"/>
            </w:pPr>
            <w:r>
              <w:t>≥90%</w:t>
            </w:r>
          </w:p>
        </w:tc>
        <w:tc>
          <w:tcPr>
            <w:tcW w:w="1276" w:type="dxa"/>
            <w:vAlign w:val="center"/>
          </w:tcPr>
          <w:p>
            <w:pPr>
              <w:pStyle w:val="12"/>
            </w:pPr>
            <w:r>
              <w:t>防汛物资储备、森林扑火、防震减灾、防灾减灾装备设备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防灾减灾救灾及时性</w:t>
            </w:r>
          </w:p>
        </w:tc>
        <w:tc>
          <w:tcPr>
            <w:tcW w:w="5386" w:type="dxa"/>
            <w:vAlign w:val="center"/>
          </w:tcPr>
          <w:p>
            <w:pPr>
              <w:pStyle w:val="12"/>
            </w:pPr>
            <w:r>
              <w:t>长期保障人民的生命和财产安全</w:t>
            </w:r>
          </w:p>
        </w:tc>
        <w:tc>
          <w:tcPr>
            <w:tcW w:w="2268" w:type="dxa"/>
            <w:vAlign w:val="center"/>
          </w:tcPr>
          <w:p>
            <w:pPr>
              <w:pStyle w:val="12"/>
            </w:pPr>
            <w:r>
              <w:t>≥90%</w:t>
            </w:r>
          </w:p>
        </w:tc>
        <w:tc>
          <w:tcPr>
            <w:tcW w:w="1276" w:type="dxa"/>
            <w:vAlign w:val="center"/>
          </w:tcPr>
          <w:p>
            <w:pPr>
              <w:pStyle w:val="12"/>
            </w:pPr>
            <w:r>
              <w:t>长期保障人民的生命和财产安全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基本保障率</w:t>
            </w:r>
          </w:p>
        </w:tc>
        <w:tc>
          <w:tcPr>
            <w:tcW w:w="5386" w:type="dxa"/>
            <w:vAlign w:val="center"/>
          </w:tcPr>
          <w:p>
            <w:pPr>
              <w:pStyle w:val="12"/>
            </w:pPr>
            <w:r>
              <w:t>人民的生命和财产安全得到基本保障</w:t>
            </w:r>
          </w:p>
        </w:tc>
        <w:tc>
          <w:tcPr>
            <w:tcW w:w="2268" w:type="dxa"/>
            <w:vAlign w:val="center"/>
          </w:tcPr>
          <w:p>
            <w:pPr>
              <w:pStyle w:val="12"/>
            </w:pPr>
            <w:r>
              <w:t>≥90%</w:t>
            </w:r>
          </w:p>
        </w:tc>
        <w:tc>
          <w:tcPr>
            <w:tcW w:w="1276" w:type="dxa"/>
            <w:vAlign w:val="center"/>
          </w:tcPr>
          <w:p>
            <w:pPr>
              <w:pStyle w:val="12"/>
            </w:pPr>
            <w:r>
              <w:t>人民的生命和财产安全得到基本保障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为人民群众提供防灾减灾救灾服务的满意程度</w:t>
            </w:r>
          </w:p>
        </w:tc>
        <w:tc>
          <w:tcPr>
            <w:tcW w:w="2268" w:type="dxa"/>
            <w:vAlign w:val="center"/>
          </w:tcPr>
          <w:p>
            <w:pPr>
              <w:pStyle w:val="12"/>
            </w:pPr>
            <w:r>
              <w:t>≥90%</w:t>
            </w:r>
          </w:p>
        </w:tc>
        <w:tc>
          <w:tcPr>
            <w:tcW w:w="1276" w:type="dxa"/>
            <w:vAlign w:val="center"/>
          </w:tcPr>
          <w:p>
            <w:pPr>
              <w:pStyle w:val="12"/>
            </w:pPr>
            <w:r>
              <w:t>为人民群众提供防灾减灾救灾服务的满意程度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5、本级自然灾害综合风险普查经费绩效目标表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13020524P009186100014</w:t>
            </w:r>
          </w:p>
        </w:tc>
        <w:tc>
          <w:tcPr>
            <w:tcW w:w="2835" w:type="dxa"/>
            <w:vAlign w:val="center"/>
          </w:tcPr>
          <w:p>
            <w:pPr>
              <w:pStyle w:val="10"/>
            </w:pPr>
            <w:r>
              <w:t>项目名称</w:t>
            </w:r>
          </w:p>
        </w:tc>
        <w:tc>
          <w:tcPr>
            <w:tcW w:w="6094" w:type="dxa"/>
            <w:gridSpan w:val="3"/>
            <w:vAlign w:val="center"/>
          </w:tcPr>
          <w:p>
            <w:pPr>
              <w:pStyle w:val="12"/>
            </w:pPr>
            <w:r>
              <w:t>本级自然灾害综合风险普查经费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用于开展地震灾害、地质灾害、气象灾害、水旱灾害、海洋灾害、森林和草原火灾等风险要素重点隐患调查与评估，摸清全区灾害风险隐患底数，查明重点区域抗灾能力，客观认识全区灾害综合风险水平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1.用于开展地震灾害、地质灾害、气象灾害、水旱灾害、海洋灾害、森林和草原火灾等风险要素重点隐患调查与评估。</w:t>
            </w:r>
          </w:p>
          <w:p>
            <w:pPr>
              <w:pStyle w:val="12"/>
            </w:pPr>
            <w:r>
              <w:t>2.为开展开平区自然灾害综合风险普查，摸清全区灾害风险隐患底数，查明重点区域抗灾能力，客观认识全区灾害综合风险水平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全区灾害风险隐患底数</w:t>
            </w:r>
          </w:p>
        </w:tc>
        <w:tc>
          <w:tcPr>
            <w:tcW w:w="5386" w:type="dxa"/>
            <w:vAlign w:val="center"/>
          </w:tcPr>
          <w:p>
            <w:pPr>
              <w:pStyle w:val="12"/>
            </w:pPr>
            <w:r>
              <w:t>摸清全区灾害风险隐患底数</w:t>
            </w:r>
          </w:p>
        </w:tc>
        <w:tc>
          <w:tcPr>
            <w:tcW w:w="2268" w:type="dxa"/>
            <w:vAlign w:val="center"/>
          </w:tcPr>
          <w:p>
            <w:pPr>
              <w:pStyle w:val="12"/>
            </w:pPr>
            <w:r>
              <w:t>≥90%</w:t>
            </w:r>
          </w:p>
        </w:tc>
        <w:tc>
          <w:tcPr>
            <w:tcW w:w="1276" w:type="dxa"/>
            <w:vAlign w:val="center"/>
          </w:tcPr>
          <w:p>
            <w:pPr>
              <w:pStyle w:val="12"/>
            </w:pPr>
            <w:r>
              <w:t>摸清全区灾害风险隐患底数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灾害隐患底数</w:t>
            </w:r>
          </w:p>
        </w:tc>
        <w:tc>
          <w:tcPr>
            <w:tcW w:w="5386" w:type="dxa"/>
            <w:vAlign w:val="center"/>
          </w:tcPr>
          <w:p>
            <w:pPr>
              <w:pStyle w:val="12"/>
            </w:pPr>
            <w:r>
              <w:t>灾害隐患底数</w:t>
            </w:r>
          </w:p>
        </w:tc>
        <w:tc>
          <w:tcPr>
            <w:tcW w:w="2268" w:type="dxa"/>
            <w:vAlign w:val="center"/>
          </w:tcPr>
          <w:p>
            <w:pPr>
              <w:pStyle w:val="12"/>
            </w:pPr>
            <w:r>
              <w:t>≥90%</w:t>
            </w:r>
          </w:p>
        </w:tc>
        <w:tc>
          <w:tcPr>
            <w:tcW w:w="1276" w:type="dxa"/>
            <w:vAlign w:val="center"/>
          </w:tcPr>
          <w:p>
            <w:pPr>
              <w:pStyle w:val="12"/>
            </w:pPr>
            <w:r>
              <w:t>灾害隐患底数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客观认识灾害风险水平</w:t>
            </w:r>
          </w:p>
        </w:tc>
        <w:tc>
          <w:tcPr>
            <w:tcW w:w="5386" w:type="dxa"/>
            <w:vAlign w:val="center"/>
          </w:tcPr>
          <w:p>
            <w:pPr>
              <w:pStyle w:val="12"/>
            </w:pPr>
            <w:r>
              <w:t>客观认识灾害风险水平</w:t>
            </w:r>
          </w:p>
        </w:tc>
        <w:tc>
          <w:tcPr>
            <w:tcW w:w="2268" w:type="dxa"/>
            <w:vAlign w:val="center"/>
          </w:tcPr>
          <w:p>
            <w:pPr>
              <w:pStyle w:val="12"/>
            </w:pPr>
            <w:r>
              <w:t>1次</w:t>
            </w:r>
          </w:p>
        </w:tc>
        <w:tc>
          <w:tcPr>
            <w:tcW w:w="1276" w:type="dxa"/>
            <w:vAlign w:val="center"/>
          </w:tcPr>
          <w:p>
            <w:pPr>
              <w:pStyle w:val="12"/>
            </w:pPr>
            <w:r>
              <w:t>客观认识灾害风险水平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提供权威的灾害风险信息和科学决策依据</w:t>
            </w:r>
          </w:p>
        </w:tc>
        <w:tc>
          <w:tcPr>
            <w:tcW w:w="5386" w:type="dxa"/>
            <w:vAlign w:val="center"/>
          </w:tcPr>
          <w:p>
            <w:pPr>
              <w:pStyle w:val="12"/>
            </w:pPr>
            <w:r>
              <w:t>提供权威的灾害风险信息和科学决策依据</w:t>
            </w:r>
          </w:p>
        </w:tc>
        <w:tc>
          <w:tcPr>
            <w:tcW w:w="2268" w:type="dxa"/>
            <w:vAlign w:val="center"/>
          </w:tcPr>
          <w:p>
            <w:pPr>
              <w:pStyle w:val="12"/>
            </w:pPr>
            <w:r>
              <w:t>1次</w:t>
            </w:r>
          </w:p>
        </w:tc>
        <w:tc>
          <w:tcPr>
            <w:tcW w:w="1276" w:type="dxa"/>
            <w:vAlign w:val="center"/>
          </w:tcPr>
          <w:p>
            <w:pPr>
              <w:pStyle w:val="12"/>
            </w:pPr>
            <w:r>
              <w:t>提供权威的灾害风险信息和科学决策依据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基本保障率</w:t>
            </w:r>
          </w:p>
        </w:tc>
        <w:tc>
          <w:tcPr>
            <w:tcW w:w="5386" w:type="dxa"/>
            <w:vAlign w:val="center"/>
          </w:tcPr>
          <w:p>
            <w:pPr>
              <w:pStyle w:val="12"/>
            </w:pPr>
            <w:r>
              <w:t>基本保障率</w:t>
            </w:r>
          </w:p>
        </w:tc>
        <w:tc>
          <w:tcPr>
            <w:tcW w:w="2268" w:type="dxa"/>
            <w:vAlign w:val="center"/>
          </w:tcPr>
          <w:p>
            <w:pPr>
              <w:pStyle w:val="12"/>
            </w:pPr>
            <w:r>
              <w:t>≥90%</w:t>
            </w:r>
          </w:p>
        </w:tc>
        <w:tc>
          <w:tcPr>
            <w:tcW w:w="1276" w:type="dxa"/>
            <w:vAlign w:val="center"/>
          </w:tcPr>
          <w:p>
            <w:pPr>
              <w:pStyle w:val="12"/>
            </w:pPr>
            <w:r>
              <w:t>基本保障率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自然灾害综合风险与减灾能力</w:t>
            </w:r>
            <w:r>
              <w:tab/>
            </w:r>
          </w:p>
          <w:p>
            <w:pPr>
              <w:pStyle w:val="12"/>
            </w:pPr>
          </w:p>
        </w:tc>
        <w:tc>
          <w:tcPr>
            <w:tcW w:w="5386" w:type="dxa"/>
            <w:vAlign w:val="center"/>
          </w:tcPr>
          <w:p>
            <w:pPr>
              <w:pStyle w:val="12"/>
            </w:pPr>
            <w:r>
              <w:t>自然灾害综合风险与减灾能力</w:t>
            </w:r>
            <w:r>
              <w:tab/>
            </w:r>
          </w:p>
          <w:p>
            <w:pPr>
              <w:pStyle w:val="12"/>
            </w:pPr>
          </w:p>
        </w:tc>
        <w:tc>
          <w:tcPr>
            <w:tcW w:w="2268" w:type="dxa"/>
            <w:vAlign w:val="center"/>
          </w:tcPr>
          <w:p>
            <w:pPr>
              <w:pStyle w:val="12"/>
            </w:pPr>
            <w:r>
              <w:t>≥90%</w:t>
            </w:r>
          </w:p>
        </w:tc>
        <w:tc>
          <w:tcPr>
            <w:tcW w:w="1276" w:type="dxa"/>
            <w:vAlign w:val="center"/>
          </w:tcPr>
          <w:p>
            <w:pPr>
              <w:pStyle w:val="12"/>
            </w:pPr>
            <w:r>
              <w:t>自然灾害综合风险与减灾能力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6、唐财建【2023】123号 2024年省级自然灾害救助资金绩效目标表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033" w:type="dxa"/>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8645" w:type="dxa"/>
          <w:trHeight w:val="369" w:hRule="atLeast"/>
          <w:jc w:val="center"/>
        </w:trPr>
        <w:tc>
          <w:tcPr>
            <w:tcW w:w="1276" w:type="dxa"/>
            <w:vAlign w:val="center"/>
          </w:tcPr>
          <w:p>
            <w:pPr>
              <w:pStyle w:val="10"/>
            </w:pPr>
            <w:r>
              <w:t>项目编码</w:t>
            </w:r>
          </w:p>
        </w:tc>
        <w:tc>
          <w:tcPr>
            <w:tcW w:w="5102" w:type="dxa"/>
            <w:vAlign w:val="center"/>
          </w:tcPr>
          <w:p>
            <w:pPr>
              <w:pStyle w:val="12"/>
            </w:pPr>
            <w:r>
              <w:t>13020524P00912310117J</w:t>
            </w:r>
          </w:p>
        </w:tc>
        <w:tc>
          <w:tcPr>
            <w:tcW w:w="2835" w:type="dxa"/>
            <w:gridSpan w:val="2"/>
            <w:vAlign w:val="center"/>
          </w:tcPr>
          <w:p>
            <w:pPr>
              <w:pStyle w:val="10"/>
            </w:pPr>
            <w:r>
              <w:t>项目名称</w:t>
            </w:r>
          </w:p>
        </w:tc>
        <w:tc>
          <w:tcPr>
            <w:tcW w:w="6094" w:type="dxa"/>
            <w:gridSpan w:val="2"/>
            <w:vAlign w:val="center"/>
          </w:tcPr>
          <w:p>
            <w:pPr>
              <w:pStyle w:val="12"/>
            </w:pPr>
            <w:r>
              <w:t>唐财建【2023】123号 2024年省级自然灾害救助资金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29.43</w:t>
            </w:r>
          </w:p>
        </w:tc>
        <w:tc>
          <w:tcPr>
            <w:tcW w:w="2835" w:type="dxa"/>
            <w:gridSpan w:val="3"/>
            <w:vAlign w:val="center"/>
          </w:tcPr>
          <w:p>
            <w:pPr>
              <w:pStyle w:val="10"/>
            </w:pPr>
            <w:r>
              <w:t>其中：财政    资金</w:t>
            </w:r>
          </w:p>
        </w:tc>
        <w:tc>
          <w:tcPr>
            <w:tcW w:w="2551" w:type="dxa"/>
            <w:vAlign w:val="center"/>
          </w:tcPr>
          <w:p>
            <w:pPr>
              <w:pStyle w:val="12"/>
            </w:pPr>
            <w:r>
              <w:t>29.43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Merge w:val="continue"/>
          </w:tcPr>
          <w:p/>
        </w:tc>
        <w:tc>
          <w:tcPr>
            <w:tcW w:w="14031" w:type="dxa"/>
            <w:gridSpan w:val="2"/>
            <w:vAlign w:val="center"/>
          </w:tcPr>
          <w:p>
            <w:pPr>
              <w:pStyle w:val="12"/>
            </w:pPr>
            <w:r>
              <w:t>开展防灾减灾知识宣传和提高农村居民住房灾后重建保障能力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continue"/>
          </w:tcPr>
          <w:p/>
        </w:tc>
        <w:tc>
          <w:tcPr>
            <w:tcW w:w="5102" w:type="dxa"/>
            <w:vAlign w:val="center"/>
          </w:tcPr>
          <w:p>
            <w:pPr>
              <w:pStyle w:val="13"/>
            </w:pPr>
            <w:r>
              <w:t>30%</w:t>
            </w:r>
          </w:p>
        </w:tc>
        <w:tc>
          <w:tcPr>
            <w:tcW w:w="2835" w:type="dxa"/>
            <w:gridSpan w:val="2"/>
            <w:vAlign w:val="center"/>
          </w:tcPr>
          <w:p>
            <w:pPr>
              <w:pStyle w:val="13"/>
            </w:pPr>
            <w:r>
              <w:t>60%</w:t>
            </w:r>
          </w:p>
        </w:tc>
        <w:tc>
          <w:tcPr>
            <w:tcW w:w="2551" w:type="dxa"/>
            <w:gridSpan w:val="2"/>
            <w:vAlign w:val="center"/>
          </w:tcPr>
          <w:p>
            <w:pPr>
              <w:pStyle w:val="13"/>
            </w:pPr>
            <w:r>
              <w:t>90%</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Align w:val="center"/>
          </w:tcPr>
          <w:p>
            <w:pPr>
              <w:pStyle w:val="10"/>
            </w:pPr>
            <w:r>
              <w:t>绩效目标</w:t>
            </w:r>
          </w:p>
        </w:tc>
        <w:tc>
          <w:tcPr>
            <w:tcW w:w="14031" w:type="dxa"/>
            <w:gridSpan w:val="2"/>
            <w:vAlign w:val="center"/>
          </w:tcPr>
          <w:p>
            <w:pPr>
              <w:pStyle w:val="12"/>
            </w:pPr>
            <w:r>
              <w:t>1.开展防灾减灾救灾知识宣传教育，提升人民群众防灾减灾意识和自救互救技能</w:t>
            </w:r>
          </w:p>
          <w:p>
            <w:pPr>
              <w:pStyle w:val="12"/>
            </w:pPr>
            <w:r>
              <w:t>2.提升受灾农户抵御自然灾害和突发事故能力，提高农村居民住房灾后重建保障能力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联合组织应急预案演练活动次数</w:t>
            </w:r>
          </w:p>
        </w:tc>
        <w:tc>
          <w:tcPr>
            <w:tcW w:w="5386" w:type="dxa"/>
            <w:vAlign w:val="center"/>
          </w:tcPr>
          <w:p>
            <w:pPr>
              <w:pStyle w:val="12"/>
            </w:pPr>
            <w:r>
              <w:t>开展组织应急预案演练和防灾减灾宣传活动数量</w:t>
            </w:r>
          </w:p>
        </w:tc>
        <w:tc>
          <w:tcPr>
            <w:tcW w:w="2268" w:type="dxa"/>
            <w:vAlign w:val="center"/>
          </w:tcPr>
          <w:p>
            <w:pPr>
              <w:pStyle w:val="12"/>
            </w:pPr>
            <w:r>
              <w:t>≥12场</w:t>
            </w:r>
          </w:p>
        </w:tc>
        <w:tc>
          <w:tcPr>
            <w:tcW w:w="1276" w:type="dxa"/>
            <w:vAlign w:val="center"/>
          </w:tcPr>
          <w:p>
            <w:pPr>
              <w:pStyle w:val="12"/>
            </w:pPr>
            <w:r>
              <w:t>开展组织应急预案演练和防灾减灾宣传活动数量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开展政策性农房保险地区数量</w:t>
            </w:r>
          </w:p>
        </w:tc>
        <w:tc>
          <w:tcPr>
            <w:tcW w:w="5386" w:type="dxa"/>
            <w:vAlign w:val="center"/>
          </w:tcPr>
          <w:p>
            <w:pPr>
              <w:pStyle w:val="12"/>
            </w:pPr>
            <w:r>
              <w:t>补助和政策性农房保险地区数量</w:t>
            </w:r>
          </w:p>
        </w:tc>
        <w:tc>
          <w:tcPr>
            <w:tcW w:w="2268" w:type="dxa"/>
            <w:vAlign w:val="center"/>
          </w:tcPr>
          <w:p>
            <w:pPr>
              <w:pStyle w:val="12"/>
            </w:pPr>
            <w:r>
              <w:t>1个</w:t>
            </w:r>
          </w:p>
        </w:tc>
        <w:tc>
          <w:tcPr>
            <w:tcW w:w="1276" w:type="dxa"/>
            <w:vAlign w:val="center"/>
          </w:tcPr>
          <w:p>
            <w:pPr>
              <w:pStyle w:val="12"/>
            </w:pPr>
            <w:r>
              <w:t>补助和政策性农房保险地区数量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汛期结束前完成演练活动或防灾减灾宣传活动的次数</w:t>
            </w:r>
          </w:p>
        </w:tc>
        <w:tc>
          <w:tcPr>
            <w:tcW w:w="5386" w:type="dxa"/>
            <w:vAlign w:val="center"/>
          </w:tcPr>
          <w:p>
            <w:pPr>
              <w:pStyle w:val="12"/>
            </w:pPr>
            <w:r>
              <w:t>汛期结束前完成演练活动或防灾减灾宣传活动的次数</w:t>
            </w:r>
          </w:p>
        </w:tc>
        <w:tc>
          <w:tcPr>
            <w:tcW w:w="2268" w:type="dxa"/>
            <w:vAlign w:val="center"/>
          </w:tcPr>
          <w:p>
            <w:pPr>
              <w:pStyle w:val="12"/>
            </w:pPr>
            <w:r>
              <w:t>≥5次</w:t>
            </w:r>
          </w:p>
        </w:tc>
        <w:tc>
          <w:tcPr>
            <w:tcW w:w="1276" w:type="dxa"/>
            <w:vAlign w:val="center"/>
          </w:tcPr>
          <w:p>
            <w:pPr>
              <w:pStyle w:val="12"/>
            </w:pPr>
            <w:r>
              <w:t>汛期结束前完成演练活动或防灾减灾宣传活动的次数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农房保险出险赔付率</w:t>
            </w:r>
          </w:p>
        </w:tc>
        <w:tc>
          <w:tcPr>
            <w:tcW w:w="5386" w:type="dxa"/>
            <w:vAlign w:val="center"/>
          </w:tcPr>
          <w:p>
            <w:pPr>
              <w:pStyle w:val="12"/>
            </w:pPr>
            <w:r>
              <w:t>经鉴定符合承保理赔要求的因灾倒损农房数，占后期理赔比例</w:t>
            </w:r>
          </w:p>
        </w:tc>
        <w:tc>
          <w:tcPr>
            <w:tcW w:w="2268" w:type="dxa"/>
            <w:vAlign w:val="center"/>
          </w:tcPr>
          <w:p>
            <w:pPr>
              <w:pStyle w:val="12"/>
            </w:pPr>
            <w:r>
              <w:t>100%</w:t>
            </w:r>
          </w:p>
        </w:tc>
        <w:tc>
          <w:tcPr>
            <w:tcW w:w="1276" w:type="dxa"/>
            <w:vAlign w:val="center"/>
          </w:tcPr>
          <w:p>
            <w:pPr>
              <w:pStyle w:val="12"/>
            </w:pPr>
            <w:r>
              <w:t>经鉴定符合承保理赔要求的因灾倒损农房数，占后期理赔比例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演练结束后资金支付时间</w:t>
            </w:r>
          </w:p>
        </w:tc>
        <w:tc>
          <w:tcPr>
            <w:tcW w:w="5386" w:type="dxa"/>
            <w:vAlign w:val="center"/>
          </w:tcPr>
          <w:p>
            <w:pPr>
              <w:pStyle w:val="12"/>
            </w:pPr>
            <w:r>
              <w:t>一月内</w:t>
            </w:r>
          </w:p>
        </w:tc>
        <w:tc>
          <w:tcPr>
            <w:tcW w:w="2268" w:type="dxa"/>
            <w:vAlign w:val="center"/>
          </w:tcPr>
          <w:p>
            <w:pPr>
              <w:pStyle w:val="12"/>
            </w:pPr>
            <w:r>
              <w:t>1月内</w:t>
            </w:r>
          </w:p>
        </w:tc>
        <w:tc>
          <w:tcPr>
            <w:tcW w:w="1276" w:type="dxa"/>
            <w:vAlign w:val="center"/>
          </w:tcPr>
          <w:p>
            <w:pPr>
              <w:pStyle w:val="12"/>
            </w:pPr>
            <w:r>
              <w:t>一月内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农房保险到期续保时间</w:t>
            </w:r>
          </w:p>
        </w:tc>
        <w:tc>
          <w:tcPr>
            <w:tcW w:w="5386" w:type="dxa"/>
            <w:vAlign w:val="center"/>
          </w:tcPr>
          <w:p>
            <w:pPr>
              <w:pStyle w:val="12"/>
            </w:pPr>
            <w:r>
              <w:t>一月内</w:t>
            </w:r>
          </w:p>
        </w:tc>
        <w:tc>
          <w:tcPr>
            <w:tcW w:w="2268" w:type="dxa"/>
            <w:vAlign w:val="center"/>
          </w:tcPr>
          <w:p>
            <w:pPr>
              <w:pStyle w:val="12"/>
            </w:pPr>
            <w:r>
              <w:t>1月内</w:t>
            </w:r>
          </w:p>
        </w:tc>
        <w:tc>
          <w:tcPr>
            <w:tcW w:w="1276" w:type="dxa"/>
            <w:vAlign w:val="center"/>
          </w:tcPr>
          <w:p>
            <w:pPr>
              <w:pStyle w:val="12"/>
            </w:pPr>
            <w:r>
              <w:t>一月内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提高人民群众防灾减灾意识</w:t>
            </w:r>
          </w:p>
        </w:tc>
        <w:tc>
          <w:tcPr>
            <w:tcW w:w="5386" w:type="dxa"/>
            <w:vAlign w:val="center"/>
          </w:tcPr>
          <w:p>
            <w:pPr>
              <w:pStyle w:val="12"/>
            </w:pPr>
            <w:r>
              <w:t>较往年有所提高</w:t>
            </w:r>
          </w:p>
        </w:tc>
        <w:tc>
          <w:tcPr>
            <w:tcW w:w="2268" w:type="dxa"/>
            <w:vAlign w:val="center"/>
          </w:tcPr>
          <w:p>
            <w:pPr>
              <w:pStyle w:val="12"/>
            </w:pPr>
            <w:r>
              <w:t>较往年有所提高</w:t>
            </w:r>
          </w:p>
        </w:tc>
        <w:tc>
          <w:tcPr>
            <w:tcW w:w="1276" w:type="dxa"/>
            <w:vAlign w:val="center"/>
          </w:tcPr>
          <w:p>
            <w:pPr>
              <w:pStyle w:val="12"/>
            </w:pPr>
            <w:r>
              <w:t>较往年有所提高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提高农户抵御灾害能力</w:t>
            </w:r>
          </w:p>
        </w:tc>
        <w:tc>
          <w:tcPr>
            <w:tcW w:w="5386" w:type="dxa"/>
            <w:vAlign w:val="center"/>
          </w:tcPr>
          <w:p>
            <w:pPr>
              <w:pStyle w:val="12"/>
            </w:pPr>
            <w:r>
              <w:t>较往年有所提高</w:t>
            </w:r>
          </w:p>
        </w:tc>
        <w:tc>
          <w:tcPr>
            <w:tcW w:w="2268" w:type="dxa"/>
            <w:vAlign w:val="center"/>
          </w:tcPr>
          <w:p>
            <w:pPr>
              <w:pStyle w:val="12"/>
            </w:pPr>
            <w:r>
              <w:t>较往年有所提高</w:t>
            </w:r>
          </w:p>
        </w:tc>
        <w:tc>
          <w:tcPr>
            <w:tcW w:w="1276" w:type="dxa"/>
            <w:vAlign w:val="center"/>
          </w:tcPr>
          <w:p>
            <w:pPr>
              <w:pStyle w:val="12"/>
            </w:pPr>
            <w:r>
              <w:t>较往年有所提高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农房保险参保农户满意度</w:t>
            </w:r>
          </w:p>
        </w:tc>
        <w:tc>
          <w:tcPr>
            <w:tcW w:w="5386" w:type="dxa"/>
            <w:vAlign w:val="center"/>
          </w:tcPr>
          <w:p>
            <w:pPr>
              <w:pStyle w:val="12"/>
            </w:pPr>
            <w:r>
              <w:t>满意度</w:t>
            </w:r>
          </w:p>
        </w:tc>
        <w:tc>
          <w:tcPr>
            <w:tcW w:w="2268" w:type="dxa"/>
            <w:vAlign w:val="center"/>
          </w:tcPr>
          <w:p>
            <w:pPr>
              <w:pStyle w:val="12"/>
            </w:pPr>
            <w:r>
              <w:t>满意度</w:t>
            </w:r>
          </w:p>
        </w:tc>
        <w:tc>
          <w:tcPr>
            <w:tcW w:w="1276" w:type="dxa"/>
            <w:vAlign w:val="center"/>
          </w:tcPr>
          <w:p>
            <w:pPr>
              <w:pStyle w:val="12"/>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参加演练人员、接受宣传人员满意度</w:t>
            </w:r>
          </w:p>
        </w:tc>
        <w:tc>
          <w:tcPr>
            <w:tcW w:w="5386" w:type="dxa"/>
            <w:vAlign w:val="center"/>
          </w:tcPr>
          <w:p>
            <w:pPr>
              <w:pStyle w:val="12"/>
            </w:pPr>
            <w:r>
              <w:t>满意度</w:t>
            </w:r>
          </w:p>
        </w:tc>
        <w:tc>
          <w:tcPr>
            <w:tcW w:w="2268" w:type="dxa"/>
            <w:vAlign w:val="center"/>
          </w:tcPr>
          <w:p>
            <w:pPr>
              <w:pStyle w:val="12"/>
            </w:pPr>
            <w:r>
              <w:t>满意度</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
        <w:gridCol w:w="1134"/>
        <w:gridCol w:w="565"/>
        <w:gridCol w:w="569"/>
        <w:gridCol w:w="395"/>
        <w:gridCol w:w="314"/>
        <w:gridCol w:w="820"/>
        <w:gridCol w:w="30"/>
        <w:gridCol w:w="850"/>
        <w:gridCol w:w="7"/>
        <w:gridCol w:w="247"/>
        <w:gridCol w:w="709"/>
        <w:gridCol w:w="8"/>
        <w:gridCol w:w="842"/>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8"/>
          <w:wAfter w:w="12389" w:type="dxa"/>
          <w:cantSplit/>
          <w:tblHeader/>
          <w:jc w:val="center"/>
        </w:trPr>
        <w:tc>
          <w:tcPr>
            <w:tcW w:w="7342"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7710" w:type="dxa"/>
            <w:gridSpan w:val="2"/>
            <w:tcBorders>
              <w:top w:val="single" w:color="FFFFFF" w:sz="6" w:space="0"/>
              <w:left w:val="single" w:color="FFFFFF" w:sz="6" w:space="0"/>
              <w:right w:val="single" w:color="FFFFFF" w:sz="6" w:space="0"/>
            </w:tcBorders>
            <w:vAlign w:val="center"/>
          </w:tcPr>
          <w:p>
            <w:pPr>
              <w:pStyle w:val="2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9404" w:type="dxa"/>
          <w:cantSplit/>
          <w:tblHeader/>
          <w:jc w:val="center"/>
        </w:trPr>
        <w:tc>
          <w:tcPr>
            <w:tcW w:w="2665" w:type="dxa"/>
            <w:vAlign w:val="center"/>
          </w:tcPr>
          <w:p>
            <w:pPr>
              <w:pStyle w:val="10"/>
            </w:pPr>
            <w:r>
              <w:t>政府采购项目来源</w:t>
            </w:r>
          </w:p>
        </w:tc>
        <w:tc>
          <w:tcPr>
            <w:tcW w:w="1134" w:type="dxa"/>
            <w:vMerge w:val="restart"/>
            <w:vAlign w:val="center"/>
          </w:tcPr>
          <w:p>
            <w:pPr>
              <w:pStyle w:val="10"/>
            </w:pPr>
            <w:r>
              <w:t>采购物品名称</w:t>
            </w:r>
          </w:p>
        </w:tc>
        <w:tc>
          <w:tcPr>
            <w:tcW w:w="1134" w:type="dxa"/>
            <w:gridSpan w:val="2"/>
            <w:vMerge w:val="restart"/>
            <w:vAlign w:val="center"/>
          </w:tcPr>
          <w:p>
            <w:pPr>
              <w:pStyle w:val="10"/>
            </w:pPr>
            <w:r>
              <w:t>政府采购目录序号</w:t>
            </w:r>
          </w:p>
        </w:tc>
        <w:tc>
          <w:tcPr>
            <w:tcW w:w="709" w:type="dxa"/>
            <w:gridSpan w:val="2"/>
            <w:vMerge w:val="restart"/>
            <w:vAlign w:val="center"/>
          </w:tcPr>
          <w:p>
            <w:pPr>
              <w:pStyle w:val="10"/>
              <w:rPr>
                <w:rFonts w:hint="eastAsia" w:eastAsia="方正书宋_GBK"/>
                <w:lang w:eastAsia="zh-CN"/>
              </w:rPr>
            </w:pPr>
            <w:r>
              <w:t xml:space="preserve">计量  </w:t>
            </w:r>
            <w:r>
              <w:rPr>
                <w:rFonts w:hint="eastAsia"/>
                <w:lang w:eastAsia="zh-CN"/>
              </w:rPr>
              <w:t>部门</w:t>
            </w:r>
          </w:p>
        </w:tc>
        <w:tc>
          <w:tcPr>
            <w:tcW w:w="850" w:type="dxa"/>
            <w:gridSpan w:val="2"/>
            <w:vMerge w:val="restart"/>
            <w:vAlign w:val="center"/>
          </w:tcPr>
          <w:p>
            <w:pPr>
              <w:pStyle w:val="10"/>
            </w:pPr>
            <w:r>
              <w:t>数量</w:t>
            </w:r>
          </w:p>
        </w:tc>
        <w:tc>
          <w:tcPr>
            <w:tcW w:w="850" w:type="dxa"/>
            <w:vMerge w:val="restart"/>
            <w:vAlign w:val="center"/>
          </w:tcPr>
          <w:p>
            <w:pPr>
              <w:pStyle w:val="10"/>
            </w:pPr>
            <w:r>
              <w:t>单价</w:t>
            </w:r>
          </w:p>
        </w:tc>
        <w:tc>
          <w:tcPr>
            <w:tcW w:w="6746" w:type="dxa"/>
            <w:vAlign w:val="center"/>
          </w:tcPr>
          <w:p>
            <w:pPr>
              <w:pStyle w:val="10"/>
            </w:pPr>
            <w:r>
              <w:t>政府采购金额（当年</w:t>
            </w:r>
            <w:r>
              <w:rPr>
                <w:rFonts w:hint="eastAsia"/>
                <w:lang w:eastAsia="zh-CN"/>
              </w:rPr>
              <w:t>部门</w:t>
            </w:r>
            <w:r>
              <w:t>预算安排资金）</w:t>
            </w:r>
          </w:p>
        </w:tc>
        <w:tc>
          <w:tcPr>
            <w:tcW w:w="964" w:type="dxa"/>
            <w:gridSpan w:val="3"/>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pPr>
              <w:pStyle w:val="10"/>
            </w:pPr>
            <w:r>
              <w:t>项目名称</w:t>
            </w:r>
          </w:p>
        </w:tc>
        <w:tc>
          <w:tcPr>
            <w:tcW w:w="964" w:type="dxa"/>
            <w:gridSpan w:val="2"/>
            <w:vAlign w:val="center"/>
          </w:tcPr>
          <w:p>
            <w:pPr>
              <w:pStyle w:val="10"/>
            </w:pPr>
            <w:r>
              <w:t>预算    资金</w:t>
            </w:r>
          </w:p>
        </w:tc>
        <w:tc>
          <w:tcPr>
            <w:tcW w:w="1134" w:type="dxa"/>
            <w:gridSpan w:val="2"/>
            <w:vMerge w:val="continue"/>
          </w:tcPr>
          <w:p/>
        </w:tc>
        <w:tc>
          <w:tcPr>
            <w:tcW w:w="1134" w:type="dxa"/>
            <w:gridSpan w:val="4"/>
            <w:vMerge w:val="continue"/>
          </w:tcPr>
          <w:p/>
        </w:tc>
        <w:tc>
          <w:tcPr>
            <w:tcW w:w="709" w:type="dxa"/>
            <w:vMerge w:val="continue"/>
          </w:tcPr>
          <w:p/>
        </w:tc>
        <w:tc>
          <w:tcPr>
            <w:tcW w:w="850" w:type="dxa"/>
            <w:gridSpan w:val="2"/>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rPr>
                <w:rFonts w:hint="eastAsia"/>
                <w:lang w:eastAsia="zh-CN"/>
              </w:rPr>
              <w:t>部门</w:t>
            </w:r>
            <w:r>
              <w:t xml:space="preserve">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gridSpan w:val="3"/>
            <w:vAlign w:val="center"/>
          </w:tcPr>
          <w:p>
            <w:pPr>
              <w:pStyle w:val="14"/>
            </w:pPr>
            <w:r>
              <w:t>合  计</w:t>
            </w:r>
          </w:p>
        </w:tc>
        <w:tc>
          <w:tcPr>
            <w:tcW w:w="964" w:type="dxa"/>
            <w:gridSpan w:val="2"/>
            <w:vAlign w:val="center"/>
          </w:tcPr>
          <w:p>
            <w:pPr>
              <w:pStyle w:val="15"/>
            </w:pPr>
          </w:p>
        </w:tc>
        <w:tc>
          <w:tcPr>
            <w:tcW w:w="1134" w:type="dxa"/>
            <w:gridSpan w:val="2"/>
            <w:vAlign w:val="center"/>
          </w:tcPr>
          <w:p>
            <w:pPr>
              <w:pStyle w:val="16"/>
            </w:pPr>
          </w:p>
        </w:tc>
        <w:tc>
          <w:tcPr>
            <w:tcW w:w="1134" w:type="dxa"/>
            <w:gridSpan w:val="4"/>
            <w:vAlign w:val="center"/>
          </w:tcPr>
          <w:p>
            <w:pPr>
              <w:pStyle w:val="16"/>
            </w:pPr>
          </w:p>
        </w:tc>
        <w:tc>
          <w:tcPr>
            <w:tcW w:w="709" w:type="dxa"/>
            <w:vAlign w:val="center"/>
          </w:tcPr>
          <w:p>
            <w:pPr>
              <w:pStyle w:val="14"/>
            </w:pPr>
          </w:p>
        </w:tc>
        <w:tc>
          <w:tcPr>
            <w:tcW w:w="850" w:type="dxa"/>
            <w:gridSpan w:val="2"/>
            <w:vAlign w:val="center"/>
          </w:tcPr>
          <w:p>
            <w:pPr>
              <w:pStyle w:val="15"/>
            </w:pPr>
          </w:p>
        </w:tc>
        <w:tc>
          <w:tcPr>
            <w:tcW w:w="850" w:type="dxa"/>
            <w:vAlign w:val="center"/>
          </w:tcPr>
          <w:p>
            <w:pPr>
              <w:pStyle w:val="15"/>
            </w:pP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4"/>
            </w:pPr>
            <w:r>
              <w:t>唐山市开平区应急管理局本级小计</w:t>
            </w:r>
          </w:p>
        </w:tc>
        <w:tc>
          <w:tcPr>
            <w:tcW w:w="964" w:type="dxa"/>
            <w:gridSpan w:val="2"/>
            <w:vAlign w:val="center"/>
          </w:tcPr>
          <w:p>
            <w:pPr>
              <w:pStyle w:val="15"/>
            </w:pPr>
          </w:p>
        </w:tc>
        <w:tc>
          <w:tcPr>
            <w:tcW w:w="1134" w:type="dxa"/>
            <w:gridSpan w:val="2"/>
            <w:vAlign w:val="center"/>
          </w:tcPr>
          <w:p>
            <w:pPr>
              <w:pStyle w:val="16"/>
            </w:pPr>
          </w:p>
        </w:tc>
        <w:tc>
          <w:tcPr>
            <w:tcW w:w="1134" w:type="dxa"/>
            <w:gridSpan w:val="4"/>
            <w:vAlign w:val="center"/>
          </w:tcPr>
          <w:p>
            <w:pPr>
              <w:pStyle w:val="16"/>
            </w:pPr>
          </w:p>
        </w:tc>
        <w:tc>
          <w:tcPr>
            <w:tcW w:w="709" w:type="dxa"/>
            <w:vAlign w:val="center"/>
          </w:tcPr>
          <w:p>
            <w:pPr>
              <w:pStyle w:val="14"/>
            </w:pPr>
          </w:p>
        </w:tc>
        <w:tc>
          <w:tcPr>
            <w:tcW w:w="850" w:type="dxa"/>
            <w:gridSpan w:val="2"/>
            <w:vAlign w:val="center"/>
          </w:tcPr>
          <w:p>
            <w:pPr>
              <w:pStyle w:val="15"/>
            </w:pPr>
          </w:p>
        </w:tc>
        <w:tc>
          <w:tcPr>
            <w:tcW w:w="850" w:type="dxa"/>
            <w:vAlign w:val="center"/>
          </w:tcPr>
          <w:p>
            <w:pPr>
              <w:pStyle w:val="15"/>
            </w:pP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本级自然灾害综合风险普查经费</w:t>
            </w:r>
          </w:p>
        </w:tc>
        <w:tc>
          <w:tcPr>
            <w:tcW w:w="964" w:type="dxa"/>
            <w:gridSpan w:val="2"/>
            <w:vAlign w:val="center"/>
          </w:tcPr>
          <w:p>
            <w:pPr>
              <w:pStyle w:val="11"/>
            </w:pPr>
            <w:r>
              <w:t>50.00</w:t>
            </w:r>
          </w:p>
        </w:tc>
        <w:tc>
          <w:tcPr>
            <w:tcW w:w="1134" w:type="dxa"/>
            <w:gridSpan w:val="2"/>
            <w:vAlign w:val="center"/>
          </w:tcPr>
          <w:p>
            <w:pPr>
              <w:pStyle w:val="12"/>
            </w:pPr>
            <w:r>
              <w:t>其他服务</w:t>
            </w:r>
          </w:p>
        </w:tc>
        <w:tc>
          <w:tcPr>
            <w:tcW w:w="1134" w:type="dxa"/>
            <w:gridSpan w:val="4"/>
            <w:vAlign w:val="center"/>
          </w:tcPr>
          <w:p>
            <w:pPr>
              <w:pStyle w:val="12"/>
            </w:pPr>
            <w:r>
              <w:t>C99000000</w:t>
            </w:r>
          </w:p>
        </w:tc>
        <w:tc>
          <w:tcPr>
            <w:tcW w:w="709" w:type="dxa"/>
            <w:vAlign w:val="center"/>
          </w:tcPr>
          <w:p>
            <w:pPr>
              <w:pStyle w:val="13"/>
            </w:pPr>
            <w:r>
              <w:t>万元</w:t>
            </w:r>
          </w:p>
        </w:tc>
        <w:tc>
          <w:tcPr>
            <w:tcW w:w="850" w:type="dxa"/>
            <w:gridSpan w:val="2"/>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唐山市开平区应急管理局（含所属</w:t>
      </w:r>
      <w:r>
        <w:rPr>
          <w:rFonts w:hint="eastAsia" w:eastAsia="方正仿宋_GBK"/>
          <w:color w:val="000000"/>
          <w:sz w:val="28"/>
          <w:lang w:eastAsia="zh-CN"/>
        </w:rPr>
        <w:t>部门</w:t>
      </w:r>
      <w:r>
        <w:rPr>
          <w:rFonts w:eastAsia="方正仿宋_GBK"/>
          <w:color w:val="000000"/>
          <w:sz w:val="28"/>
        </w:rPr>
        <w:t>）上年末固定资产金额为95.34万元（详见下表）。本年度拟购置固定资产总额为0.00万元，已按要求列入政府采购预算，详见政府采购预算表。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9"/>
            </w:pPr>
            <w:r>
              <w:t>426唐山市开平区应急管理局</w:t>
            </w:r>
          </w:p>
        </w:tc>
        <w:tc>
          <w:tcPr>
            <w:tcW w:w="5669" w:type="dxa"/>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31.46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274</w:t>
            </w:r>
          </w:p>
        </w:tc>
        <w:tc>
          <w:tcPr>
            <w:tcW w:w="2835" w:type="dxa"/>
            <w:vAlign w:val="center"/>
          </w:tcPr>
          <w:p>
            <w:pPr>
              <w:pStyle w:val="11"/>
            </w:pPr>
            <w:r>
              <w:t>63.88</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b/>
          <w:color w:val="000000"/>
          <w:sz w:val="28"/>
          <w:lang w:eastAsia="zh-CN"/>
        </w:rPr>
        <w:t>部门</w:t>
      </w:r>
      <w:r>
        <w:rPr>
          <w:rFonts w:eastAsia="方正仿宋_GBK"/>
          <w:b/>
          <w:color w:val="000000"/>
          <w:sz w:val="28"/>
        </w:rPr>
        <w:t>资金收入：</w:t>
      </w:r>
      <w:r>
        <w:rPr>
          <w:rFonts w:eastAsia="方正仿宋_GBK"/>
          <w:color w:val="000000"/>
          <w:sz w:val="28"/>
        </w:rPr>
        <w:t>指除财政拨款收入和财政专户管理资金以外的收入，包括事业收入（不含教育收费）、上级补助收入、附属</w:t>
      </w:r>
      <w:r>
        <w:rPr>
          <w:rFonts w:hint="eastAsia" w:eastAsia="方正仿宋_GBK"/>
          <w:color w:val="000000"/>
          <w:sz w:val="28"/>
          <w:lang w:eastAsia="zh-CN"/>
        </w:rPr>
        <w:t>部门</w:t>
      </w:r>
      <w:r>
        <w:rPr>
          <w:rFonts w:eastAsia="方正仿宋_GBK"/>
          <w:color w:val="000000"/>
          <w:sz w:val="28"/>
        </w:rPr>
        <w:t>上缴收入、事业</w:t>
      </w:r>
      <w:r>
        <w:rPr>
          <w:rFonts w:hint="eastAsia" w:eastAsia="方正仿宋_GBK"/>
          <w:color w:val="000000"/>
          <w:sz w:val="28"/>
          <w:lang w:eastAsia="zh-CN"/>
        </w:rPr>
        <w:t>部门</w:t>
      </w:r>
      <w:r>
        <w:rPr>
          <w:rFonts w:eastAsia="方正仿宋_GBK"/>
          <w:color w:val="000000"/>
          <w:sz w:val="28"/>
        </w:rPr>
        <w:t>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w:t>
      </w:r>
      <w:r>
        <w:rPr>
          <w:rFonts w:hint="eastAsia" w:eastAsia="方正仿宋_GBK"/>
          <w:b/>
          <w:color w:val="000000"/>
          <w:sz w:val="28"/>
          <w:lang w:eastAsia="zh-CN"/>
        </w:rPr>
        <w:t>部门</w:t>
      </w:r>
      <w:r>
        <w:rPr>
          <w:rFonts w:eastAsia="方正仿宋_GBK"/>
          <w:b/>
          <w:color w:val="000000"/>
          <w:sz w:val="28"/>
        </w:rPr>
        <w:t>经营收入：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b/>
          <w:color w:val="000000"/>
          <w:sz w:val="28"/>
          <w:lang w:eastAsia="zh-CN"/>
        </w:rPr>
        <w:t>部门</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部门</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部门</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w:t>
      </w:r>
      <w:r>
        <w:rPr>
          <w:rFonts w:hint="eastAsia" w:eastAsia="方正仿宋_GBK"/>
          <w:b/>
          <w:color w:val="000000"/>
          <w:sz w:val="28"/>
          <w:lang w:eastAsia="zh-CN"/>
        </w:rPr>
        <w:t>部门</w:t>
      </w:r>
      <w:r>
        <w:rPr>
          <w:rFonts w:eastAsia="方正仿宋_GBK"/>
          <w:b/>
          <w:color w:val="000000"/>
          <w:sz w:val="28"/>
        </w:rPr>
        <w:t>经营支出：</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部门</w:t>
      </w:r>
      <w:r>
        <w:rPr>
          <w:rFonts w:eastAsia="方正仿宋_GBK"/>
          <w:color w:val="000000"/>
          <w:sz w:val="28"/>
        </w:rPr>
        <w:t>（</w:t>
      </w:r>
      <w:r>
        <w:rPr>
          <w:rFonts w:hint="eastAsia" w:eastAsia="方正仿宋_GBK"/>
          <w:color w:val="000000"/>
          <w:sz w:val="28"/>
          <w:lang w:eastAsia="zh-CN"/>
        </w:rPr>
        <w:t>部门</w:t>
      </w:r>
      <w:r>
        <w:rPr>
          <w:rFonts w:eastAsia="方正仿宋_GBK"/>
          <w:color w:val="000000"/>
          <w:sz w:val="28"/>
        </w:rPr>
        <w:t>）用财政拨款安排的因公出国（境）费、公务用车购置及运维费和公务接待费。其中，因公出国（境）费反映</w:t>
      </w:r>
      <w:r>
        <w:rPr>
          <w:rFonts w:hint="eastAsia" w:eastAsia="方正仿宋_GBK"/>
          <w:color w:val="000000"/>
          <w:sz w:val="28"/>
          <w:lang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公务用车购置支出（含车辆购置税、牌照费）及按规定保留的公务用车燃料费、维修费、过路过桥费、保险费、安全奖励费用等支出；公务接待费反映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部门</w:t>
      </w:r>
      <w:r>
        <w:rPr>
          <w:rFonts w:eastAsia="方正仿宋_GBK"/>
          <w:color w:val="000000"/>
          <w:sz w:val="28"/>
        </w:rPr>
        <w:t>（</w:t>
      </w:r>
      <w:r>
        <w:rPr>
          <w:rFonts w:hint="eastAsia" w:eastAsia="方正仿宋_GBK"/>
          <w:color w:val="000000"/>
          <w:sz w:val="28"/>
          <w:lang w:eastAsia="zh-CN"/>
        </w:rPr>
        <w:t>部门</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DC"/>
    <w:rsid w:val="007F4ADC"/>
    <w:rsid w:val="00BD3400"/>
    <w:rsid w:val="09477ED2"/>
    <w:rsid w:val="193727EA"/>
    <w:rsid w:val="44B46B6E"/>
    <w:rsid w:val="6D75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2024-01-26T16:03:09Z</dcterms:created>
  <dcterms:modified xsi:type="dcterms:W3CDTF">2024-01-26T08:03:09Z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2024-01-26T16:03:07Z</dcterms:created>
  <dcterms:modified xsi:type="dcterms:W3CDTF">2024-01-26T08:03:07Z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2024-01-26T16:03:08Z</dcterms:created>
  <dcterms:modified xsi:type="dcterms:W3CDTF">2024-01-26T08:03:08Z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2024-01-26T16:03:08Z</dcterms:created>
  <dcterms:modified xsi:type="dcterms:W3CDTF">2024-01-26T08:03:08Z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2024-01-26T16:03:05Z</dcterms:created>
  <dcterms:modified xsi:type="dcterms:W3CDTF">2024-01-26T08:03:05Z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2024-01-26T16:03:08Z</dcterms:created>
  <dcterms:modified xsi:type="dcterms:W3CDTF">2024-01-26T08:03:08Z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2024-01-26T16:03:07Z</dcterms:created>
  <dcterms:modified xsi:type="dcterms:W3CDTF">2024-01-26T08:03:07Z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2024-01-26T16:03:09Z</dcterms:created>
  <dcterms:modified xsi:type="dcterms:W3CDTF">2024-01-26T08:03:09Z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2024-01-26T16:03:07Z</dcterms:created>
  <dcterms:modified xsi:type="dcterms:W3CDTF">2024-01-26T08:03:07Z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2024-01-26T16:03:08Z</dcterms:created>
  <dcterms:modified xsi:type="dcterms:W3CDTF">2024-01-26T08:03:08Z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9C30C99-51C9-444A-9B7A-AE6548FED417}">
  <ds:schemaRefs/>
</ds:datastoreItem>
</file>

<file path=customXml/itemProps10.xml><?xml version="1.0" encoding="utf-8"?>
<ds:datastoreItem xmlns:ds="http://schemas.openxmlformats.org/officeDocument/2006/customXml" ds:itemID="{D53DF143-940B-4074-B227-3CFA74078724}">
  <ds:schemaRefs/>
</ds:datastoreItem>
</file>

<file path=customXml/itemProps11.xml><?xml version="1.0" encoding="utf-8"?>
<ds:datastoreItem xmlns:ds="http://schemas.openxmlformats.org/officeDocument/2006/customXml" ds:itemID="{24E364B1-F893-4AFC-B19D-B33C9167E4DD}">
  <ds:schemaRefs/>
</ds:datastoreItem>
</file>

<file path=customXml/itemProps12.xml><?xml version="1.0" encoding="utf-8"?>
<ds:datastoreItem xmlns:ds="http://schemas.openxmlformats.org/officeDocument/2006/customXml" ds:itemID="{9B40BD38-C061-48F3-A562-2EC3F6B8A446}">
  <ds:schemaRefs/>
</ds:datastoreItem>
</file>

<file path=customXml/itemProps13.xml><?xml version="1.0" encoding="utf-8"?>
<ds:datastoreItem xmlns:ds="http://schemas.openxmlformats.org/officeDocument/2006/customXml" ds:itemID="{5186715E-75C4-403B-A649-C7F73CBB56AD}">
  <ds:schemaRefs/>
</ds:datastoreItem>
</file>

<file path=customXml/itemProps14.xml><?xml version="1.0" encoding="utf-8"?>
<ds:datastoreItem xmlns:ds="http://schemas.openxmlformats.org/officeDocument/2006/customXml" ds:itemID="{3E951347-56E2-4ABD-91E1-2968A4EEE6BF}">
  <ds:schemaRefs/>
</ds:datastoreItem>
</file>

<file path=customXml/itemProps15.xml><?xml version="1.0" encoding="utf-8"?>
<ds:datastoreItem xmlns:ds="http://schemas.openxmlformats.org/officeDocument/2006/customXml" ds:itemID="{04F28E42-6C43-49AD-8E94-8A764CE5F8AF}">
  <ds:schemaRefs/>
</ds:datastoreItem>
</file>

<file path=customXml/itemProps16.xml><?xml version="1.0" encoding="utf-8"?>
<ds:datastoreItem xmlns:ds="http://schemas.openxmlformats.org/officeDocument/2006/customXml" ds:itemID="{BFCCA1F1-1CF7-45AC-A186-5279990BD898}">
  <ds:schemaRefs/>
</ds:datastoreItem>
</file>

<file path=customXml/itemProps17.xml><?xml version="1.0" encoding="utf-8"?>
<ds:datastoreItem xmlns:ds="http://schemas.openxmlformats.org/officeDocument/2006/customXml" ds:itemID="{D2A647C7-3703-4434-8301-6F42F944E47B}">
  <ds:schemaRefs/>
</ds:datastoreItem>
</file>

<file path=customXml/itemProps18.xml><?xml version="1.0" encoding="utf-8"?>
<ds:datastoreItem xmlns:ds="http://schemas.openxmlformats.org/officeDocument/2006/customXml" ds:itemID="{58EF0405-B689-46D3-9378-525437CD5511}">
  <ds:schemaRefs/>
</ds:datastoreItem>
</file>

<file path=customXml/itemProps19.xml><?xml version="1.0" encoding="utf-8"?>
<ds:datastoreItem xmlns:ds="http://schemas.openxmlformats.org/officeDocument/2006/customXml" ds:itemID="{CDEEE793-8FE5-4DFC-A9CB-4656593507D1}">
  <ds:schemaRefs/>
</ds:datastoreItem>
</file>

<file path=customXml/itemProps2.xml><?xml version="1.0" encoding="utf-8"?>
<ds:datastoreItem xmlns:ds="http://schemas.openxmlformats.org/officeDocument/2006/customXml" ds:itemID="{2CD7DB7C-D707-4A15-935D-F8E48A920106}">
  <ds:schemaRefs/>
</ds:datastoreItem>
</file>

<file path=customXml/itemProps20.xml><?xml version="1.0" encoding="utf-8"?>
<ds:datastoreItem xmlns:ds="http://schemas.openxmlformats.org/officeDocument/2006/customXml" ds:itemID="{C9B89BD7-1D59-42EF-9BAE-983DBE80CE70}">
  <ds:schemaRefs/>
</ds:datastoreItem>
</file>

<file path=customXml/itemProps3.xml><?xml version="1.0" encoding="utf-8"?>
<ds:datastoreItem xmlns:ds="http://schemas.openxmlformats.org/officeDocument/2006/customXml" ds:itemID="{BDDEE56B-8240-4C55-9A7C-9B1DB06086B6}">
  <ds:schemaRefs/>
</ds:datastoreItem>
</file>

<file path=customXml/itemProps4.xml><?xml version="1.0" encoding="utf-8"?>
<ds:datastoreItem xmlns:ds="http://schemas.openxmlformats.org/officeDocument/2006/customXml" ds:itemID="{46A73F11-16B1-487F-95A4-114909D29CCB}">
  <ds:schemaRefs/>
</ds:datastoreItem>
</file>

<file path=customXml/itemProps5.xml><?xml version="1.0" encoding="utf-8"?>
<ds:datastoreItem xmlns:ds="http://schemas.openxmlformats.org/officeDocument/2006/customXml" ds:itemID="{98B0ED98-F9A3-4D4B-8792-7877316E979C}">
  <ds:schemaRefs/>
</ds:datastoreItem>
</file>

<file path=customXml/itemProps6.xml><?xml version="1.0" encoding="utf-8"?>
<ds:datastoreItem xmlns:ds="http://schemas.openxmlformats.org/officeDocument/2006/customXml" ds:itemID="{97C7871B-C9D4-4F08-9194-5E575A871F3F}">
  <ds:schemaRefs/>
</ds:datastoreItem>
</file>

<file path=customXml/itemProps7.xml><?xml version="1.0" encoding="utf-8"?>
<ds:datastoreItem xmlns:ds="http://schemas.openxmlformats.org/officeDocument/2006/customXml" ds:itemID="{8457C3EA-89DE-4ABC-913A-5BC818BD2A7A}">
  <ds:schemaRefs/>
</ds:datastoreItem>
</file>

<file path=customXml/itemProps8.xml><?xml version="1.0" encoding="utf-8"?>
<ds:datastoreItem xmlns:ds="http://schemas.openxmlformats.org/officeDocument/2006/customXml" ds:itemID="{615CA4C0-8EA5-489B-A8DB-A6F35A33050A}">
  <ds:schemaRefs/>
</ds:datastoreItem>
</file>

<file path=customXml/itemProps9.xml><?xml version="1.0" encoding="utf-8"?>
<ds:datastoreItem xmlns:ds="http://schemas.openxmlformats.org/officeDocument/2006/customXml" ds:itemID="{BDC52D9E-A392-4682-8758-5FA62AC5700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37</Pages>
  <Words>3053</Words>
  <Characters>17406</Characters>
  <Lines>145</Lines>
  <Paragraphs>40</Paragraphs>
  <TotalTime>6</TotalTime>
  <ScaleCrop>false</ScaleCrop>
  <LinksUpToDate>false</LinksUpToDate>
  <CharactersWithSpaces>20419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2024-01-26T08:32:00Z</dcterms:created>
  <dc:creator>anjianju</dc:creator>
  <cp:lastModifiedBy>Administrator</cp:lastModifiedBy>
  <dcterms:modified xsi:type="dcterms:W3CDTF">2024-10-09T02:01:52Z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B98A9FFFA9D541F09E41212BA4986515</vt:lpwstr>
  </property>
</Properties>
</file>