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一、中国共产党唐山市开平区委员会政法委员会本级收支预算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645.18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559.71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845.18</w:t>
            </w:r>
          </w:p>
        </w:tc>
        <w:tc>
          <w:tcPr>
            <w:tcW w:w="4535" w:type="dxa"/>
            <w:vAlign w:val="center"/>
          </w:tcPr>
          <w:p>
            <w:pPr>
              <w:pStyle w:val="14"/>
            </w:pPr>
            <w:r>
              <w:t>本年支出合计</w:t>
            </w:r>
          </w:p>
        </w:tc>
        <w:tc>
          <w:tcPr>
            <w:tcW w:w="2126" w:type="dxa"/>
            <w:vAlign w:val="center"/>
          </w:tcPr>
          <w:p>
            <w:pPr>
              <w:pStyle w:val="15"/>
            </w:pPr>
            <w:r>
              <w:t>845.18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845.18</w:t>
            </w:r>
          </w:p>
        </w:tc>
        <w:tc>
          <w:tcPr>
            <w:tcW w:w="4535" w:type="dxa"/>
            <w:vAlign w:val="center"/>
          </w:tcPr>
          <w:p>
            <w:pPr>
              <w:pStyle w:val="14"/>
            </w:pPr>
            <w:r>
              <w:t>支出总计</w:t>
            </w:r>
          </w:p>
        </w:tc>
        <w:tc>
          <w:tcPr>
            <w:tcW w:w="2126" w:type="dxa"/>
            <w:vAlign w:val="center"/>
          </w:tcPr>
          <w:p>
            <w:pPr>
              <w:pStyle w:val="15"/>
            </w:pPr>
            <w:r>
              <w:t>845.18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845.18</w:t>
            </w:r>
          </w:p>
        </w:tc>
        <w:tc>
          <w:tcPr>
            <w:tcW w:w="1134" w:type="dxa"/>
            <w:vAlign w:val="center"/>
          </w:tcPr>
          <w:p>
            <w:pPr>
              <w:pStyle w:val="15"/>
            </w:pPr>
            <w:r>
              <w:t>845.18</w:t>
            </w:r>
          </w:p>
        </w:tc>
        <w:tc>
          <w:tcPr>
            <w:tcW w:w="1134" w:type="dxa"/>
            <w:vAlign w:val="center"/>
          </w:tcPr>
          <w:p>
            <w:pPr>
              <w:pStyle w:val="15"/>
            </w:pPr>
            <w:r>
              <w:t>845.18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r>
              <w:t>559.71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r>
              <w:t>16.75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r>
              <w:t>40.49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845.18</w:t>
            </w:r>
          </w:p>
        </w:tc>
        <w:tc>
          <w:tcPr>
            <w:tcW w:w="1361" w:type="dxa"/>
            <w:vAlign w:val="center"/>
          </w:tcPr>
          <w:p>
            <w:pPr>
              <w:pStyle w:val="15"/>
            </w:pPr>
            <w:r>
              <w:t>523.42</w:t>
            </w:r>
          </w:p>
        </w:tc>
        <w:tc>
          <w:tcPr>
            <w:tcW w:w="1361" w:type="dxa"/>
            <w:vAlign w:val="center"/>
          </w:tcPr>
          <w:p>
            <w:pPr>
              <w:pStyle w:val="15"/>
            </w:pPr>
            <w:r>
              <w:t>321.76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559.71</w:t>
            </w:r>
          </w:p>
        </w:tc>
        <w:tc>
          <w:tcPr>
            <w:tcW w:w="1361" w:type="dxa"/>
            <w:vAlign w:val="center"/>
          </w:tcPr>
          <w:p>
            <w:pPr>
              <w:pStyle w:val="11"/>
            </w:pPr>
            <w:r>
              <w:t>437.95</w:t>
            </w:r>
          </w:p>
        </w:tc>
        <w:tc>
          <w:tcPr>
            <w:tcW w:w="1361" w:type="dxa"/>
            <w:vAlign w:val="center"/>
          </w:tcPr>
          <w:p>
            <w:pPr>
              <w:pStyle w:val="11"/>
            </w:pPr>
            <w:r>
              <w:t>121.76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559.71</w:t>
            </w:r>
          </w:p>
        </w:tc>
        <w:tc>
          <w:tcPr>
            <w:tcW w:w="1361" w:type="dxa"/>
            <w:vAlign w:val="center"/>
          </w:tcPr>
          <w:p>
            <w:pPr>
              <w:pStyle w:val="11"/>
            </w:pPr>
            <w:r>
              <w:t>437.95</w:t>
            </w:r>
          </w:p>
        </w:tc>
        <w:tc>
          <w:tcPr>
            <w:tcW w:w="1361" w:type="dxa"/>
            <w:vAlign w:val="center"/>
          </w:tcPr>
          <w:p>
            <w:pPr>
              <w:pStyle w:val="11"/>
            </w:pPr>
            <w:r>
              <w:t>121.76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559.71</w:t>
            </w:r>
          </w:p>
        </w:tc>
        <w:tc>
          <w:tcPr>
            <w:tcW w:w="1361" w:type="dxa"/>
            <w:vAlign w:val="center"/>
          </w:tcPr>
          <w:p>
            <w:pPr>
              <w:pStyle w:val="11"/>
            </w:pPr>
            <w:r>
              <w:t>437.95</w:t>
            </w:r>
          </w:p>
        </w:tc>
        <w:tc>
          <w:tcPr>
            <w:tcW w:w="1361" w:type="dxa"/>
            <w:vAlign w:val="center"/>
          </w:tcPr>
          <w:p>
            <w:pPr>
              <w:pStyle w:val="11"/>
            </w:pPr>
            <w:r>
              <w:t>121.76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16.75</w:t>
            </w:r>
          </w:p>
        </w:tc>
        <w:tc>
          <w:tcPr>
            <w:tcW w:w="1361" w:type="dxa"/>
            <w:vAlign w:val="center"/>
          </w:tcPr>
          <w:p>
            <w:pPr>
              <w:pStyle w:val="11"/>
            </w:pPr>
            <w:r>
              <w:t>16.75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40.49</w:t>
            </w:r>
          </w:p>
        </w:tc>
        <w:tc>
          <w:tcPr>
            <w:tcW w:w="1361" w:type="dxa"/>
            <w:vAlign w:val="center"/>
          </w:tcPr>
          <w:p>
            <w:pPr>
              <w:pStyle w:val="11"/>
            </w:pPr>
            <w:r>
              <w:t>40.49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40.49</w:t>
            </w:r>
          </w:p>
        </w:tc>
        <w:tc>
          <w:tcPr>
            <w:tcW w:w="1361" w:type="dxa"/>
            <w:vAlign w:val="center"/>
          </w:tcPr>
          <w:p>
            <w:pPr>
              <w:pStyle w:val="11"/>
            </w:pPr>
            <w:r>
              <w:t>40.49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40.49</w:t>
            </w:r>
          </w:p>
        </w:tc>
        <w:tc>
          <w:tcPr>
            <w:tcW w:w="1361" w:type="dxa"/>
            <w:vAlign w:val="center"/>
          </w:tcPr>
          <w:p>
            <w:pPr>
              <w:pStyle w:val="11"/>
            </w:pPr>
            <w:r>
              <w:t>40.49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28.23</w:t>
            </w:r>
          </w:p>
        </w:tc>
        <w:tc>
          <w:tcPr>
            <w:tcW w:w="1361" w:type="dxa"/>
            <w:vAlign w:val="center"/>
          </w:tcPr>
          <w:p>
            <w:pPr>
              <w:pStyle w:val="11"/>
            </w:pPr>
            <w:r>
              <w:t>28.23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28.23</w:t>
            </w:r>
          </w:p>
        </w:tc>
        <w:tc>
          <w:tcPr>
            <w:tcW w:w="1361" w:type="dxa"/>
            <w:vAlign w:val="center"/>
          </w:tcPr>
          <w:p>
            <w:pPr>
              <w:pStyle w:val="11"/>
            </w:pPr>
            <w:r>
              <w:t>28.23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28.23</w:t>
            </w:r>
          </w:p>
        </w:tc>
        <w:tc>
          <w:tcPr>
            <w:tcW w:w="1361" w:type="dxa"/>
            <w:vAlign w:val="center"/>
          </w:tcPr>
          <w:p>
            <w:pPr>
              <w:pStyle w:val="11"/>
            </w:pPr>
            <w:r>
              <w:t>28.23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645.18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559.71</w:t>
            </w:r>
          </w:p>
        </w:tc>
        <w:tc>
          <w:tcPr>
            <w:tcW w:w="1474" w:type="dxa"/>
            <w:vAlign w:val="center"/>
          </w:tcPr>
          <w:p>
            <w:pPr>
              <w:pStyle w:val="11"/>
            </w:pPr>
            <w:r>
              <w:t>559.71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16.75</w:t>
            </w:r>
          </w:p>
        </w:tc>
        <w:tc>
          <w:tcPr>
            <w:tcW w:w="1474" w:type="dxa"/>
            <w:vAlign w:val="center"/>
          </w:tcPr>
          <w:p>
            <w:pPr>
              <w:pStyle w:val="11"/>
            </w:pPr>
            <w:r>
              <w:t>16.75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40.49</w:t>
            </w:r>
          </w:p>
        </w:tc>
        <w:tc>
          <w:tcPr>
            <w:tcW w:w="1474" w:type="dxa"/>
            <w:vAlign w:val="center"/>
          </w:tcPr>
          <w:p>
            <w:pPr>
              <w:pStyle w:val="11"/>
            </w:pPr>
            <w:r>
              <w:t>40.49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200.00</w:t>
            </w:r>
          </w:p>
        </w:tc>
        <w:tc>
          <w:tcPr>
            <w:tcW w:w="1474" w:type="dxa"/>
            <w:vAlign w:val="center"/>
          </w:tcPr>
          <w:p>
            <w:pPr>
              <w:pStyle w:val="11"/>
            </w:pPr>
          </w:p>
        </w:tc>
        <w:tc>
          <w:tcPr>
            <w:tcW w:w="1474" w:type="dxa"/>
            <w:vAlign w:val="center"/>
          </w:tcPr>
          <w:p>
            <w:pPr>
              <w:pStyle w:val="11"/>
            </w:pPr>
            <w:r>
              <w:t>200.00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28.23</w:t>
            </w:r>
          </w:p>
        </w:tc>
        <w:tc>
          <w:tcPr>
            <w:tcW w:w="1474" w:type="dxa"/>
            <w:vAlign w:val="center"/>
          </w:tcPr>
          <w:p>
            <w:pPr>
              <w:pStyle w:val="11"/>
            </w:pPr>
            <w:r>
              <w:t>28.23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845.18</w:t>
            </w:r>
          </w:p>
        </w:tc>
        <w:tc>
          <w:tcPr>
            <w:tcW w:w="3402" w:type="dxa"/>
            <w:vAlign w:val="center"/>
          </w:tcPr>
          <w:p>
            <w:pPr>
              <w:pStyle w:val="14"/>
            </w:pPr>
            <w:r>
              <w:t>本年支出合计</w:t>
            </w:r>
          </w:p>
        </w:tc>
        <w:tc>
          <w:tcPr>
            <w:tcW w:w="1474" w:type="dxa"/>
            <w:vAlign w:val="center"/>
          </w:tcPr>
          <w:p>
            <w:pPr>
              <w:pStyle w:val="15"/>
            </w:pPr>
            <w:r>
              <w:t>845.18</w:t>
            </w:r>
          </w:p>
        </w:tc>
        <w:tc>
          <w:tcPr>
            <w:tcW w:w="1474" w:type="dxa"/>
            <w:vAlign w:val="center"/>
          </w:tcPr>
          <w:p>
            <w:pPr>
              <w:pStyle w:val="15"/>
            </w:pPr>
            <w:r>
              <w:t>645.18</w:t>
            </w:r>
          </w:p>
        </w:tc>
        <w:tc>
          <w:tcPr>
            <w:tcW w:w="1474" w:type="dxa"/>
            <w:vAlign w:val="center"/>
          </w:tcPr>
          <w:p>
            <w:pPr>
              <w:pStyle w:val="15"/>
            </w:pPr>
            <w:r>
              <w:t>200.00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845.18</w:t>
            </w:r>
          </w:p>
        </w:tc>
        <w:tc>
          <w:tcPr>
            <w:tcW w:w="3402" w:type="dxa"/>
            <w:vAlign w:val="center"/>
          </w:tcPr>
          <w:p>
            <w:pPr>
              <w:pStyle w:val="14"/>
            </w:pPr>
            <w:r>
              <w:t>支出总计</w:t>
            </w:r>
          </w:p>
        </w:tc>
        <w:tc>
          <w:tcPr>
            <w:tcW w:w="1474" w:type="dxa"/>
            <w:vAlign w:val="center"/>
          </w:tcPr>
          <w:p>
            <w:pPr>
              <w:pStyle w:val="15"/>
            </w:pPr>
            <w:r>
              <w:t>845.18</w:t>
            </w:r>
          </w:p>
        </w:tc>
        <w:tc>
          <w:tcPr>
            <w:tcW w:w="1474" w:type="dxa"/>
            <w:vAlign w:val="center"/>
          </w:tcPr>
          <w:p>
            <w:pPr>
              <w:pStyle w:val="15"/>
            </w:pPr>
            <w:r>
              <w:t>645.18</w:t>
            </w:r>
          </w:p>
        </w:tc>
        <w:tc>
          <w:tcPr>
            <w:tcW w:w="1474" w:type="dxa"/>
            <w:vAlign w:val="center"/>
          </w:tcPr>
          <w:p>
            <w:pPr>
              <w:pStyle w:val="15"/>
            </w:pPr>
            <w:r>
              <w:t>200.00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645.18</w:t>
            </w:r>
          </w:p>
        </w:tc>
        <w:tc>
          <w:tcPr>
            <w:tcW w:w="2551" w:type="dxa"/>
            <w:vAlign w:val="center"/>
          </w:tcPr>
          <w:p>
            <w:pPr>
              <w:pStyle w:val="15"/>
            </w:pPr>
            <w:r>
              <w:t>523.42</w:t>
            </w:r>
          </w:p>
        </w:tc>
        <w:tc>
          <w:tcPr>
            <w:tcW w:w="2551" w:type="dxa"/>
            <w:vAlign w:val="center"/>
          </w:tcPr>
          <w:p>
            <w:pPr>
              <w:pStyle w:val="15"/>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559.71</w:t>
            </w:r>
          </w:p>
        </w:tc>
        <w:tc>
          <w:tcPr>
            <w:tcW w:w="2551" w:type="dxa"/>
            <w:vAlign w:val="center"/>
          </w:tcPr>
          <w:p>
            <w:pPr>
              <w:pStyle w:val="11"/>
            </w:pPr>
            <w:r>
              <w:t>437.95</w:t>
            </w:r>
          </w:p>
        </w:tc>
        <w:tc>
          <w:tcPr>
            <w:tcW w:w="2551" w:type="dxa"/>
            <w:vAlign w:val="center"/>
          </w:tcPr>
          <w:p>
            <w:pPr>
              <w:pStyle w:val="11"/>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559.71</w:t>
            </w:r>
          </w:p>
        </w:tc>
        <w:tc>
          <w:tcPr>
            <w:tcW w:w="2551" w:type="dxa"/>
            <w:vAlign w:val="center"/>
          </w:tcPr>
          <w:p>
            <w:pPr>
              <w:pStyle w:val="11"/>
            </w:pPr>
            <w:r>
              <w:t>437.95</w:t>
            </w:r>
          </w:p>
        </w:tc>
        <w:tc>
          <w:tcPr>
            <w:tcW w:w="2551" w:type="dxa"/>
            <w:vAlign w:val="center"/>
          </w:tcPr>
          <w:p>
            <w:pPr>
              <w:pStyle w:val="11"/>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559.71</w:t>
            </w:r>
          </w:p>
        </w:tc>
        <w:tc>
          <w:tcPr>
            <w:tcW w:w="2551" w:type="dxa"/>
            <w:vAlign w:val="center"/>
          </w:tcPr>
          <w:p>
            <w:pPr>
              <w:pStyle w:val="11"/>
            </w:pPr>
            <w:r>
              <w:t>437.95</w:t>
            </w:r>
          </w:p>
        </w:tc>
        <w:tc>
          <w:tcPr>
            <w:tcW w:w="2551" w:type="dxa"/>
            <w:vAlign w:val="center"/>
          </w:tcPr>
          <w:p>
            <w:pPr>
              <w:pStyle w:val="11"/>
            </w:pPr>
            <w:r>
              <w:t>121.76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16.75</w:t>
            </w:r>
          </w:p>
        </w:tc>
        <w:tc>
          <w:tcPr>
            <w:tcW w:w="2551" w:type="dxa"/>
            <w:vAlign w:val="center"/>
          </w:tcPr>
          <w:p>
            <w:pPr>
              <w:pStyle w:val="11"/>
            </w:pPr>
            <w:r>
              <w:t>16.75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40.49</w:t>
            </w:r>
          </w:p>
        </w:tc>
        <w:tc>
          <w:tcPr>
            <w:tcW w:w="2551" w:type="dxa"/>
            <w:vAlign w:val="center"/>
          </w:tcPr>
          <w:p>
            <w:pPr>
              <w:pStyle w:val="11"/>
            </w:pPr>
            <w:r>
              <w:t>40.49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40.49</w:t>
            </w:r>
          </w:p>
        </w:tc>
        <w:tc>
          <w:tcPr>
            <w:tcW w:w="2551" w:type="dxa"/>
            <w:vAlign w:val="center"/>
          </w:tcPr>
          <w:p>
            <w:pPr>
              <w:pStyle w:val="11"/>
            </w:pPr>
            <w:r>
              <w:t>40.49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40.49</w:t>
            </w:r>
          </w:p>
        </w:tc>
        <w:tc>
          <w:tcPr>
            <w:tcW w:w="2551" w:type="dxa"/>
            <w:vAlign w:val="center"/>
          </w:tcPr>
          <w:p>
            <w:pPr>
              <w:pStyle w:val="11"/>
            </w:pPr>
            <w:r>
              <w:t>40.49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523.42</w:t>
            </w:r>
          </w:p>
        </w:tc>
        <w:tc>
          <w:tcPr>
            <w:tcW w:w="2551" w:type="dxa"/>
            <w:vAlign w:val="center"/>
          </w:tcPr>
          <w:p>
            <w:pPr>
              <w:pStyle w:val="15"/>
            </w:pPr>
            <w:r>
              <w:t>476.73</w:t>
            </w:r>
          </w:p>
        </w:tc>
        <w:tc>
          <w:tcPr>
            <w:tcW w:w="2551" w:type="dxa"/>
            <w:vAlign w:val="center"/>
          </w:tcPr>
          <w:p>
            <w:pPr>
              <w:pStyle w:val="15"/>
            </w:pPr>
            <w:r>
              <w:t>46.69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461.08</w:t>
            </w:r>
          </w:p>
        </w:tc>
        <w:tc>
          <w:tcPr>
            <w:tcW w:w="2551" w:type="dxa"/>
            <w:vAlign w:val="center"/>
          </w:tcPr>
          <w:p>
            <w:pPr>
              <w:pStyle w:val="11"/>
            </w:pPr>
            <w:r>
              <w:t>461.08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114.98</w:t>
            </w:r>
          </w:p>
        </w:tc>
        <w:tc>
          <w:tcPr>
            <w:tcW w:w="2551" w:type="dxa"/>
            <w:vAlign w:val="center"/>
          </w:tcPr>
          <w:p>
            <w:pPr>
              <w:pStyle w:val="11"/>
            </w:pPr>
            <w:r>
              <w:t>114.98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127.87</w:t>
            </w:r>
          </w:p>
        </w:tc>
        <w:tc>
          <w:tcPr>
            <w:tcW w:w="2551" w:type="dxa"/>
            <w:vAlign w:val="center"/>
          </w:tcPr>
          <w:p>
            <w:pPr>
              <w:pStyle w:val="11"/>
            </w:pPr>
            <w:r>
              <w:t>127.87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26.55</w:t>
            </w:r>
          </w:p>
        </w:tc>
        <w:tc>
          <w:tcPr>
            <w:tcW w:w="2551" w:type="dxa"/>
            <w:vAlign w:val="center"/>
          </w:tcPr>
          <w:p>
            <w:pPr>
              <w:pStyle w:val="11"/>
            </w:pPr>
            <w:r>
              <w:t>26.55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22.18</w:t>
            </w:r>
          </w:p>
        </w:tc>
        <w:tc>
          <w:tcPr>
            <w:tcW w:w="2551" w:type="dxa"/>
            <w:vAlign w:val="center"/>
          </w:tcPr>
          <w:p>
            <w:pPr>
              <w:pStyle w:val="11"/>
            </w:pPr>
            <w:r>
              <w:t>22.18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36.68</w:t>
            </w:r>
          </w:p>
        </w:tc>
        <w:tc>
          <w:tcPr>
            <w:tcW w:w="2551" w:type="dxa"/>
            <w:vAlign w:val="center"/>
          </w:tcPr>
          <w:p>
            <w:pPr>
              <w:pStyle w:val="11"/>
            </w:pPr>
            <w:r>
              <w:t>36.68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40.49</w:t>
            </w:r>
          </w:p>
        </w:tc>
        <w:tc>
          <w:tcPr>
            <w:tcW w:w="2551" w:type="dxa"/>
            <w:vAlign w:val="center"/>
          </w:tcPr>
          <w:p>
            <w:pPr>
              <w:pStyle w:val="11"/>
            </w:pPr>
            <w:r>
              <w:t>40.49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17.31</w:t>
            </w:r>
          </w:p>
        </w:tc>
        <w:tc>
          <w:tcPr>
            <w:tcW w:w="2551" w:type="dxa"/>
            <w:vAlign w:val="center"/>
          </w:tcPr>
          <w:p>
            <w:pPr>
              <w:pStyle w:val="11"/>
            </w:pPr>
            <w:r>
              <w:t>17.31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46.78</w:t>
            </w:r>
          </w:p>
        </w:tc>
        <w:tc>
          <w:tcPr>
            <w:tcW w:w="2551" w:type="dxa"/>
            <w:vAlign w:val="center"/>
          </w:tcPr>
          <w:p>
            <w:pPr>
              <w:pStyle w:val="11"/>
            </w:pPr>
            <w:r>
              <w:t>46.78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46.69</w:t>
            </w:r>
          </w:p>
        </w:tc>
        <w:tc>
          <w:tcPr>
            <w:tcW w:w="2551" w:type="dxa"/>
            <w:vAlign w:val="center"/>
          </w:tcPr>
          <w:p>
            <w:pPr>
              <w:pStyle w:val="11"/>
            </w:pPr>
          </w:p>
        </w:tc>
        <w:tc>
          <w:tcPr>
            <w:tcW w:w="2551" w:type="dxa"/>
            <w:vAlign w:val="center"/>
          </w:tcPr>
          <w:p>
            <w:pPr>
              <w:pStyle w:val="11"/>
            </w:pPr>
            <w:r>
              <w:t>46.69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7.60</w:t>
            </w:r>
          </w:p>
        </w:tc>
        <w:tc>
          <w:tcPr>
            <w:tcW w:w="2551" w:type="dxa"/>
            <w:vAlign w:val="center"/>
          </w:tcPr>
          <w:p>
            <w:pPr>
              <w:pStyle w:val="11"/>
            </w:pPr>
          </w:p>
        </w:tc>
        <w:tc>
          <w:tcPr>
            <w:tcW w:w="255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2.87</w:t>
            </w:r>
          </w:p>
        </w:tc>
        <w:tc>
          <w:tcPr>
            <w:tcW w:w="2551" w:type="dxa"/>
            <w:vAlign w:val="center"/>
          </w:tcPr>
          <w:p>
            <w:pPr>
              <w:pStyle w:val="11"/>
            </w:pPr>
          </w:p>
        </w:tc>
        <w:tc>
          <w:tcPr>
            <w:tcW w:w="2551" w:type="dxa"/>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15.72</w:t>
            </w:r>
          </w:p>
        </w:tc>
        <w:tc>
          <w:tcPr>
            <w:tcW w:w="2551" w:type="dxa"/>
            <w:vAlign w:val="center"/>
          </w:tcPr>
          <w:p>
            <w:pPr>
              <w:pStyle w:val="11"/>
            </w:pPr>
          </w:p>
        </w:tc>
        <w:tc>
          <w:tcPr>
            <w:tcW w:w="2551" w:type="dxa"/>
            <w:vAlign w:val="center"/>
          </w:tcPr>
          <w:p>
            <w:pPr>
              <w:pStyle w:val="11"/>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15.65</w:t>
            </w:r>
          </w:p>
        </w:tc>
        <w:tc>
          <w:tcPr>
            <w:tcW w:w="2551" w:type="dxa"/>
            <w:vAlign w:val="center"/>
          </w:tcPr>
          <w:p>
            <w:pPr>
              <w:pStyle w:val="11"/>
            </w:pPr>
            <w:r>
              <w:t>15.65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15.65</w:t>
            </w:r>
          </w:p>
        </w:tc>
        <w:tc>
          <w:tcPr>
            <w:tcW w:w="2551" w:type="dxa"/>
            <w:vAlign w:val="center"/>
          </w:tcPr>
          <w:p>
            <w:pPr>
              <w:pStyle w:val="11"/>
            </w:pPr>
            <w:r>
              <w:t>15.65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深入贯彻习近平新时代中国特色社会主义思想，坚持党对中央的核心、全党的核心地位，坚决维护党中央权威和集中统一领导，深入贯彻党的路线方针政策和中央和省委、市委、区委的决策部署，统一全区政法单位思想和行动，确保全区政法单位坚定正确的政治方向。</w:t>
      </w:r>
    </w:p>
    <w:p>
      <w:pPr>
        <w:pStyle w:val="17"/>
      </w:pPr>
      <w:r>
        <w:t>（2）对全区政法工作研究提出全局性部署，推进平安开平、法治开平建设，加强过硬队伍建设，深化智能化建设，坚决维护国家政治安全、确保社会大局稳定、促进社会公平正义、保障人民安居乐业。工作情况动态，分析社会稳定形势，创新完善多部门参与的综治维稳工作机制，协调推动预防、化解影响稳定的社会矛盾和风险，协调应对和处置重大突发事件。</w:t>
      </w:r>
    </w:p>
    <w:p>
      <w:pPr>
        <w:pStyle w:val="17"/>
      </w:pPr>
      <w:r>
        <w:t>（3）加强对政法工作的督查，统筹协调社会治安综合治理、维护社会稳定、反邪教有关法律法规政策的实施工作。</w:t>
      </w:r>
    </w:p>
    <w:p>
      <w:pPr>
        <w:pStyle w:val="17"/>
      </w:pPr>
      <w:r>
        <w:t>（4）组织开展政法领域的调查研究，研究拟订政法工作的重大措施，及时向区委提出建议。</w:t>
      </w:r>
    </w:p>
    <w:p>
      <w:pPr>
        <w:pStyle w:val="17"/>
      </w:pPr>
      <w:r>
        <w:t>（5）掌握分析政法舆情动态，指导协调政法单位媒体网络宣传工作，指导政法单位做好涉及政法工作的重大宣传工作。</w:t>
      </w:r>
    </w:p>
    <w:p>
      <w:pPr>
        <w:pStyle w:val="17"/>
      </w:pPr>
      <w:r>
        <w:t>（6）监督和支持政法单位依法行使职权，指导和协调政法单位密切配合，研究和协调重大、疑难案件，指导政法单位涉法涉诉信访工作，推进严格执法、公正司法。</w:t>
      </w:r>
    </w:p>
    <w:p>
      <w:pPr>
        <w:pStyle w:val="17"/>
      </w:pPr>
      <w:r>
        <w:t>（7）组织研究政法改革中带有方向性、倾向性和普遍性的重大问题，深化政法改革，联系区委全面依法治区委员会办公室。</w:t>
      </w:r>
    </w:p>
    <w:p>
      <w:pPr>
        <w:pStyle w:val="17"/>
      </w:pPr>
      <w:r>
        <w:t>（8）指导推动政法系统党的建设和政法队伍建设，协调和指导全区见义勇为工作、法学会相关工作。</w:t>
      </w:r>
    </w:p>
    <w:p>
      <w:pPr>
        <w:pStyle w:val="17"/>
      </w:pPr>
      <w:r>
        <w:t>（9）统筹推动全区政法系统信息化工作，指导政法智能化建设。</w:t>
      </w:r>
    </w:p>
    <w:p>
      <w:pPr>
        <w:pStyle w:val="17"/>
      </w:pPr>
      <w:r>
        <w:t>（10）完成市委政法委员会、区委交办的其他任务。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中国共产党唐山市开平区委员会政法委员会本级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845.18万元，其中：一般公共预算收入645.18万元，基金预算收入200.00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开平区委员会政法委员会本级年度单位预算中支出预算的总体情况。2024年支出预算845.18万元，其中基本支出523.42万元，包括人员经费476.73万元和日常公用经费46.69万元；项目支出321.76万元，主要为本级小专项扫黑除恶等运转保障经费65.5万元；本级雪亮工程建设服务费200万元；本级严重精神障碍患者监护人责任险费用、以奖代补费用54.26；网格员绩效考核激励2万元。</w:t>
      </w:r>
    </w:p>
    <w:p>
      <w:pPr>
        <w:pStyle w:val="18"/>
      </w:pPr>
      <w:r>
        <w:t>3、比上年增减情况</w:t>
      </w:r>
    </w:p>
    <w:p>
      <w:pPr>
        <w:pStyle w:val="18"/>
      </w:pPr>
      <w:r>
        <w:t>2024年预算收支安排845.18万元，较2023年预算减少285.20万元，其中：基本支出增加56.94万元，主要为新增加2名公务员、6名事业编人员。项目支出减少342.14万元，主要为项目比去年减少。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2024年，我单位机关运行经费共计安排46.69万元，主要用于日常维修、办公用房水电费、办公用房取暖费、办公用房物业管理费等日常运行支出。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6.00万元，其中因公出国（境）费0.00万元；公务用车购置及运维费6.00万元（其中：公务用车购置费为0.00万元，公务用车运维费6.00万元)；公务接待费0.00万元。与2023年相比增加2.00万元，增减变化的主要原因是新增公务用车1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1、本级网格化体系建设经费绩效目标表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13020524P00001610001J</w:t>
            </w:r>
          </w:p>
        </w:tc>
        <w:tc>
          <w:tcPr>
            <w:tcW w:w="2835" w:type="dxa"/>
            <w:vAlign w:val="center"/>
          </w:tcPr>
          <w:p>
            <w:pPr>
              <w:pStyle w:val="10"/>
            </w:pPr>
            <w:r>
              <w:t>项目名称</w:t>
            </w:r>
          </w:p>
        </w:tc>
        <w:tc>
          <w:tcPr>
            <w:tcW w:w="6094" w:type="dxa"/>
            <w:gridSpan w:val="3"/>
            <w:vAlign w:val="center"/>
          </w:tcPr>
          <w:p>
            <w:pPr>
              <w:pStyle w:val="12"/>
            </w:pPr>
            <w:r>
              <w:t>本级网格化体系建设经费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用于本级网格化体系建设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1.打造本级网格化体系建设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资金需求</w:t>
            </w:r>
          </w:p>
        </w:tc>
        <w:tc>
          <w:tcPr>
            <w:tcW w:w="5386" w:type="dxa"/>
            <w:vAlign w:val="center"/>
          </w:tcPr>
          <w:p>
            <w:pPr>
              <w:pStyle w:val="12"/>
            </w:pPr>
            <w:r>
              <w:t>资金需求</w:t>
            </w:r>
          </w:p>
        </w:tc>
        <w:tc>
          <w:tcPr>
            <w:tcW w:w="2268" w:type="dxa"/>
            <w:vAlign w:val="center"/>
          </w:tcPr>
          <w:p>
            <w:pPr>
              <w:pStyle w:val="12"/>
            </w:pPr>
            <w:r>
              <w:t>20000元</w:t>
            </w:r>
          </w:p>
        </w:tc>
        <w:tc>
          <w:tcPr>
            <w:tcW w:w="1276"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节约成本，科学管理</w:t>
            </w:r>
          </w:p>
        </w:tc>
        <w:tc>
          <w:tcPr>
            <w:tcW w:w="5386" w:type="dxa"/>
            <w:vAlign w:val="center"/>
          </w:tcPr>
          <w:p>
            <w:pPr>
              <w:pStyle w:val="12"/>
            </w:pPr>
            <w:r>
              <w:t>节约成本，科学管理</w:t>
            </w:r>
          </w:p>
        </w:tc>
        <w:tc>
          <w:tcPr>
            <w:tcW w:w="2268" w:type="dxa"/>
            <w:vAlign w:val="center"/>
          </w:tcPr>
          <w:p>
            <w:pPr>
              <w:pStyle w:val="12"/>
            </w:pPr>
            <w:r>
              <w:t>节约成本，科学管理</w:t>
            </w:r>
          </w:p>
        </w:tc>
        <w:tc>
          <w:tcPr>
            <w:tcW w:w="1276" w:type="dxa"/>
            <w:vAlign w:val="center"/>
          </w:tcPr>
          <w:p>
            <w:pPr>
              <w:pStyle w:val="12"/>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提高百姓幸福指数</w:t>
            </w:r>
          </w:p>
        </w:tc>
        <w:tc>
          <w:tcPr>
            <w:tcW w:w="5386" w:type="dxa"/>
            <w:vAlign w:val="center"/>
          </w:tcPr>
          <w:p>
            <w:pPr>
              <w:pStyle w:val="12"/>
            </w:pPr>
            <w:r>
              <w:t>提高百姓幸福指数</w:t>
            </w:r>
          </w:p>
        </w:tc>
        <w:tc>
          <w:tcPr>
            <w:tcW w:w="2268" w:type="dxa"/>
            <w:vAlign w:val="center"/>
          </w:tcPr>
          <w:p>
            <w:pPr>
              <w:pStyle w:val="12"/>
            </w:pPr>
            <w:r>
              <w:t>提高百姓幸福指数</w:t>
            </w:r>
          </w:p>
        </w:tc>
        <w:tc>
          <w:tcPr>
            <w:tcW w:w="1276" w:type="dxa"/>
            <w:vAlign w:val="center"/>
          </w:tcPr>
          <w:p>
            <w:pPr>
              <w:pStyle w:val="12"/>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w:t>
            </w:r>
          </w:p>
        </w:tc>
        <w:tc>
          <w:tcPr>
            <w:tcW w:w="5386" w:type="dxa"/>
            <w:vAlign w:val="center"/>
          </w:tcPr>
          <w:p>
            <w:pPr>
              <w:pStyle w:val="12"/>
            </w:pPr>
            <w:r>
              <w:t>持续发挥作用</w:t>
            </w:r>
          </w:p>
        </w:tc>
        <w:tc>
          <w:tcPr>
            <w:tcW w:w="2268" w:type="dxa"/>
            <w:vAlign w:val="center"/>
          </w:tcPr>
          <w:p>
            <w:pPr>
              <w:pStyle w:val="12"/>
            </w:pPr>
            <w:r>
              <w:t>持续发挥作用</w:t>
            </w:r>
          </w:p>
        </w:tc>
        <w:tc>
          <w:tcPr>
            <w:tcW w:w="1276" w:type="dxa"/>
            <w:vAlign w:val="center"/>
          </w:tcPr>
          <w:p>
            <w:pPr>
              <w:pStyle w:val="12"/>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2、本级小专项扫黑除恶等运转保障经费绩效目标表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13020524P00002410001E</w:t>
            </w:r>
          </w:p>
        </w:tc>
        <w:tc>
          <w:tcPr>
            <w:tcW w:w="2835" w:type="dxa"/>
            <w:vAlign w:val="center"/>
          </w:tcPr>
          <w:p>
            <w:pPr>
              <w:pStyle w:val="10"/>
            </w:pPr>
            <w:r>
              <w:t>项目名称</w:t>
            </w:r>
          </w:p>
        </w:tc>
        <w:tc>
          <w:tcPr>
            <w:tcW w:w="6094" w:type="dxa"/>
            <w:gridSpan w:val="3"/>
            <w:vAlign w:val="center"/>
          </w:tcPr>
          <w:p>
            <w:pPr>
              <w:pStyle w:val="12"/>
            </w:pPr>
            <w:r>
              <w:t>本级小专项扫黑除恶等运转保障经费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65.50</w:t>
            </w:r>
          </w:p>
        </w:tc>
        <w:tc>
          <w:tcPr>
            <w:tcW w:w="2835" w:type="dxa"/>
            <w:vAlign w:val="center"/>
          </w:tcPr>
          <w:p>
            <w:pPr>
              <w:pStyle w:val="10"/>
            </w:pPr>
            <w:r>
              <w:t>其中：财政    资金</w:t>
            </w:r>
          </w:p>
        </w:tc>
        <w:tc>
          <w:tcPr>
            <w:tcW w:w="2551" w:type="dxa"/>
            <w:vAlign w:val="center"/>
          </w:tcPr>
          <w:p>
            <w:pPr>
              <w:pStyle w:val="12"/>
            </w:pPr>
            <w:r>
              <w:t>65.50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用于扫黑除恶保障经费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1.用于扫黑除恶等运转保障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专项行动巡逻次数</w:t>
            </w:r>
          </w:p>
        </w:tc>
        <w:tc>
          <w:tcPr>
            <w:tcW w:w="5386" w:type="dxa"/>
            <w:vAlign w:val="center"/>
          </w:tcPr>
          <w:p>
            <w:pPr>
              <w:pStyle w:val="12"/>
            </w:pPr>
            <w:r>
              <w:t>专项行动巡逻次数</w:t>
            </w:r>
          </w:p>
        </w:tc>
        <w:tc>
          <w:tcPr>
            <w:tcW w:w="2268" w:type="dxa"/>
            <w:vAlign w:val="center"/>
          </w:tcPr>
          <w:p>
            <w:pPr>
              <w:pStyle w:val="12"/>
            </w:pPr>
            <w:r>
              <w:t>≥52次</w:t>
            </w:r>
          </w:p>
        </w:tc>
        <w:tc>
          <w:tcPr>
            <w:tcW w:w="1276" w:type="dxa"/>
            <w:vAlign w:val="center"/>
          </w:tcPr>
          <w:p>
            <w:pPr>
              <w:pStyle w:val="12"/>
            </w:pPr>
            <w:r>
              <w:t>专项行动巡逻次数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专项项目验收通过率</w:t>
            </w:r>
          </w:p>
        </w:tc>
        <w:tc>
          <w:tcPr>
            <w:tcW w:w="5386" w:type="dxa"/>
            <w:vAlign w:val="center"/>
          </w:tcPr>
          <w:p>
            <w:pPr>
              <w:pStyle w:val="12"/>
            </w:pPr>
            <w:r>
              <w:t>专项项目验收通过率</w:t>
            </w:r>
          </w:p>
        </w:tc>
        <w:tc>
          <w:tcPr>
            <w:tcW w:w="2268" w:type="dxa"/>
            <w:vAlign w:val="center"/>
          </w:tcPr>
          <w:p>
            <w:pPr>
              <w:pStyle w:val="12"/>
            </w:pPr>
            <w:r>
              <w:t>≥95%</w:t>
            </w:r>
          </w:p>
        </w:tc>
        <w:tc>
          <w:tcPr>
            <w:tcW w:w="1276" w:type="dxa"/>
            <w:vAlign w:val="center"/>
          </w:tcPr>
          <w:p>
            <w:pPr>
              <w:pStyle w:val="12"/>
            </w:pPr>
            <w:r>
              <w:t>专项项目验收通过率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专项项目按期验收率</w:t>
            </w:r>
          </w:p>
        </w:tc>
        <w:tc>
          <w:tcPr>
            <w:tcW w:w="5386" w:type="dxa"/>
            <w:vAlign w:val="center"/>
          </w:tcPr>
          <w:p>
            <w:pPr>
              <w:pStyle w:val="12"/>
            </w:pPr>
            <w:r>
              <w:t>专项项目按期验收率</w:t>
            </w:r>
          </w:p>
        </w:tc>
        <w:tc>
          <w:tcPr>
            <w:tcW w:w="2268" w:type="dxa"/>
            <w:vAlign w:val="center"/>
          </w:tcPr>
          <w:p>
            <w:pPr>
              <w:pStyle w:val="12"/>
            </w:pPr>
            <w:r>
              <w:t>≥95%</w:t>
            </w:r>
          </w:p>
        </w:tc>
        <w:tc>
          <w:tcPr>
            <w:tcW w:w="1276" w:type="dxa"/>
            <w:vAlign w:val="center"/>
          </w:tcPr>
          <w:p>
            <w:pPr>
              <w:pStyle w:val="12"/>
            </w:pPr>
            <w:r>
              <w:t>专项项目按期验收率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5386" w:type="dxa"/>
            <w:vAlign w:val="center"/>
          </w:tcPr>
          <w:p>
            <w:pPr>
              <w:pStyle w:val="12"/>
            </w:pPr>
            <w:r>
              <w:t>项目预算成本</w:t>
            </w:r>
          </w:p>
        </w:tc>
        <w:tc>
          <w:tcPr>
            <w:tcW w:w="2268" w:type="dxa"/>
            <w:vAlign w:val="center"/>
          </w:tcPr>
          <w:p>
            <w:pPr>
              <w:pStyle w:val="12"/>
            </w:pPr>
            <w:r>
              <w:t>≤85%</w:t>
            </w:r>
          </w:p>
        </w:tc>
        <w:tc>
          <w:tcPr>
            <w:tcW w:w="1276" w:type="dxa"/>
            <w:vAlign w:val="center"/>
          </w:tcPr>
          <w:p>
            <w:pPr>
              <w:pStyle w:val="12"/>
            </w:pPr>
            <w:r>
              <w:t>项目预算成本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≥96%</w:t>
            </w:r>
          </w:p>
        </w:tc>
        <w:tc>
          <w:tcPr>
            <w:tcW w:w="1276" w:type="dxa"/>
            <w:vAlign w:val="center"/>
          </w:tcPr>
          <w:p>
            <w:pPr>
              <w:pStyle w:val="12"/>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≥93%</w:t>
            </w:r>
          </w:p>
        </w:tc>
        <w:tc>
          <w:tcPr>
            <w:tcW w:w="1276" w:type="dxa"/>
            <w:vAlign w:val="center"/>
          </w:tcPr>
          <w:p>
            <w:pPr>
              <w:pStyle w:val="12"/>
            </w:pPr>
            <w:r>
              <w:t>增强服务保障能力。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5386" w:type="dxa"/>
            <w:vAlign w:val="center"/>
          </w:tcPr>
          <w:p>
            <w:pPr>
              <w:pStyle w:val="12"/>
            </w:pPr>
            <w:r>
              <w:t>群众满意度</w:t>
            </w:r>
          </w:p>
          <w:p>
            <w:pPr>
              <w:pStyle w:val="12"/>
            </w:pPr>
          </w:p>
          <w:p>
            <w:pPr>
              <w:pStyle w:val="12"/>
            </w:pPr>
          </w:p>
        </w:tc>
        <w:tc>
          <w:tcPr>
            <w:tcW w:w="2268" w:type="dxa"/>
            <w:vAlign w:val="center"/>
          </w:tcPr>
          <w:p>
            <w:pPr>
              <w:pStyle w:val="12"/>
            </w:pPr>
            <w:r>
              <w:t>≥97%</w:t>
            </w:r>
          </w:p>
        </w:tc>
        <w:tc>
          <w:tcPr>
            <w:tcW w:w="1276" w:type="dxa"/>
            <w:vAlign w:val="center"/>
          </w:tcPr>
          <w:p>
            <w:pPr>
              <w:pStyle w:val="12"/>
            </w:pPr>
            <w:r>
              <w:t>群众满意度</w:t>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3、本级雪亮工程建设服务费绩效目标表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13020524P000022100013</w:t>
            </w:r>
          </w:p>
        </w:tc>
        <w:tc>
          <w:tcPr>
            <w:tcW w:w="2835" w:type="dxa"/>
            <w:vAlign w:val="center"/>
          </w:tcPr>
          <w:p>
            <w:pPr>
              <w:pStyle w:val="10"/>
            </w:pPr>
            <w:r>
              <w:t>项目名称</w:t>
            </w:r>
          </w:p>
        </w:tc>
        <w:tc>
          <w:tcPr>
            <w:tcW w:w="6094" w:type="dxa"/>
            <w:gridSpan w:val="3"/>
            <w:vAlign w:val="center"/>
          </w:tcPr>
          <w:p>
            <w:pPr>
              <w:pStyle w:val="12"/>
            </w:pPr>
            <w:r>
              <w:t>本级雪亮工程建设服务费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结算雪亮工程建设资金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1.结算雪亮工程建设资金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资金需求</w:t>
            </w:r>
          </w:p>
        </w:tc>
        <w:tc>
          <w:tcPr>
            <w:tcW w:w="2268" w:type="dxa"/>
            <w:vAlign w:val="center"/>
          </w:tcPr>
          <w:p>
            <w:pPr>
              <w:pStyle w:val="12"/>
            </w:pPr>
            <w:r>
              <w:t>2000000</w:t>
            </w:r>
          </w:p>
        </w:tc>
        <w:tc>
          <w:tcPr>
            <w:tcW w:w="1276" w:type="dxa"/>
            <w:vAlign w:val="center"/>
          </w:tcPr>
          <w:p>
            <w:pPr>
              <w:pStyle w:val="12"/>
            </w:pP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节约成本，科学管理</w:t>
            </w:r>
          </w:p>
        </w:tc>
        <w:tc>
          <w:tcPr>
            <w:tcW w:w="5386" w:type="dxa"/>
            <w:vAlign w:val="center"/>
          </w:tcPr>
          <w:p>
            <w:pPr>
              <w:pStyle w:val="12"/>
            </w:pPr>
            <w:r>
              <w:t>节约成本，科学管理</w:t>
            </w:r>
          </w:p>
        </w:tc>
        <w:tc>
          <w:tcPr>
            <w:tcW w:w="2268" w:type="dxa"/>
            <w:vAlign w:val="center"/>
          </w:tcPr>
          <w:p>
            <w:pPr>
              <w:pStyle w:val="12"/>
            </w:pPr>
            <w:r>
              <w:t>节约成本，科学管理</w:t>
            </w:r>
          </w:p>
        </w:tc>
        <w:tc>
          <w:tcPr>
            <w:tcW w:w="1276" w:type="dxa"/>
            <w:vAlign w:val="center"/>
          </w:tcPr>
          <w:p>
            <w:pPr>
              <w:pStyle w:val="12"/>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提高百姓幸福指数</w:t>
            </w:r>
          </w:p>
        </w:tc>
        <w:tc>
          <w:tcPr>
            <w:tcW w:w="5386" w:type="dxa"/>
            <w:vAlign w:val="center"/>
          </w:tcPr>
          <w:p>
            <w:pPr>
              <w:pStyle w:val="12"/>
            </w:pPr>
            <w:r>
              <w:t>提高百姓幸福指数</w:t>
            </w:r>
          </w:p>
        </w:tc>
        <w:tc>
          <w:tcPr>
            <w:tcW w:w="2268" w:type="dxa"/>
            <w:vAlign w:val="center"/>
          </w:tcPr>
          <w:p>
            <w:pPr>
              <w:pStyle w:val="12"/>
            </w:pPr>
            <w:r>
              <w:t>提高百姓幸福指数</w:t>
            </w:r>
          </w:p>
        </w:tc>
        <w:tc>
          <w:tcPr>
            <w:tcW w:w="1276" w:type="dxa"/>
            <w:vAlign w:val="center"/>
          </w:tcPr>
          <w:p>
            <w:pPr>
              <w:pStyle w:val="12"/>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w:t>
            </w:r>
          </w:p>
        </w:tc>
        <w:tc>
          <w:tcPr>
            <w:tcW w:w="5386" w:type="dxa"/>
            <w:vAlign w:val="center"/>
          </w:tcPr>
          <w:p>
            <w:pPr>
              <w:pStyle w:val="12"/>
            </w:pPr>
            <w:r>
              <w:t>持续发挥作用</w:t>
            </w:r>
          </w:p>
        </w:tc>
        <w:tc>
          <w:tcPr>
            <w:tcW w:w="2268" w:type="dxa"/>
            <w:vAlign w:val="center"/>
          </w:tcPr>
          <w:p>
            <w:pPr>
              <w:pStyle w:val="12"/>
            </w:pPr>
            <w:r>
              <w:t>持续发挥作用</w:t>
            </w:r>
          </w:p>
        </w:tc>
        <w:tc>
          <w:tcPr>
            <w:tcW w:w="1276" w:type="dxa"/>
            <w:vAlign w:val="center"/>
          </w:tcPr>
          <w:p>
            <w:pPr>
              <w:pStyle w:val="12"/>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4、本级严重精神障碍患者监护人责任险费用、以奖代补费用绩效目标表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13020524P00000710002L</w:t>
            </w:r>
          </w:p>
        </w:tc>
        <w:tc>
          <w:tcPr>
            <w:tcW w:w="2835" w:type="dxa"/>
            <w:vAlign w:val="center"/>
          </w:tcPr>
          <w:p>
            <w:pPr>
              <w:pStyle w:val="10"/>
            </w:pPr>
            <w:r>
              <w:t>项目名称</w:t>
            </w:r>
          </w:p>
        </w:tc>
        <w:tc>
          <w:tcPr>
            <w:tcW w:w="6094" w:type="dxa"/>
            <w:gridSpan w:val="3"/>
            <w:vAlign w:val="center"/>
          </w:tcPr>
          <w:p>
            <w:pPr>
              <w:pStyle w:val="12"/>
            </w:pPr>
            <w:r>
              <w:t>本级严重精神障碍患者监护人责任险费用、以奖代补费用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54.26</w:t>
            </w:r>
          </w:p>
        </w:tc>
        <w:tc>
          <w:tcPr>
            <w:tcW w:w="2835" w:type="dxa"/>
            <w:vAlign w:val="center"/>
          </w:tcPr>
          <w:p>
            <w:pPr>
              <w:pStyle w:val="10"/>
            </w:pPr>
            <w:r>
              <w:t>其中：财政    资金</w:t>
            </w:r>
          </w:p>
        </w:tc>
        <w:tc>
          <w:tcPr>
            <w:tcW w:w="2551" w:type="dxa"/>
            <w:vAlign w:val="center"/>
          </w:tcPr>
          <w:p>
            <w:pPr>
              <w:pStyle w:val="12"/>
            </w:pPr>
            <w:r>
              <w:t>54.26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严重精神障碍患者监护人责任险、以奖代补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1.打造平安开平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资金需求</w:t>
            </w:r>
          </w:p>
        </w:tc>
        <w:tc>
          <w:tcPr>
            <w:tcW w:w="5386" w:type="dxa"/>
            <w:vAlign w:val="center"/>
          </w:tcPr>
          <w:p>
            <w:pPr>
              <w:pStyle w:val="12"/>
            </w:pPr>
            <w:r>
              <w:t>资金需求</w:t>
            </w:r>
          </w:p>
        </w:tc>
        <w:tc>
          <w:tcPr>
            <w:tcW w:w="2268" w:type="dxa"/>
            <w:vAlign w:val="center"/>
          </w:tcPr>
          <w:p>
            <w:pPr>
              <w:pStyle w:val="12"/>
            </w:pPr>
            <w:r>
              <w:t>542600元</w:t>
            </w:r>
          </w:p>
        </w:tc>
        <w:tc>
          <w:tcPr>
            <w:tcW w:w="1276" w:type="dxa"/>
            <w:vAlign w:val="center"/>
          </w:tcPr>
          <w:p>
            <w:pPr>
              <w:pStyle w:val="12"/>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节约成本，科学管理</w:t>
            </w:r>
          </w:p>
        </w:tc>
        <w:tc>
          <w:tcPr>
            <w:tcW w:w="5386" w:type="dxa"/>
            <w:vAlign w:val="center"/>
          </w:tcPr>
          <w:p>
            <w:pPr>
              <w:pStyle w:val="12"/>
            </w:pPr>
            <w:r>
              <w:t>节约成本，科学管理</w:t>
            </w:r>
          </w:p>
        </w:tc>
        <w:tc>
          <w:tcPr>
            <w:tcW w:w="2268" w:type="dxa"/>
            <w:vAlign w:val="center"/>
          </w:tcPr>
          <w:p>
            <w:pPr>
              <w:pStyle w:val="12"/>
            </w:pPr>
            <w:r>
              <w:t>节约成本，科学管理</w:t>
            </w:r>
          </w:p>
        </w:tc>
        <w:tc>
          <w:tcPr>
            <w:tcW w:w="1276" w:type="dxa"/>
            <w:vAlign w:val="center"/>
          </w:tcPr>
          <w:p>
            <w:pPr>
              <w:pStyle w:val="12"/>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提高百姓幸福指数</w:t>
            </w:r>
          </w:p>
        </w:tc>
        <w:tc>
          <w:tcPr>
            <w:tcW w:w="5386" w:type="dxa"/>
            <w:vAlign w:val="center"/>
          </w:tcPr>
          <w:p>
            <w:pPr>
              <w:pStyle w:val="12"/>
            </w:pPr>
            <w:r>
              <w:t>提高百姓幸福指数</w:t>
            </w:r>
          </w:p>
        </w:tc>
        <w:tc>
          <w:tcPr>
            <w:tcW w:w="2268" w:type="dxa"/>
            <w:vAlign w:val="center"/>
          </w:tcPr>
          <w:p>
            <w:pPr>
              <w:pStyle w:val="12"/>
            </w:pPr>
            <w:r>
              <w:t>提高百姓幸福指数</w:t>
            </w:r>
          </w:p>
        </w:tc>
        <w:tc>
          <w:tcPr>
            <w:tcW w:w="1276" w:type="dxa"/>
            <w:vAlign w:val="center"/>
          </w:tcPr>
          <w:p>
            <w:pPr>
              <w:pStyle w:val="12"/>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w:t>
            </w:r>
          </w:p>
        </w:tc>
        <w:tc>
          <w:tcPr>
            <w:tcW w:w="5386" w:type="dxa"/>
            <w:vAlign w:val="center"/>
          </w:tcPr>
          <w:p>
            <w:pPr>
              <w:pStyle w:val="12"/>
            </w:pPr>
            <w:r>
              <w:t>持续发挥作用</w:t>
            </w:r>
          </w:p>
        </w:tc>
        <w:tc>
          <w:tcPr>
            <w:tcW w:w="2268" w:type="dxa"/>
            <w:vAlign w:val="center"/>
          </w:tcPr>
          <w:p>
            <w:pPr>
              <w:pStyle w:val="12"/>
            </w:pPr>
            <w:r>
              <w:t>持续发挥作用</w:t>
            </w:r>
          </w:p>
        </w:tc>
        <w:tc>
          <w:tcPr>
            <w:tcW w:w="1276" w:type="dxa"/>
            <w:vAlign w:val="center"/>
          </w:tcPr>
          <w:p>
            <w:pPr>
              <w:pStyle w:val="12"/>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满意人数占总人数比例</w:t>
            </w:r>
          </w:p>
        </w:tc>
        <w:tc>
          <w:tcPr>
            <w:tcW w:w="5386" w:type="dxa"/>
            <w:vAlign w:val="center"/>
          </w:tcPr>
          <w:p>
            <w:pPr>
              <w:pStyle w:val="12"/>
            </w:pPr>
            <w:r>
              <w:t>满意人数占总人数比例</w:t>
            </w:r>
          </w:p>
        </w:tc>
        <w:tc>
          <w:tcPr>
            <w:tcW w:w="2268" w:type="dxa"/>
            <w:vAlign w:val="center"/>
          </w:tcPr>
          <w:p>
            <w:pPr>
              <w:pStyle w:val="12"/>
            </w:pPr>
            <w:r>
              <w:t>≥95%</w:t>
            </w:r>
          </w:p>
        </w:tc>
        <w:tc>
          <w:tcPr>
            <w:tcW w:w="1276" w:type="dxa"/>
            <w:vAlign w:val="center"/>
          </w:tcPr>
          <w:p>
            <w:pPr>
              <w:pStyle w:val="12"/>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中国共产党唐山市开平区委员会政法委员会本级上年末固定资产金额为</w:t>
      </w:r>
      <w:r>
        <w:rPr>
          <w:rFonts w:hint="eastAsia" w:eastAsia="方正仿宋_GBK" w:cs="Times New Roman"/>
          <w:b w:val="0"/>
          <w:color w:val="000000"/>
          <w:sz w:val="28"/>
          <w:lang w:val="en-US" w:eastAsia="zh-CN"/>
        </w:rPr>
        <w:t>101.83</w:t>
      </w:r>
      <w:r>
        <w:rPr>
          <w:rFonts w:ascii="Times New Roman" w:hAnsi="Times New Roman" w:eastAsia="方正仿宋_GBK" w:cs="Times New Roman"/>
          <w:b w:val="0"/>
          <w:color w:val="000000"/>
          <w:sz w:val="28"/>
        </w:rPr>
        <w:t>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309001中国共产党唐山市开平区委员会政法委员会本级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eastAsia="方正仿宋_GBK" w:cs="Times New Roman"/>
                <w:b w:val="0"/>
                <w:color w:val="000000"/>
                <w:sz w:val="28"/>
                <w:lang w:val="en-US" w:eastAsia="zh-CN"/>
              </w:rPr>
              <w:t>101.83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144</w:t>
            </w:r>
          </w:p>
        </w:tc>
        <w:tc>
          <w:tcPr>
            <w:tcW w:w="2835" w:type="dxa"/>
            <w:vAlign w:val="center"/>
          </w:tcPr>
          <w:p>
            <w:pPr>
              <w:pStyle w:val="11"/>
              <w:rPr>
                <w:rFonts w:hint="default" w:eastAsia="方正书宋_GBK"/>
                <w:lang w:val="en-US" w:eastAsia="zh-CN"/>
              </w:rPr>
            </w:pPr>
            <w:r>
              <w:rPr>
                <w:rFonts w:hint="eastAsia"/>
                <w:lang w:val="en-US" w:eastAsia="zh-CN"/>
              </w:rPr>
              <w:t>45.26</w:t>
            </w:r>
            <w:bookmarkStart w:id="1" w:name="_GoBack"/>
            <w:bookmarkEnd w:id="1"/>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C6538"/>
    <w:rsid w:val="78874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2024-02-26T17:15:43Z</dcterms:created>
  <dcterms:modified xsi:type="dcterms:W3CDTF">2024-02-26T09:15:42Z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2024-02-26T17:15:44Z</dcterms:created>
  <dcterms:modified xsi:type="dcterms:W3CDTF">2024-02-26T09:15:44Z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2024-02-26T17:15:44Z</dcterms:created>
  <dcterms:modified xsi:type="dcterms:W3CDTF">2024-02-26T09:15:44Z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2024-02-26T17:15:45Z</dcterms:created>
  <dcterms:modified xsi:type="dcterms:W3CDTF">2024-02-26T09:15:45Z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2024-02-26T17:15:39Z</dcterms:created>
  <dcterms:modified xsi:type="dcterms:W3CDTF">2024-02-26T09:15:39Z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2024-02-26T17:15:45Z</dcterms:created>
  <dcterms:modified xsi:type="dcterms:W3CDTF">2024-02-26T09:15:45Z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2024-02-26T17:15:45Z</dcterms:created>
  <dcterms:modified xsi:type="dcterms:W3CDTF">2024-02-26T09:15:45Z</dcterms:modified>
</cp:coreProperties>
</file>

<file path=customXml/itemProps1.xml><?xml version="1.0" encoding="utf-8"?>
<ds:datastoreItem xmlns:ds="http://schemas.openxmlformats.org/officeDocument/2006/customXml" ds:itemID="{1a988d67-c1c1-4598-8fe2-8682d9fa8972}">
  <ds:schemaRefs/>
</ds:datastoreItem>
</file>

<file path=customXml/itemProps10.xml><?xml version="1.0" encoding="utf-8"?>
<ds:datastoreItem xmlns:ds="http://schemas.openxmlformats.org/officeDocument/2006/customXml" ds:itemID="{bc746b5d-d663-4f81-a882-5374aa095eff}">
  <ds:schemaRefs/>
</ds:datastoreItem>
</file>

<file path=customXml/itemProps11.xml><?xml version="1.0" encoding="utf-8"?>
<ds:datastoreItem xmlns:ds="http://schemas.openxmlformats.org/officeDocument/2006/customXml" ds:itemID="{f4da6bcc-df1b-4e25-b10f-472bac3755a2}">
  <ds:schemaRefs/>
</ds:datastoreItem>
</file>

<file path=customXml/itemProps12.xml><?xml version="1.0" encoding="utf-8"?>
<ds:datastoreItem xmlns:ds="http://schemas.openxmlformats.org/officeDocument/2006/customXml" ds:itemID="{1c0022c0-c1ff-4e91-8f7c-ac3b3467e8d5}">
  <ds:schemaRefs/>
</ds:datastoreItem>
</file>

<file path=customXml/itemProps13.xml><?xml version="1.0" encoding="utf-8"?>
<ds:datastoreItem xmlns:ds="http://schemas.openxmlformats.org/officeDocument/2006/customXml" ds:itemID="{c28b8b80-b5e6-44e6-98ec-cff3189cd5a7}">
  <ds:schemaRefs/>
</ds:datastoreItem>
</file>

<file path=customXml/itemProps14.xml><?xml version="1.0" encoding="utf-8"?>
<ds:datastoreItem xmlns:ds="http://schemas.openxmlformats.org/officeDocument/2006/customXml" ds:itemID="{67cd2ca0-bf99-4c58-a936-aeaf10bcfbea}">
  <ds:schemaRefs/>
</ds:datastoreItem>
</file>

<file path=customXml/itemProps2.xml><?xml version="1.0" encoding="utf-8"?>
<ds:datastoreItem xmlns:ds="http://schemas.openxmlformats.org/officeDocument/2006/customXml" ds:itemID="{2a691557-2b27-442b-80c8-332df946f6a0}">
  <ds:schemaRefs/>
</ds:datastoreItem>
</file>

<file path=customXml/itemProps3.xml><?xml version="1.0" encoding="utf-8"?>
<ds:datastoreItem xmlns:ds="http://schemas.openxmlformats.org/officeDocument/2006/customXml" ds:itemID="{fd67ed6c-997d-492c-b03b-4a34a6ffc0e2}">
  <ds:schemaRefs/>
</ds:datastoreItem>
</file>

<file path=customXml/itemProps4.xml><?xml version="1.0" encoding="utf-8"?>
<ds:datastoreItem xmlns:ds="http://schemas.openxmlformats.org/officeDocument/2006/customXml" ds:itemID="{3296706d-19df-4174-a0f3-69414a0b0dfa}">
  <ds:schemaRefs/>
</ds:datastoreItem>
</file>

<file path=customXml/itemProps5.xml><?xml version="1.0" encoding="utf-8"?>
<ds:datastoreItem xmlns:ds="http://schemas.openxmlformats.org/officeDocument/2006/customXml" ds:itemID="{ffe421f2-e4b1-408e-a6c4-e18868973ed5}">
  <ds:schemaRefs/>
</ds:datastoreItem>
</file>

<file path=customXml/itemProps6.xml><?xml version="1.0" encoding="utf-8"?>
<ds:datastoreItem xmlns:ds="http://schemas.openxmlformats.org/officeDocument/2006/customXml" ds:itemID="{4f2ce260-4e04-42ec-a6b2-e939d0ee4a2e}">
  <ds:schemaRefs/>
</ds:datastoreItem>
</file>

<file path=customXml/itemProps7.xml><?xml version="1.0" encoding="utf-8"?>
<ds:datastoreItem xmlns:ds="http://schemas.openxmlformats.org/officeDocument/2006/customXml" ds:itemID="{ae4c1862-8936-49e4-8846-93b28c52ae90}">
  <ds:schemaRefs/>
</ds:datastoreItem>
</file>

<file path=customXml/itemProps8.xml><?xml version="1.0" encoding="utf-8"?>
<ds:datastoreItem xmlns:ds="http://schemas.openxmlformats.org/officeDocument/2006/customXml" ds:itemID="{fb1087f7-7aa4-4cc5-a2df-78e7bba0c9e7}">
  <ds:schemaRefs/>
</ds:datastoreItem>
</file>

<file path=customXml/itemProps9.xml><?xml version="1.0" encoding="utf-8"?>
<ds:datastoreItem xmlns:ds="http://schemas.openxmlformats.org/officeDocument/2006/customXml" ds:itemID="{26141173-494c-4146-a0ac-d612cc5e58d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2024-02-26T17:15:00Z</dcterms:created>
  <dc:creator>Administrator.PC-20160920IMPN</dc:creator>
  <cp:lastModifiedBy>Administrator</cp:lastModifiedBy>
  <dcterms:modified xsi:type="dcterms:W3CDTF">2024-08-14T08:29:57Z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7CBDC678152848CCA7601C8876AE98AF</vt:lpwstr>
  </property>
</Properties>
</file>