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880" w:firstLineChars="200"/>
        <w:jc w:val="left"/>
        <w:rPr>
          <w:rFonts w:ascii="黑体" w:hAnsi="黑体" w:eastAsia="黑体" w:cs="Arial"/>
          <w:color w:val="333333"/>
          <w:kern w:val="0"/>
          <w:sz w:val="44"/>
          <w:szCs w:val="44"/>
        </w:rPr>
      </w:pPr>
      <w:r>
        <w:rPr>
          <w:rFonts w:hint="eastAsia" w:ascii="黑体" w:hAnsi="黑体" w:eastAsia="黑体" w:cs="Arial"/>
          <w:color w:val="333333"/>
          <w:kern w:val="0"/>
          <w:sz w:val="44"/>
          <w:szCs w:val="44"/>
        </w:rPr>
        <w:t xml:space="preserve">2023年开平区政府总预算情况说明 </w:t>
      </w:r>
    </w:p>
    <w:p>
      <w:pPr>
        <w:widowControl/>
        <w:spacing w:line="270" w:lineRule="atLeast"/>
        <w:jc w:val="left"/>
        <w:rPr>
          <w:rFonts w:ascii="黑体" w:hAnsi="黑体" w:eastAsia="黑体" w:cs="宋体"/>
          <w:color w:val="333333"/>
          <w:kern w:val="0"/>
          <w:sz w:val="44"/>
          <w:szCs w:val="44"/>
        </w:rPr>
      </w:pPr>
      <w:r>
        <w:rPr>
          <w:rFonts w:hint="eastAsia" w:ascii="宋体" w:hAnsi="宋体" w:eastAsia="宋体" w:cs="宋体"/>
          <w:color w:val="333333"/>
          <w:kern w:val="0"/>
          <w:sz w:val="44"/>
          <w:szCs w:val="44"/>
        </w:rPr>
        <w:t> </w:t>
      </w:r>
    </w:p>
    <w:p>
      <w:pPr>
        <w:widowControl/>
        <w:jc w:val="left"/>
        <w:rPr>
          <w:rFonts w:ascii="仿宋_GB2312" w:hAnsi="宋体" w:eastAsia="仿宋_GB2312" w:cs="宋体"/>
          <w:b/>
          <w:bCs w:val="0"/>
          <w:color w:val="333333"/>
          <w:kern w:val="0"/>
          <w:sz w:val="32"/>
          <w:szCs w:val="32"/>
        </w:rPr>
      </w:pPr>
      <w:r>
        <w:rPr>
          <w:rFonts w:hint="eastAsia" w:ascii="仿宋_GB2312" w:hAnsi="宋体" w:eastAsia="仿宋_GB2312" w:cs="宋体"/>
          <w:b/>
          <w:bCs w:val="0"/>
          <w:color w:val="333333"/>
          <w:kern w:val="0"/>
          <w:sz w:val="32"/>
          <w:szCs w:val="32"/>
        </w:rPr>
        <w:t>1</w:t>
      </w:r>
      <w:r>
        <w:rPr>
          <w:rFonts w:hint="eastAsia" w:ascii="仿宋_GB2312" w:hAnsi="宋体" w:eastAsia="仿宋_GB2312" w:cs="Arial"/>
          <w:b/>
          <w:bCs w:val="0"/>
          <w:color w:val="333333"/>
          <w:kern w:val="0"/>
          <w:sz w:val="32"/>
          <w:szCs w:val="32"/>
        </w:rPr>
        <w:t>、转移支付情况说明</w:t>
      </w:r>
    </w:p>
    <w:p>
      <w:pPr>
        <w:widowControl/>
        <w:ind w:firstLine="640" w:firstLineChars="200"/>
        <w:jc w:val="left"/>
        <w:rPr>
          <w:rFonts w:hint="eastAsia" w:ascii="仿宋_GB2312" w:hAnsi="宋体" w:eastAsia="仿宋_GB2312" w:cs="宋体"/>
          <w:color w:val="333333"/>
          <w:kern w:val="0"/>
          <w:sz w:val="32"/>
          <w:szCs w:val="32"/>
          <w:highlight w:val="none"/>
        </w:rPr>
      </w:pPr>
      <w:bookmarkStart w:id="5" w:name="_GoBack"/>
      <w:bookmarkEnd w:id="5"/>
      <w:r>
        <w:rPr>
          <w:rFonts w:hint="eastAsia" w:ascii="仿宋_GB2312" w:hAnsi="宋体" w:eastAsia="仿宋_GB2312" w:cs="宋体"/>
          <w:color w:val="333333"/>
          <w:kern w:val="0"/>
          <w:sz w:val="32"/>
          <w:szCs w:val="32"/>
          <w:highlight w:val="none"/>
        </w:rPr>
        <w:t>202</w:t>
      </w:r>
      <w:r>
        <w:rPr>
          <w:rFonts w:hint="eastAsia" w:ascii="仿宋_GB2312" w:hAnsi="宋体" w:eastAsia="仿宋_GB2312" w:cs="宋体"/>
          <w:color w:val="333333"/>
          <w:kern w:val="0"/>
          <w:sz w:val="32"/>
          <w:szCs w:val="32"/>
          <w:highlight w:val="none"/>
          <w:lang w:val="en-US" w:eastAsia="zh-CN"/>
        </w:rPr>
        <w:t>4</w:t>
      </w:r>
      <w:r>
        <w:rPr>
          <w:rFonts w:hint="eastAsia" w:ascii="仿宋_GB2312" w:hAnsi="宋体" w:eastAsia="仿宋_GB2312" w:cs="宋体"/>
          <w:color w:val="333333"/>
          <w:kern w:val="0"/>
          <w:sz w:val="32"/>
          <w:szCs w:val="32"/>
          <w:highlight w:val="none"/>
        </w:rPr>
        <w:t>年，开平区列入初预算包括中央级、省级、市级三级转移支付资金共计81827万元，其中：一般公共预算转移支付资金79023万元，政府性基金转移支付资金2448万元，国有资本经营转移支付资金356万元。一般公共预算专项转移支付无对下分地区专项转移支付。</w:t>
      </w:r>
    </w:p>
    <w:p>
      <w:pPr>
        <w:widowControl/>
        <w:jc w:val="left"/>
        <w:rPr>
          <w:rFonts w:ascii="仿宋_GB2312" w:eastAsia="仿宋_GB2312"/>
          <w:b/>
          <w:bCs/>
          <w:sz w:val="32"/>
          <w:szCs w:val="32"/>
        </w:rPr>
      </w:pPr>
      <w:r>
        <w:rPr>
          <w:rFonts w:hint="eastAsia" w:ascii="仿宋_GB2312" w:eastAsia="仿宋_GB2312"/>
          <w:b/>
          <w:bCs/>
          <w:sz w:val="32"/>
          <w:szCs w:val="32"/>
        </w:rPr>
        <w:t>2、三公经费预算安排情况说明</w:t>
      </w:r>
    </w:p>
    <w:p>
      <w:pPr>
        <w:widowControl/>
        <w:numPr>
          <w:numId w:val="0"/>
        </w:numPr>
        <w:ind w:leftChars="-200" w:firstLine="640" w:firstLineChars="200"/>
        <w:jc w:val="left"/>
        <w:rPr>
          <w:rFonts w:hint="eastAsia" w:ascii="仿宋_GB2312" w:hAnsi="宋体" w:eastAsia="仿宋_GB2312" w:cs="Arial"/>
          <w:b/>
          <w:color w:val="333333"/>
          <w:kern w:val="0"/>
          <w:sz w:val="32"/>
          <w:szCs w:val="32"/>
        </w:rPr>
      </w:pPr>
      <w:r>
        <w:rPr>
          <w:rFonts w:hint="eastAsia" w:ascii="仿宋_GB2312" w:hAnsi="宋体" w:eastAsia="仿宋_GB2312" w:cs="宋体"/>
          <w:color w:val="333333"/>
          <w:kern w:val="0"/>
          <w:sz w:val="32"/>
          <w:szCs w:val="32"/>
        </w:rPr>
        <w:t>2024年，开平区“三公”经费预算合计安排655.09万元（包含一般公共预算、政府性基金预算、国有资本预算），与2023年“三公”经费预算数655.09万元持平，其中：因公出国境费安排23.7万元，比上年增加23.7万元。公务接待费安排0.3万元，与上年持平。公务用车购置费安排180万元，与上年持平。公务用车运行维护费安排451.09万元，较上年减少23.7万元，部分单位根据需要进行了压减。</w:t>
      </w:r>
      <w:r>
        <w:rPr>
          <w:rFonts w:hint="eastAsia" w:ascii="仿宋_GB2312" w:hAnsi="宋体" w:eastAsia="仿宋_GB2312" w:cs="宋体"/>
          <w:color w:val="333333"/>
          <w:kern w:val="0"/>
          <w:sz w:val="32"/>
          <w:szCs w:val="32"/>
          <w:lang w:val="en-US" w:eastAsia="zh-CN"/>
        </w:rPr>
        <w:t xml:space="preserve"> </w:t>
      </w:r>
      <w:r>
        <w:rPr>
          <w:rFonts w:hint="eastAsia" w:ascii="仿宋_GB2312" w:eastAsia="仿宋_GB2312"/>
          <w:sz w:val="32"/>
          <w:szCs w:val="32"/>
          <w:lang w:val="en-US" w:eastAsia="zh-CN"/>
        </w:rPr>
        <w:t xml:space="preserve">  3、</w:t>
      </w:r>
      <w:r>
        <w:rPr>
          <w:rFonts w:hint="eastAsia" w:ascii="仿宋_GB2312" w:hAnsi="宋体" w:eastAsia="仿宋_GB2312" w:cs="Arial"/>
          <w:b/>
          <w:color w:val="333333"/>
          <w:kern w:val="0"/>
          <w:sz w:val="32"/>
          <w:szCs w:val="32"/>
        </w:rPr>
        <w:t>国有资本经营预算说明</w:t>
      </w:r>
    </w:p>
    <w:p>
      <w:pPr>
        <w:widowControl/>
        <w:numPr>
          <w:numId w:val="0"/>
        </w:numPr>
        <w:ind w:leftChars="-200" w:firstLine="640" w:firstLineChars="200"/>
        <w:jc w:val="left"/>
        <w:rPr>
          <w:rFonts w:ascii="仿宋_GB2312" w:hAnsi="宋体" w:eastAsia="仿宋_GB2312" w:cs="宋体"/>
          <w:b/>
          <w:color w:val="333333"/>
          <w:kern w:val="0"/>
          <w:sz w:val="32"/>
          <w:szCs w:val="32"/>
        </w:rPr>
      </w:pPr>
      <w:r>
        <w:rPr>
          <w:rFonts w:hint="eastAsia" w:ascii="仿宋_GB2312" w:hAnsi="宋体" w:eastAsia="仿宋_GB2312" w:cs="Arial"/>
          <w:color w:val="333333"/>
          <w:kern w:val="0"/>
          <w:sz w:val="32"/>
          <w:szCs w:val="32"/>
        </w:rPr>
        <w:t>我区国有资本经营预算</w:t>
      </w:r>
      <w:r>
        <w:rPr>
          <w:rFonts w:ascii="仿宋_GB2312" w:hAnsi="宋体" w:eastAsia="仿宋_GB2312" w:cs="Arial"/>
          <w:color w:val="333333"/>
          <w:kern w:val="0"/>
          <w:sz w:val="32"/>
          <w:szCs w:val="32"/>
        </w:rPr>
        <w:t>12</w:t>
      </w:r>
      <w:r>
        <w:rPr>
          <w:rFonts w:hint="eastAsia" w:ascii="仿宋_GB2312" w:hAnsi="宋体" w:eastAsia="仿宋_GB2312" w:cs="Arial"/>
          <w:color w:val="333333"/>
          <w:kern w:val="0"/>
          <w:sz w:val="32"/>
          <w:szCs w:val="32"/>
          <w:lang w:val="en-US" w:eastAsia="zh-CN"/>
        </w:rPr>
        <w:t>39</w:t>
      </w:r>
      <w:r>
        <w:rPr>
          <w:rFonts w:hint="eastAsia" w:ascii="仿宋_GB2312" w:hAnsi="宋体" w:eastAsia="仿宋_GB2312" w:cs="Arial"/>
          <w:color w:val="333333"/>
          <w:kern w:val="0"/>
          <w:sz w:val="32"/>
          <w:szCs w:val="32"/>
        </w:rPr>
        <w:t>万元，全部为上级转移支付资金，为解决历史遗留问题及改革成本支出。</w:t>
      </w:r>
    </w:p>
    <w:p>
      <w:pPr>
        <w:widowControl/>
        <w:numPr>
          <w:ilvl w:val="0"/>
          <w:numId w:val="1"/>
        </w:numPr>
        <w:ind w:leftChars="-200"/>
        <w:jc w:val="left"/>
        <w:rPr>
          <w:rFonts w:hint="eastAsia" w:ascii="仿宋_GB2312" w:hAnsi="宋体" w:eastAsia="仿宋_GB2312" w:cs="Arial"/>
          <w:color w:val="333333"/>
          <w:kern w:val="0"/>
          <w:sz w:val="32"/>
          <w:szCs w:val="32"/>
        </w:rPr>
      </w:pPr>
      <w:r>
        <w:rPr>
          <w:rFonts w:hint="eastAsia" w:ascii="仿宋_GB2312" w:hAnsi="宋体" w:eastAsia="仿宋_GB2312" w:cs="Arial"/>
          <w:b/>
          <w:color w:val="333333"/>
          <w:kern w:val="0"/>
          <w:sz w:val="32"/>
          <w:szCs w:val="32"/>
        </w:rPr>
        <w:t>地方政府债券还本付息情况</w:t>
      </w:r>
    </w:p>
    <w:p>
      <w:pPr>
        <w:widowControl/>
        <w:numPr>
          <w:numId w:val="0"/>
        </w:numPr>
        <w:ind w:firstLine="640" w:firstLineChars="200"/>
        <w:jc w:val="left"/>
        <w:rPr>
          <w:rFonts w:hint="eastAsia" w:ascii="仿宋_GB2312" w:hAnsi="宋体" w:eastAsia="仿宋_GB2312" w:cs="Arial"/>
          <w:color w:val="333333"/>
          <w:kern w:val="0"/>
          <w:sz w:val="32"/>
          <w:szCs w:val="32"/>
        </w:rPr>
      </w:pPr>
      <w:r>
        <w:rPr>
          <w:rFonts w:hint="eastAsia" w:ascii="仿宋_GB2312" w:hAnsi="宋体" w:eastAsia="仿宋_GB2312" w:cs="Arial"/>
          <w:color w:val="333333"/>
          <w:kern w:val="0"/>
          <w:sz w:val="32"/>
          <w:szCs w:val="32"/>
        </w:rPr>
        <w:t>截至2023年底，开平区政府债务余额96.48亿元,其中一般债务余额10.24亿元，专项债务余额86.24亿元。2023年偿还本金2.77亿元,其中，通过争取再融资债券还本2.55亿元，预算安排还本资金0.22亿元。2023年负担偿还政府债务偿还利息2.94亿元,其中，一般公共预算安排0.32亿元，政府性基金安排2.62亿元。</w:t>
      </w:r>
    </w:p>
    <w:p>
      <w:pPr>
        <w:widowControl/>
        <w:jc w:val="left"/>
        <w:rPr>
          <w:rFonts w:ascii="仿宋_GB2312" w:hAnsi="宋体" w:eastAsia="仿宋_GB2312" w:cs="宋体"/>
          <w:b/>
          <w:color w:val="333333"/>
          <w:kern w:val="0"/>
          <w:sz w:val="32"/>
          <w:szCs w:val="32"/>
        </w:rPr>
      </w:pPr>
      <w:r>
        <w:rPr>
          <w:rFonts w:hint="eastAsia" w:ascii="仿宋_GB2312" w:hAnsi="宋体" w:eastAsia="仿宋_GB2312" w:cs="Arial"/>
          <w:b/>
          <w:color w:val="333333"/>
          <w:kern w:val="0"/>
          <w:sz w:val="32"/>
          <w:szCs w:val="32"/>
        </w:rPr>
        <w:t>5、绩效预算工作开展情况</w:t>
      </w:r>
    </w:p>
    <w:p>
      <w:pPr>
        <w:widowControl/>
        <w:jc w:val="left"/>
        <w:rPr>
          <w:rFonts w:hint="eastAsia" w:ascii="仿宋_GB2312" w:hAnsi="宋体" w:eastAsia="仿宋_GB2312" w:cs="Arial"/>
          <w:color w:val="333333"/>
          <w:kern w:val="0"/>
          <w:sz w:val="32"/>
          <w:szCs w:val="32"/>
        </w:rPr>
      </w:pPr>
      <w:r>
        <w:rPr>
          <w:rFonts w:hint="eastAsia" w:ascii="仿宋_GB2312" w:hAnsi="宋体" w:eastAsia="仿宋_GB2312" w:cs="Arial"/>
          <w:color w:val="333333"/>
          <w:kern w:val="0"/>
          <w:sz w:val="32"/>
          <w:szCs w:val="32"/>
        </w:rPr>
        <w:t>（一）建立制度体系。印发《开平区全面实施预算绩效管理推进工作方案》,出台相关预算绩效管理制度办法《开平区区级部门预算绩效管理办法》、《开平区区级部门事前绩效评估规范》、《开平区区级部门预算绩效运行监控工作规程》、《唐山市开平区区级部门预算绩效目标设定规范》等文件。对事前绩效评估、事中监控、事后评价和绩效考核等全过程绩效管理作了明确规定，初步构建了制度体系。（二）是引入预警调整机制。以6月底为监控时点，开展重点监控。对6月份监控结果差的，进行预警提示，督促示范部门整改落实。提高资金使用效益。（三）是积极开展重点评价。聚焦重点环节，创新工作举措，不断拓展评价范围和深度，提高绩效评价质量。（四）是提水平。一是提升评价水平。科学选取评价项目、合理改进评价方法、积极拓展评价深度、努力提升使用效果等方式，切实发挥预算绩效管理对财政资金引领和撬动作用。二是提升绩效目标指标质量。明确绩效填报要点，要求语言简洁、客观公正、数量适当、便于衡量。绩效目标设置的完整性、相关性、适当性和可行性，突出财政资金使用效果。三是提升绩效文本质量。科学设置部门绩效文本内容、格式等，使样式统一、简要规范。严把绩效审核关，建立“部门初审、财政复审”的审核机制，全面提升绩效文本设置质量。</w:t>
      </w: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本级三供一业补贴绩效目标表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333001唐山市开平区住房和城乡建设局本级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13020524P00913210002W</w:t>
            </w:r>
          </w:p>
        </w:tc>
        <w:tc>
          <w:tcPr>
            <w:tcW w:w="1587" w:type="dxa"/>
            <w:vAlign w:val="center"/>
          </w:tcPr>
          <w:p>
            <w:pPr>
              <w:pStyle w:val="10"/>
            </w:pPr>
            <w:r>
              <w:t>项目名称</w:t>
            </w:r>
          </w:p>
        </w:tc>
        <w:tc>
          <w:tcPr>
            <w:tcW w:w="4422" w:type="dxa"/>
            <w:gridSpan w:val="3"/>
            <w:vAlign w:val="center"/>
          </w:tcPr>
          <w:p>
            <w:pPr>
              <w:pStyle w:val="11"/>
            </w:pPr>
            <w:r>
              <w:t>]本级三供一业补贴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1006.24</w:t>
            </w:r>
          </w:p>
        </w:tc>
        <w:tc>
          <w:tcPr>
            <w:tcW w:w="1587" w:type="dxa"/>
            <w:vAlign w:val="center"/>
          </w:tcPr>
          <w:p>
            <w:pPr>
              <w:pStyle w:val="10"/>
            </w:pPr>
            <w:r>
              <w:t>其中：财政    资金</w:t>
            </w:r>
          </w:p>
        </w:tc>
        <w:tc>
          <w:tcPr>
            <w:tcW w:w="1304" w:type="dxa"/>
            <w:vAlign w:val="center"/>
          </w:tcPr>
          <w:p>
            <w:pPr>
              <w:pStyle w:val="11"/>
            </w:pPr>
            <w:r>
              <w:t>1006.24</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保证及时、足额发放工资及各项保险、补贴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1.保证及时、足额发放工资及各项保险、补贴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实发人数比率</w:t>
            </w:r>
          </w:p>
        </w:tc>
        <w:tc>
          <w:tcPr>
            <w:tcW w:w="2891" w:type="dxa"/>
            <w:vAlign w:val="center"/>
          </w:tcPr>
          <w:p>
            <w:pPr>
              <w:pStyle w:val="11"/>
            </w:pPr>
            <w:r>
              <w:t>实发人数占应发人数比率</w:t>
            </w:r>
          </w:p>
        </w:tc>
        <w:tc>
          <w:tcPr>
            <w:tcW w:w="1276" w:type="dxa"/>
            <w:vAlign w:val="center"/>
          </w:tcPr>
          <w:p>
            <w:pPr>
              <w:pStyle w:val="11"/>
            </w:pPr>
            <w:r>
              <w:t>100%</w:t>
            </w:r>
          </w:p>
        </w:tc>
        <w:tc>
          <w:tcPr>
            <w:tcW w:w="1843" w:type="dxa"/>
            <w:vAlign w:val="center"/>
          </w:tcPr>
          <w:p>
            <w:pPr>
              <w:pStyle w:val="11"/>
            </w:pPr>
            <w:r>
              <w:t>实发人数占应发人数比率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资金到位率</w:t>
            </w:r>
          </w:p>
        </w:tc>
        <w:tc>
          <w:tcPr>
            <w:tcW w:w="2891" w:type="dxa"/>
            <w:vAlign w:val="center"/>
          </w:tcPr>
          <w:p>
            <w:pPr>
              <w:pStyle w:val="11"/>
            </w:pPr>
            <w:r>
              <w:t>资金到位率</w:t>
            </w:r>
          </w:p>
        </w:tc>
        <w:tc>
          <w:tcPr>
            <w:tcW w:w="1276" w:type="dxa"/>
            <w:vAlign w:val="center"/>
          </w:tcPr>
          <w:p>
            <w:pPr>
              <w:pStyle w:val="11"/>
            </w:pPr>
            <w:r>
              <w:t>100%</w:t>
            </w:r>
          </w:p>
        </w:tc>
        <w:tc>
          <w:tcPr>
            <w:tcW w:w="1843" w:type="dxa"/>
            <w:vAlign w:val="center"/>
          </w:tcPr>
          <w:p>
            <w:pPr>
              <w:pStyle w:val="11"/>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支付及时率</w:t>
            </w:r>
          </w:p>
        </w:tc>
        <w:tc>
          <w:tcPr>
            <w:tcW w:w="2891" w:type="dxa"/>
            <w:vAlign w:val="center"/>
          </w:tcPr>
          <w:p>
            <w:pPr>
              <w:pStyle w:val="11"/>
            </w:pPr>
            <w:r>
              <w:t>资金是否按时拨付</w:t>
            </w:r>
          </w:p>
        </w:tc>
        <w:tc>
          <w:tcPr>
            <w:tcW w:w="1276" w:type="dxa"/>
            <w:vAlign w:val="center"/>
          </w:tcPr>
          <w:p>
            <w:pPr>
              <w:pStyle w:val="11"/>
            </w:pPr>
            <w:r>
              <w:t>100%</w:t>
            </w:r>
          </w:p>
        </w:tc>
        <w:tc>
          <w:tcPr>
            <w:tcW w:w="1843" w:type="dxa"/>
            <w:vAlign w:val="center"/>
          </w:tcPr>
          <w:p>
            <w:pPr>
              <w:pStyle w:val="11"/>
            </w:pPr>
            <w:r>
              <w:t>资金是否按时拨付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预算执行率</w:t>
            </w:r>
          </w:p>
        </w:tc>
        <w:tc>
          <w:tcPr>
            <w:tcW w:w="2891" w:type="dxa"/>
            <w:vAlign w:val="center"/>
          </w:tcPr>
          <w:p>
            <w:pPr>
              <w:pStyle w:val="11"/>
            </w:pPr>
            <w:r>
              <w:t>执行预算占全年预算的比例</w:t>
            </w:r>
          </w:p>
        </w:tc>
        <w:tc>
          <w:tcPr>
            <w:tcW w:w="1276" w:type="dxa"/>
            <w:vAlign w:val="center"/>
          </w:tcPr>
          <w:p>
            <w:pPr>
              <w:pStyle w:val="11"/>
            </w:pPr>
            <w:r>
              <w:t>100%</w:t>
            </w:r>
          </w:p>
        </w:tc>
        <w:tc>
          <w:tcPr>
            <w:tcW w:w="1843" w:type="dxa"/>
            <w:vAlign w:val="center"/>
          </w:tcPr>
          <w:p>
            <w:pPr>
              <w:pStyle w:val="11"/>
            </w:pPr>
            <w:r>
              <w:t>执行预算占全年预算的比例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生活保障程度</w:t>
            </w:r>
          </w:p>
        </w:tc>
        <w:tc>
          <w:tcPr>
            <w:tcW w:w="2891" w:type="dxa"/>
            <w:vAlign w:val="center"/>
          </w:tcPr>
          <w:p>
            <w:pPr>
              <w:pStyle w:val="11"/>
            </w:pPr>
            <w:r>
              <w:t>保障职工正常生活</w:t>
            </w:r>
          </w:p>
        </w:tc>
        <w:tc>
          <w:tcPr>
            <w:tcW w:w="1276" w:type="dxa"/>
            <w:vAlign w:val="center"/>
          </w:tcPr>
          <w:p>
            <w:pPr>
              <w:pStyle w:val="11"/>
            </w:pPr>
            <w:r>
              <w:t>保障职工正常生活</w:t>
            </w:r>
          </w:p>
        </w:tc>
        <w:tc>
          <w:tcPr>
            <w:tcW w:w="1843" w:type="dxa"/>
            <w:vAlign w:val="center"/>
          </w:tcPr>
          <w:p>
            <w:pPr>
              <w:pStyle w:val="11"/>
            </w:pPr>
            <w:r>
              <w:t>保障职工正常生活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可持续性服务</w:t>
            </w:r>
          </w:p>
        </w:tc>
        <w:tc>
          <w:tcPr>
            <w:tcW w:w="2891" w:type="dxa"/>
            <w:vAlign w:val="center"/>
          </w:tcPr>
          <w:p>
            <w:pPr>
              <w:pStyle w:val="11"/>
            </w:pPr>
            <w:r>
              <w:t>可持续性服务</w:t>
            </w:r>
          </w:p>
        </w:tc>
        <w:tc>
          <w:tcPr>
            <w:tcW w:w="1276" w:type="dxa"/>
            <w:vAlign w:val="center"/>
          </w:tcPr>
          <w:p>
            <w:pPr>
              <w:pStyle w:val="11"/>
            </w:pPr>
            <w:r>
              <w:t>可持续性服务</w:t>
            </w:r>
          </w:p>
        </w:tc>
        <w:tc>
          <w:tcPr>
            <w:tcW w:w="1843" w:type="dxa"/>
            <w:vAlign w:val="center"/>
          </w:tcPr>
          <w:p>
            <w:pPr>
              <w:pStyle w:val="11"/>
            </w:pPr>
            <w:r>
              <w:t>是否可持续性服务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经济效益指标</w:t>
            </w:r>
          </w:p>
        </w:tc>
        <w:tc>
          <w:tcPr>
            <w:tcW w:w="1332" w:type="dxa"/>
            <w:vAlign w:val="center"/>
          </w:tcPr>
          <w:p>
            <w:pPr>
              <w:pStyle w:val="11"/>
            </w:pPr>
            <w:r>
              <w:t>资金的使用效率</w:t>
            </w:r>
          </w:p>
        </w:tc>
        <w:tc>
          <w:tcPr>
            <w:tcW w:w="2891" w:type="dxa"/>
            <w:vAlign w:val="center"/>
          </w:tcPr>
          <w:p>
            <w:pPr>
              <w:pStyle w:val="11"/>
            </w:pPr>
            <w:r>
              <w:t>资金的使用效率</w:t>
            </w:r>
          </w:p>
        </w:tc>
        <w:tc>
          <w:tcPr>
            <w:tcW w:w="1276" w:type="dxa"/>
            <w:vAlign w:val="center"/>
          </w:tcPr>
          <w:p>
            <w:pPr>
              <w:pStyle w:val="11"/>
            </w:pPr>
            <w:r>
              <w:t>100%</w:t>
            </w:r>
          </w:p>
        </w:tc>
        <w:tc>
          <w:tcPr>
            <w:tcW w:w="1843" w:type="dxa"/>
            <w:vAlign w:val="center"/>
          </w:tcPr>
          <w:p>
            <w:pPr>
              <w:pStyle w:val="11"/>
            </w:pPr>
            <w:r>
              <w:t>资金的使用效率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机关单位工作人员满意度</w:t>
            </w:r>
          </w:p>
        </w:tc>
        <w:tc>
          <w:tcPr>
            <w:tcW w:w="2891" w:type="dxa"/>
            <w:vAlign w:val="center"/>
          </w:tcPr>
          <w:p>
            <w:pPr>
              <w:pStyle w:val="11"/>
            </w:pPr>
            <w:r>
              <w:t>调查中机关单位人员对工资发放的满意度</w:t>
            </w:r>
          </w:p>
        </w:tc>
        <w:tc>
          <w:tcPr>
            <w:tcW w:w="1276" w:type="dxa"/>
            <w:vAlign w:val="center"/>
          </w:tcPr>
          <w:p>
            <w:pPr>
              <w:pStyle w:val="11"/>
            </w:pPr>
            <w:r>
              <w:t>95%</w:t>
            </w:r>
          </w:p>
        </w:tc>
        <w:tc>
          <w:tcPr>
            <w:tcW w:w="1843" w:type="dxa"/>
            <w:vAlign w:val="center"/>
          </w:tcPr>
          <w:p>
            <w:pPr>
              <w:pStyle w:val="11"/>
            </w:pPr>
            <w:r>
              <w:t>调查中机关单位人员对工资发放的满意度</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05"/>
      <w:r>
        <w:rPr>
          <w:rFonts w:ascii="方正仿宋_GBK" w:hAnsi="方正仿宋_GBK" w:eastAsia="方正仿宋_GBK" w:cs="方正仿宋_GBK"/>
          <w:color w:val="000000"/>
          <w:sz w:val="28"/>
        </w:rPr>
        <w:t>2.本级农村保洁绩效目标表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333001唐山市开平区住房和城乡建设局本级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13020524P009096100027</w:t>
            </w:r>
          </w:p>
        </w:tc>
        <w:tc>
          <w:tcPr>
            <w:tcW w:w="1587" w:type="dxa"/>
            <w:vAlign w:val="center"/>
          </w:tcPr>
          <w:p>
            <w:pPr>
              <w:pStyle w:val="10"/>
            </w:pPr>
            <w:r>
              <w:t>项目名称</w:t>
            </w:r>
          </w:p>
        </w:tc>
        <w:tc>
          <w:tcPr>
            <w:tcW w:w="4422" w:type="dxa"/>
            <w:gridSpan w:val="3"/>
            <w:vAlign w:val="center"/>
          </w:tcPr>
          <w:p>
            <w:pPr>
              <w:pStyle w:val="11"/>
            </w:pPr>
            <w:r>
              <w:t>本级农村保洁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1316.77</w:t>
            </w:r>
          </w:p>
        </w:tc>
        <w:tc>
          <w:tcPr>
            <w:tcW w:w="1587" w:type="dxa"/>
            <w:vAlign w:val="center"/>
          </w:tcPr>
          <w:p>
            <w:pPr>
              <w:pStyle w:val="10"/>
            </w:pPr>
            <w:r>
              <w:t>其中：财政    资金</w:t>
            </w:r>
          </w:p>
        </w:tc>
        <w:tc>
          <w:tcPr>
            <w:tcW w:w="1304" w:type="dxa"/>
            <w:vAlign w:val="center"/>
          </w:tcPr>
          <w:p>
            <w:pPr>
              <w:pStyle w:val="11"/>
            </w:pPr>
            <w:r>
              <w:t>1316.77</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用于发放农村保洁员工资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1.提高农村环境卫生水平</w:t>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宣传次数</w:t>
            </w:r>
          </w:p>
        </w:tc>
        <w:tc>
          <w:tcPr>
            <w:tcW w:w="2891" w:type="dxa"/>
            <w:vAlign w:val="center"/>
          </w:tcPr>
          <w:p>
            <w:pPr>
              <w:pStyle w:val="11"/>
            </w:pPr>
            <w:r>
              <w:t>宣传次数</w:t>
            </w:r>
          </w:p>
        </w:tc>
        <w:tc>
          <w:tcPr>
            <w:tcW w:w="1276" w:type="dxa"/>
            <w:vAlign w:val="center"/>
          </w:tcPr>
          <w:p>
            <w:pPr>
              <w:pStyle w:val="11"/>
            </w:pPr>
            <w:r>
              <w:t>≥3次</w:t>
            </w:r>
          </w:p>
        </w:tc>
        <w:tc>
          <w:tcPr>
            <w:tcW w:w="1843" w:type="dxa"/>
            <w:vAlign w:val="center"/>
          </w:tcPr>
          <w:p>
            <w:pPr>
              <w:pStyle w:val="11"/>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验收合格率</w:t>
            </w:r>
          </w:p>
        </w:tc>
        <w:tc>
          <w:tcPr>
            <w:tcW w:w="2891" w:type="dxa"/>
            <w:vAlign w:val="center"/>
          </w:tcPr>
          <w:p>
            <w:pPr>
              <w:pStyle w:val="11"/>
            </w:pPr>
            <w:r>
              <w:t>验收合格率</w:t>
            </w:r>
          </w:p>
        </w:tc>
        <w:tc>
          <w:tcPr>
            <w:tcW w:w="1276" w:type="dxa"/>
            <w:vAlign w:val="center"/>
          </w:tcPr>
          <w:p>
            <w:pPr>
              <w:pStyle w:val="11"/>
            </w:pPr>
            <w:r>
              <w:t>≥95%</w:t>
            </w:r>
          </w:p>
        </w:tc>
        <w:tc>
          <w:tcPr>
            <w:tcW w:w="1843" w:type="dxa"/>
            <w:vAlign w:val="center"/>
          </w:tcPr>
          <w:p>
            <w:pPr>
              <w:pStyle w:val="11"/>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资金发放及时率</w:t>
            </w:r>
          </w:p>
        </w:tc>
        <w:tc>
          <w:tcPr>
            <w:tcW w:w="2891" w:type="dxa"/>
            <w:vAlign w:val="center"/>
          </w:tcPr>
          <w:p>
            <w:pPr>
              <w:pStyle w:val="11"/>
            </w:pPr>
            <w:r>
              <w:t>资金发放及时率</w:t>
            </w:r>
          </w:p>
        </w:tc>
        <w:tc>
          <w:tcPr>
            <w:tcW w:w="1276" w:type="dxa"/>
            <w:vAlign w:val="center"/>
          </w:tcPr>
          <w:p>
            <w:pPr>
              <w:pStyle w:val="11"/>
            </w:pPr>
            <w:r>
              <w:t>≥95%</w:t>
            </w:r>
          </w:p>
        </w:tc>
        <w:tc>
          <w:tcPr>
            <w:tcW w:w="1843" w:type="dxa"/>
            <w:vAlign w:val="center"/>
          </w:tcPr>
          <w:p>
            <w:pPr>
              <w:pStyle w:val="11"/>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成本控制</w:t>
            </w:r>
          </w:p>
        </w:tc>
        <w:tc>
          <w:tcPr>
            <w:tcW w:w="2891" w:type="dxa"/>
            <w:vAlign w:val="center"/>
          </w:tcPr>
          <w:p>
            <w:pPr>
              <w:pStyle w:val="11"/>
            </w:pPr>
            <w:r>
              <w:t>成本控制</w:t>
            </w:r>
          </w:p>
        </w:tc>
        <w:tc>
          <w:tcPr>
            <w:tcW w:w="1276" w:type="dxa"/>
            <w:vAlign w:val="center"/>
          </w:tcPr>
          <w:p>
            <w:pPr>
              <w:pStyle w:val="11"/>
            </w:pPr>
            <w:r>
              <w:t>≤1316.77万元</w:t>
            </w:r>
          </w:p>
        </w:tc>
        <w:tc>
          <w:tcPr>
            <w:tcW w:w="1843" w:type="dxa"/>
            <w:vAlign w:val="center"/>
          </w:tcPr>
          <w:p>
            <w:pPr>
              <w:pStyle w:val="11"/>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社会稳定水平</w:t>
            </w:r>
          </w:p>
        </w:tc>
        <w:tc>
          <w:tcPr>
            <w:tcW w:w="2891" w:type="dxa"/>
            <w:vAlign w:val="center"/>
          </w:tcPr>
          <w:p>
            <w:pPr>
              <w:pStyle w:val="11"/>
            </w:pPr>
            <w:r>
              <w:t>社会稳定水平</w:t>
            </w:r>
          </w:p>
        </w:tc>
        <w:tc>
          <w:tcPr>
            <w:tcW w:w="1276" w:type="dxa"/>
            <w:vAlign w:val="center"/>
          </w:tcPr>
          <w:p>
            <w:pPr>
              <w:pStyle w:val="11"/>
            </w:pPr>
            <w:r>
              <w:t>社会稳定水平</w:t>
            </w:r>
          </w:p>
        </w:tc>
        <w:tc>
          <w:tcPr>
            <w:tcW w:w="1843" w:type="dxa"/>
            <w:vAlign w:val="center"/>
          </w:tcPr>
          <w:p>
            <w:pPr>
              <w:pStyle w:val="11"/>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达到绿色产业标准</w:t>
            </w:r>
          </w:p>
        </w:tc>
        <w:tc>
          <w:tcPr>
            <w:tcW w:w="2891" w:type="dxa"/>
            <w:vAlign w:val="center"/>
          </w:tcPr>
          <w:p>
            <w:pPr>
              <w:pStyle w:val="11"/>
            </w:pPr>
            <w:r>
              <w:t>达到绿色产业标准</w:t>
            </w:r>
          </w:p>
        </w:tc>
        <w:tc>
          <w:tcPr>
            <w:tcW w:w="1276" w:type="dxa"/>
            <w:vAlign w:val="center"/>
          </w:tcPr>
          <w:p>
            <w:pPr>
              <w:pStyle w:val="11"/>
            </w:pPr>
            <w:r>
              <w:t>达到绿色产业标准</w:t>
            </w:r>
          </w:p>
        </w:tc>
        <w:tc>
          <w:tcPr>
            <w:tcW w:w="1843" w:type="dxa"/>
            <w:vAlign w:val="center"/>
          </w:tcPr>
          <w:p>
            <w:pPr>
              <w:pStyle w:val="11"/>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项目持续发挥作用</w:t>
            </w:r>
          </w:p>
        </w:tc>
        <w:tc>
          <w:tcPr>
            <w:tcW w:w="2891" w:type="dxa"/>
            <w:vAlign w:val="center"/>
          </w:tcPr>
          <w:p>
            <w:pPr>
              <w:pStyle w:val="11"/>
            </w:pPr>
            <w:r>
              <w:t>项目持续发挥作用</w:t>
            </w:r>
          </w:p>
        </w:tc>
        <w:tc>
          <w:tcPr>
            <w:tcW w:w="1276" w:type="dxa"/>
            <w:vAlign w:val="center"/>
          </w:tcPr>
          <w:p>
            <w:pPr>
              <w:pStyle w:val="11"/>
            </w:pPr>
            <w:r>
              <w:t>项目持续发挥作用</w:t>
            </w:r>
          </w:p>
        </w:tc>
        <w:tc>
          <w:tcPr>
            <w:tcW w:w="1843" w:type="dxa"/>
            <w:vAlign w:val="center"/>
          </w:tcPr>
          <w:p>
            <w:pPr>
              <w:pStyle w:val="11"/>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满意人数占总人数比例</w:t>
            </w:r>
          </w:p>
        </w:tc>
        <w:tc>
          <w:tcPr>
            <w:tcW w:w="2891" w:type="dxa"/>
            <w:vAlign w:val="center"/>
          </w:tcPr>
          <w:p>
            <w:pPr>
              <w:pStyle w:val="11"/>
            </w:pPr>
            <w:r>
              <w:t>满意人数占总人数比例</w:t>
            </w:r>
          </w:p>
        </w:tc>
        <w:tc>
          <w:tcPr>
            <w:tcW w:w="1276" w:type="dxa"/>
            <w:vAlign w:val="center"/>
          </w:tcPr>
          <w:p>
            <w:pPr>
              <w:pStyle w:val="11"/>
            </w:pPr>
            <w:r>
              <w:t>≥95%</w:t>
            </w:r>
          </w:p>
        </w:tc>
        <w:tc>
          <w:tcPr>
            <w:tcW w:w="1843" w:type="dxa"/>
            <w:vAlign w:val="center"/>
          </w:tcPr>
          <w:p>
            <w:pPr>
              <w:pStyle w:val="11"/>
            </w:pPr>
            <w:r>
              <w:t>满意人数占总人数比例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7"/>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.本级城市维护养护费绩效目标表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333001唐山市开平区住房和城乡建设局本级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13020524P00911210002E</w:t>
            </w:r>
          </w:p>
        </w:tc>
        <w:tc>
          <w:tcPr>
            <w:tcW w:w="1587" w:type="dxa"/>
            <w:vAlign w:val="center"/>
          </w:tcPr>
          <w:p>
            <w:pPr>
              <w:pStyle w:val="10"/>
            </w:pPr>
            <w:r>
              <w:t>项目名称</w:t>
            </w:r>
          </w:p>
        </w:tc>
        <w:tc>
          <w:tcPr>
            <w:tcW w:w="4422" w:type="dxa"/>
            <w:gridSpan w:val="3"/>
            <w:vAlign w:val="center"/>
          </w:tcPr>
          <w:p>
            <w:pPr>
              <w:pStyle w:val="11"/>
            </w:pPr>
            <w:r>
              <w:t>本级城市维护养护费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3000.00</w:t>
            </w:r>
          </w:p>
        </w:tc>
        <w:tc>
          <w:tcPr>
            <w:tcW w:w="1587" w:type="dxa"/>
            <w:vAlign w:val="center"/>
          </w:tcPr>
          <w:p>
            <w:pPr>
              <w:pStyle w:val="10"/>
            </w:pPr>
            <w:r>
              <w:t>其中：财政    资金</w:t>
            </w:r>
          </w:p>
        </w:tc>
        <w:tc>
          <w:tcPr>
            <w:tcW w:w="1304" w:type="dxa"/>
            <w:vAlign w:val="center"/>
          </w:tcPr>
          <w:p>
            <w:pPr>
              <w:pStyle w:val="11"/>
            </w:pPr>
            <w:r>
              <w:t>3000.00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用于我区园林、环卫、市政维护养护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1.用于我区园林、环卫、市政维护养护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宣传次数</w:t>
            </w:r>
          </w:p>
        </w:tc>
        <w:tc>
          <w:tcPr>
            <w:tcW w:w="2891" w:type="dxa"/>
            <w:vAlign w:val="center"/>
          </w:tcPr>
          <w:p>
            <w:pPr>
              <w:pStyle w:val="11"/>
            </w:pPr>
            <w:r>
              <w:t>宣传次数</w:t>
            </w:r>
          </w:p>
        </w:tc>
        <w:tc>
          <w:tcPr>
            <w:tcW w:w="1276" w:type="dxa"/>
            <w:vAlign w:val="center"/>
          </w:tcPr>
          <w:p>
            <w:pPr>
              <w:pStyle w:val="11"/>
            </w:pPr>
            <w:r>
              <w:t>≥3次</w:t>
            </w:r>
          </w:p>
        </w:tc>
        <w:tc>
          <w:tcPr>
            <w:tcW w:w="1843" w:type="dxa"/>
            <w:vAlign w:val="center"/>
          </w:tcPr>
          <w:p>
            <w:pPr>
              <w:pStyle w:val="11"/>
            </w:pPr>
            <w:r>
              <w:t>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验收合格率</w:t>
            </w:r>
          </w:p>
        </w:tc>
        <w:tc>
          <w:tcPr>
            <w:tcW w:w="2891" w:type="dxa"/>
            <w:vAlign w:val="center"/>
          </w:tcPr>
          <w:p>
            <w:pPr>
              <w:pStyle w:val="11"/>
            </w:pPr>
            <w:r>
              <w:t>验收合格率</w:t>
            </w:r>
          </w:p>
        </w:tc>
        <w:tc>
          <w:tcPr>
            <w:tcW w:w="1276" w:type="dxa"/>
            <w:vAlign w:val="center"/>
          </w:tcPr>
          <w:p>
            <w:pPr>
              <w:pStyle w:val="11"/>
            </w:pPr>
            <w:r>
              <w:t>≥95%</w:t>
            </w:r>
          </w:p>
        </w:tc>
        <w:tc>
          <w:tcPr>
            <w:tcW w:w="1843" w:type="dxa"/>
            <w:vAlign w:val="center"/>
          </w:tcPr>
          <w:p>
            <w:pPr>
              <w:pStyle w:val="11"/>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资金发放及时率</w:t>
            </w:r>
          </w:p>
        </w:tc>
        <w:tc>
          <w:tcPr>
            <w:tcW w:w="2891" w:type="dxa"/>
            <w:vAlign w:val="center"/>
          </w:tcPr>
          <w:p>
            <w:pPr>
              <w:pStyle w:val="11"/>
            </w:pPr>
            <w:r>
              <w:t>资金发放及时率</w:t>
            </w:r>
          </w:p>
        </w:tc>
        <w:tc>
          <w:tcPr>
            <w:tcW w:w="1276" w:type="dxa"/>
            <w:vAlign w:val="center"/>
          </w:tcPr>
          <w:p>
            <w:pPr>
              <w:pStyle w:val="11"/>
            </w:pPr>
            <w:r>
              <w:t>≥95%</w:t>
            </w:r>
          </w:p>
        </w:tc>
        <w:tc>
          <w:tcPr>
            <w:tcW w:w="1843" w:type="dxa"/>
            <w:vAlign w:val="center"/>
          </w:tcPr>
          <w:p>
            <w:pPr>
              <w:pStyle w:val="11"/>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成本控制</w:t>
            </w:r>
          </w:p>
        </w:tc>
        <w:tc>
          <w:tcPr>
            <w:tcW w:w="2891" w:type="dxa"/>
            <w:vAlign w:val="center"/>
          </w:tcPr>
          <w:p>
            <w:pPr>
              <w:pStyle w:val="11"/>
            </w:pPr>
            <w:r>
              <w:t>成本控制</w:t>
            </w:r>
          </w:p>
        </w:tc>
        <w:tc>
          <w:tcPr>
            <w:tcW w:w="1276" w:type="dxa"/>
            <w:vAlign w:val="center"/>
          </w:tcPr>
          <w:p>
            <w:pPr>
              <w:pStyle w:val="11"/>
            </w:pPr>
            <w:r>
              <w:t>≤3000万元</w:t>
            </w:r>
          </w:p>
        </w:tc>
        <w:tc>
          <w:tcPr>
            <w:tcW w:w="1843" w:type="dxa"/>
            <w:vAlign w:val="center"/>
          </w:tcPr>
          <w:p>
            <w:pPr>
              <w:pStyle w:val="11"/>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社会稳定水平</w:t>
            </w:r>
          </w:p>
        </w:tc>
        <w:tc>
          <w:tcPr>
            <w:tcW w:w="2891" w:type="dxa"/>
            <w:vAlign w:val="center"/>
          </w:tcPr>
          <w:p>
            <w:pPr>
              <w:pStyle w:val="11"/>
            </w:pPr>
            <w:r>
              <w:t>社会稳定水平</w:t>
            </w:r>
          </w:p>
        </w:tc>
        <w:tc>
          <w:tcPr>
            <w:tcW w:w="1276" w:type="dxa"/>
            <w:vAlign w:val="center"/>
          </w:tcPr>
          <w:p>
            <w:pPr>
              <w:pStyle w:val="11"/>
            </w:pPr>
            <w:r>
              <w:t>社会稳定水平</w:t>
            </w:r>
          </w:p>
        </w:tc>
        <w:tc>
          <w:tcPr>
            <w:tcW w:w="1843" w:type="dxa"/>
            <w:vAlign w:val="center"/>
          </w:tcPr>
          <w:p>
            <w:pPr>
              <w:pStyle w:val="11"/>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达到绿色产业标准</w:t>
            </w:r>
          </w:p>
        </w:tc>
        <w:tc>
          <w:tcPr>
            <w:tcW w:w="2891" w:type="dxa"/>
            <w:vAlign w:val="center"/>
          </w:tcPr>
          <w:p>
            <w:pPr>
              <w:pStyle w:val="11"/>
            </w:pPr>
            <w:r>
              <w:t>达到绿色产业标准</w:t>
            </w:r>
          </w:p>
        </w:tc>
        <w:tc>
          <w:tcPr>
            <w:tcW w:w="1276" w:type="dxa"/>
            <w:vAlign w:val="center"/>
          </w:tcPr>
          <w:p>
            <w:pPr>
              <w:pStyle w:val="11"/>
            </w:pPr>
            <w:r>
              <w:t>达到绿色产业标准</w:t>
            </w:r>
          </w:p>
        </w:tc>
        <w:tc>
          <w:tcPr>
            <w:tcW w:w="1843" w:type="dxa"/>
            <w:vAlign w:val="center"/>
          </w:tcPr>
          <w:p>
            <w:pPr>
              <w:pStyle w:val="11"/>
            </w:pPr>
            <w:r>
              <w:t>达到绿色产业标准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项目持续发挥作用</w:t>
            </w:r>
          </w:p>
        </w:tc>
        <w:tc>
          <w:tcPr>
            <w:tcW w:w="2891" w:type="dxa"/>
            <w:vAlign w:val="center"/>
          </w:tcPr>
          <w:p>
            <w:pPr>
              <w:pStyle w:val="11"/>
            </w:pPr>
            <w:r>
              <w:t>项目持续发挥作用</w:t>
            </w:r>
          </w:p>
        </w:tc>
        <w:tc>
          <w:tcPr>
            <w:tcW w:w="1276" w:type="dxa"/>
            <w:vAlign w:val="center"/>
          </w:tcPr>
          <w:p>
            <w:pPr>
              <w:pStyle w:val="11"/>
            </w:pPr>
            <w:r>
              <w:t>项目持续发挥作用</w:t>
            </w:r>
          </w:p>
        </w:tc>
        <w:tc>
          <w:tcPr>
            <w:tcW w:w="1843" w:type="dxa"/>
            <w:vAlign w:val="center"/>
          </w:tcPr>
          <w:p>
            <w:pPr>
              <w:pStyle w:val="11"/>
            </w:pPr>
            <w:r>
              <w:t>项目持续发挥作用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满意人数占总人数比例</w:t>
            </w:r>
          </w:p>
        </w:tc>
        <w:tc>
          <w:tcPr>
            <w:tcW w:w="2891" w:type="dxa"/>
            <w:vAlign w:val="center"/>
          </w:tcPr>
          <w:p>
            <w:pPr>
              <w:pStyle w:val="11"/>
            </w:pPr>
            <w:r>
              <w:t>满意人数占总人数比例</w:t>
            </w:r>
          </w:p>
        </w:tc>
        <w:tc>
          <w:tcPr>
            <w:tcW w:w="1276" w:type="dxa"/>
            <w:vAlign w:val="center"/>
          </w:tcPr>
          <w:p>
            <w:pPr>
              <w:pStyle w:val="11"/>
            </w:pPr>
            <w:r>
              <w:t>≥95%</w:t>
            </w:r>
          </w:p>
        </w:tc>
        <w:tc>
          <w:tcPr>
            <w:tcW w:w="1843" w:type="dxa"/>
            <w:vAlign w:val="center"/>
          </w:tcPr>
          <w:p>
            <w:pPr>
              <w:pStyle w:val="11"/>
            </w:pPr>
            <w:r>
              <w:t>满意人数占总人数比例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8"/>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.本级房管直属小区经费绩效目标表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333001唐山市开平区住房和城乡建设局本级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13020524P00896210002X</w:t>
            </w:r>
          </w:p>
        </w:tc>
        <w:tc>
          <w:tcPr>
            <w:tcW w:w="1587" w:type="dxa"/>
            <w:vAlign w:val="center"/>
          </w:tcPr>
          <w:p>
            <w:pPr>
              <w:pStyle w:val="10"/>
            </w:pPr>
            <w:r>
              <w:t>项目名称</w:t>
            </w:r>
          </w:p>
        </w:tc>
        <w:tc>
          <w:tcPr>
            <w:tcW w:w="4422" w:type="dxa"/>
            <w:gridSpan w:val="3"/>
            <w:vAlign w:val="center"/>
          </w:tcPr>
          <w:p>
            <w:pPr>
              <w:pStyle w:val="11"/>
            </w:pPr>
            <w:r>
              <w:t>本级房管直属小区经费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500.00</w:t>
            </w:r>
          </w:p>
        </w:tc>
        <w:tc>
          <w:tcPr>
            <w:tcW w:w="1587" w:type="dxa"/>
            <w:vAlign w:val="center"/>
          </w:tcPr>
          <w:p>
            <w:pPr>
              <w:pStyle w:val="10"/>
            </w:pPr>
            <w:r>
              <w:t>其中：财政    资金</w:t>
            </w:r>
          </w:p>
        </w:tc>
        <w:tc>
          <w:tcPr>
            <w:tcW w:w="1304" w:type="dxa"/>
            <w:vAlign w:val="center"/>
          </w:tcPr>
          <w:p>
            <w:pPr>
              <w:pStyle w:val="11"/>
            </w:pPr>
            <w:r>
              <w:t>500.00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直属小区维修保养支出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1.提高房管小区整体管理水平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服务小区数量</w:t>
            </w:r>
          </w:p>
        </w:tc>
        <w:tc>
          <w:tcPr>
            <w:tcW w:w="2891" w:type="dxa"/>
            <w:vAlign w:val="center"/>
          </w:tcPr>
          <w:p>
            <w:pPr>
              <w:pStyle w:val="11"/>
            </w:pPr>
            <w:r>
              <w:t>服务小区数量</w:t>
            </w:r>
          </w:p>
        </w:tc>
        <w:tc>
          <w:tcPr>
            <w:tcW w:w="1276" w:type="dxa"/>
            <w:vAlign w:val="center"/>
          </w:tcPr>
          <w:p>
            <w:pPr>
              <w:pStyle w:val="11"/>
            </w:pPr>
            <w:r>
              <w:t>17个</w:t>
            </w:r>
          </w:p>
        </w:tc>
        <w:tc>
          <w:tcPr>
            <w:tcW w:w="1843" w:type="dxa"/>
            <w:vAlign w:val="center"/>
          </w:tcPr>
          <w:p>
            <w:pPr>
              <w:pStyle w:val="11"/>
            </w:pPr>
            <w:r>
              <w:t>服务小区数量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验收合格率</w:t>
            </w:r>
          </w:p>
        </w:tc>
        <w:tc>
          <w:tcPr>
            <w:tcW w:w="2891" w:type="dxa"/>
            <w:vAlign w:val="center"/>
          </w:tcPr>
          <w:p>
            <w:pPr>
              <w:pStyle w:val="11"/>
            </w:pPr>
            <w:r>
              <w:t>验收合格率</w:t>
            </w:r>
          </w:p>
        </w:tc>
        <w:tc>
          <w:tcPr>
            <w:tcW w:w="1276" w:type="dxa"/>
            <w:vAlign w:val="center"/>
          </w:tcPr>
          <w:p>
            <w:pPr>
              <w:pStyle w:val="11"/>
            </w:pPr>
            <w:r>
              <w:t>≥95%</w:t>
            </w:r>
          </w:p>
        </w:tc>
        <w:tc>
          <w:tcPr>
            <w:tcW w:w="1843" w:type="dxa"/>
            <w:vAlign w:val="center"/>
          </w:tcPr>
          <w:p>
            <w:pPr>
              <w:pStyle w:val="11"/>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付款及时率</w:t>
            </w:r>
          </w:p>
        </w:tc>
        <w:tc>
          <w:tcPr>
            <w:tcW w:w="2891" w:type="dxa"/>
            <w:vAlign w:val="center"/>
          </w:tcPr>
          <w:p>
            <w:pPr>
              <w:pStyle w:val="11"/>
            </w:pPr>
            <w:r>
              <w:t>付款及时率</w:t>
            </w:r>
          </w:p>
        </w:tc>
        <w:tc>
          <w:tcPr>
            <w:tcW w:w="1276" w:type="dxa"/>
            <w:vAlign w:val="center"/>
          </w:tcPr>
          <w:p>
            <w:pPr>
              <w:pStyle w:val="11"/>
            </w:pPr>
            <w:r>
              <w:t>≥95%</w:t>
            </w:r>
          </w:p>
        </w:tc>
        <w:tc>
          <w:tcPr>
            <w:tcW w:w="1843" w:type="dxa"/>
            <w:vAlign w:val="center"/>
          </w:tcPr>
          <w:p>
            <w:pPr>
              <w:pStyle w:val="11"/>
            </w:pPr>
            <w:r>
              <w:t>付款及时率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成本控制</w:t>
            </w:r>
          </w:p>
        </w:tc>
        <w:tc>
          <w:tcPr>
            <w:tcW w:w="2891" w:type="dxa"/>
            <w:vAlign w:val="center"/>
          </w:tcPr>
          <w:p>
            <w:pPr>
              <w:pStyle w:val="11"/>
            </w:pPr>
            <w:r>
              <w:t>成本控制</w:t>
            </w:r>
          </w:p>
        </w:tc>
        <w:tc>
          <w:tcPr>
            <w:tcW w:w="1276" w:type="dxa"/>
            <w:vAlign w:val="center"/>
          </w:tcPr>
          <w:p>
            <w:pPr>
              <w:pStyle w:val="11"/>
            </w:pPr>
            <w:r>
              <w:t>≤500万元</w:t>
            </w:r>
          </w:p>
        </w:tc>
        <w:tc>
          <w:tcPr>
            <w:tcW w:w="1843" w:type="dxa"/>
            <w:vAlign w:val="center"/>
          </w:tcPr>
          <w:p>
            <w:pPr>
              <w:pStyle w:val="11"/>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提高百姓幸福指数</w:t>
            </w:r>
          </w:p>
        </w:tc>
        <w:tc>
          <w:tcPr>
            <w:tcW w:w="2891" w:type="dxa"/>
            <w:vAlign w:val="center"/>
          </w:tcPr>
          <w:p>
            <w:pPr>
              <w:pStyle w:val="11"/>
            </w:pPr>
            <w:r>
              <w:t>提高百姓幸福指数</w:t>
            </w:r>
          </w:p>
        </w:tc>
        <w:tc>
          <w:tcPr>
            <w:tcW w:w="1276" w:type="dxa"/>
            <w:vAlign w:val="center"/>
          </w:tcPr>
          <w:p>
            <w:pPr>
              <w:pStyle w:val="11"/>
            </w:pPr>
            <w:r>
              <w:t>提高百姓幸福指数</w:t>
            </w:r>
          </w:p>
        </w:tc>
        <w:tc>
          <w:tcPr>
            <w:tcW w:w="1843" w:type="dxa"/>
            <w:vAlign w:val="center"/>
          </w:tcPr>
          <w:p>
            <w:pPr>
              <w:pStyle w:val="11"/>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持续发生影响</w:t>
            </w:r>
          </w:p>
        </w:tc>
        <w:tc>
          <w:tcPr>
            <w:tcW w:w="2891" w:type="dxa"/>
            <w:vAlign w:val="center"/>
          </w:tcPr>
          <w:p>
            <w:pPr>
              <w:pStyle w:val="11"/>
            </w:pPr>
            <w:r>
              <w:t>持续发生影响</w:t>
            </w:r>
          </w:p>
        </w:tc>
        <w:tc>
          <w:tcPr>
            <w:tcW w:w="1276" w:type="dxa"/>
            <w:vAlign w:val="center"/>
          </w:tcPr>
          <w:p>
            <w:pPr>
              <w:pStyle w:val="11"/>
            </w:pPr>
            <w:r>
              <w:t>持续发生影响</w:t>
            </w:r>
          </w:p>
        </w:tc>
        <w:tc>
          <w:tcPr>
            <w:tcW w:w="1843" w:type="dxa"/>
            <w:vAlign w:val="center"/>
          </w:tcPr>
          <w:p>
            <w:pPr>
              <w:pStyle w:val="11"/>
            </w:pPr>
            <w:r>
              <w:t>持续发生影响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满意人数占调查人数比例</w:t>
            </w:r>
          </w:p>
        </w:tc>
        <w:tc>
          <w:tcPr>
            <w:tcW w:w="2891" w:type="dxa"/>
            <w:vAlign w:val="center"/>
          </w:tcPr>
          <w:p>
            <w:pPr>
              <w:pStyle w:val="11"/>
            </w:pPr>
            <w:r>
              <w:t>满意人数占调查人数比例</w:t>
            </w:r>
          </w:p>
        </w:tc>
        <w:tc>
          <w:tcPr>
            <w:tcW w:w="1276" w:type="dxa"/>
            <w:vAlign w:val="center"/>
          </w:tcPr>
          <w:p>
            <w:pPr>
              <w:pStyle w:val="11"/>
            </w:pPr>
            <w:r>
              <w:t>≥95%</w:t>
            </w:r>
          </w:p>
        </w:tc>
        <w:tc>
          <w:tcPr>
            <w:tcW w:w="1843" w:type="dxa"/>
            <w:vAlign w:val="center"/>
          </w:tcPr>
          <w:p>
            <w:pPr>
              <w:pStyle w:val="11"/>
            </w:pPr>
            <w:r>
              <w:t>满意人数占调查人数比例</w:t>
            </w:r>
          </w:p>
        </w:tc>
      </w:tr>
    </w:tbl>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本级教育费附加绩效目标表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360001唐山市开平区教育局本级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13020524P00889910055R</w:t>
            </w:r>
          </w:p>
        </w:tc>
        <w:tc>
          <w:tcPr>
            <w:tcW w:w="1587" w:type="dxa"/>
            <w:vAlign w:val="center"/>
          </w:tcPr>
          <w:p>
            <w:pPr>
              <w:pStyle w:val="10"/>
            </w:pPr>
            <w:r>
              <w:t>项目名称</w:t>
            </w:r>
          </w:p>
        </w:tc>
        <w:tc>
          <w:tcPr>
            <w:tcW w:w="4422" w:type="dxa"/>
            <w:gridSpan w:val="3"/>
            <w:vAlign w:val="center"/>
          </w:tcPr>
          <w:p>
            <w:pPr>
              <w:pStyle w:val="11"/>
            </w:pPr>
            <w:r>
              <w:t>本级教育费附加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2000.00</w:t>
            </w:r>
          </w:p>
        </w:tc>
        <w:tc>
          <w:tcPr>
            <w:tcW w:w="1587" w:type="dxa"/>
            <w:vAlign w:val="center"/>
          </w:tcPr>
          <w:p>
            <w:pPr>
              <w:pStyle w:val="10"/>
            </w:pPr>
            <w:r>
              <w:t>其中：财政    资金</w:t>
            </w:r>
          </w:p>
        </w:tc>
        <w:tc>
          <w:tcPr>
            <w:tcW w:w="1304" w:type="dxa"/>
            <w:vAlign w:val="center"/>
          </w:tcPr>
          <w:p>
            <w:pPr>
              <w:pStyle w:val="11"/>
            </w:pPr>
            <w:r>
              <w:t>2000.00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本级教育费附加项目保运转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1.本级教育费附加项目保运转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资金足额率</w:t>
            </w:r>
          </w:p>
        </w:tc>
        <w:tc>
          <w:tcPr>
            <w:tcW w:w="2891" w:type="dxa"/>
            <w:vAlign w:val="center"/>
          </w:tcPr>
          <w:p>
            <w:pPr>
              <w:pStyle w:val="11"/>
            </w:pPr>
            <w:r>
              <w:t>实际拨付资金占应付资金比率</w:t>
            </w:r>
          </w:p>
        </w:tc>
        <w:tc>
          <w:tcPr>
            <w:tcW w:w="1276" w:type="dxa"/>
            <w:vAlign w:val="center"/>
          </w:tcPr>
          <w:p>
            <w:pPr>
              <w:pStyle w:val="11"/>
            </w:pPr>
            <w:r>
              <w:t>100%</w:t>
            </w:r>
          </w:p>
        </w:tc>
        <w:tc>
          <w:tcPr>
            <w:tcW w:w="1843" w:type="dxa"/>
            <w:vAlign w:val="center"/>
          </w:tcPr>
          <w:p>
            <w:pPr>
              <w:pStyle w:val="11"/>
            </w:pPr>
            <w:r>
              <w:t>实际拨付资金占应付资金比率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资金支付合规率（%）</w:t>
            </w:r>
          </w:p>
        </w:tc>
        <w:tc>
          <w:tcPr>
            <w:tcW w:w="2891" w:type="dxa"/>
            <w:vAlign w:val="center"/>
          </w:tcPr>
          <w:p>
            <w:pPr>
              <w:pStyle w:val="11"/>
            </w:pPr>
            <w:r>
              <w:t>支付方式是否合规</w:t>
            </w:r>
          </w:p>
        </w:tc>
        <w:tc>
          <w:tcPr>
            <w:tcW w:w="1276" w:type="dxa"/>
            <w:vAlign w:val="center"/>
          </w:tcPr>
          <w:p>
            <w:pPr>
              <w:pStyle w:val="11"/>
            </w:pPr>
            <w:r>
              <w:t>100%</w:t>
            </w:r>
          </w:p>
        </w:tc>
        <w:tc>
          <w:tcPr>
            <w:tcW w:w="1843" w:type="dxa"/>
            <w:vAlign w:val="center"/>
          </w:tcPr>
          <w:p>
            <w:pPr>
              <w:pStyle w:val="11"/>
            </w:pPr>
            <w:r>
              <w:t>支付方式是否合规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支付及时率</w:t>
            </w:r>
          </w:p>
        </w:tc>
        <w:tc>
          <w:tcPr>
            <w:tcW w:w="2891" w:type="dxa"/>
            <w:vAlign w:val="center"/>
          </w:tcPr>
          <w:p>
            <w:pPr>
              <w:pStyle w:val="11"/>
            </w:pPr>
            <w:r>
              <w:t>是否按时拨付</w:t>
            </w:r>
          </w:p>
        </w:tc>
        <w:tc>
          <w:tcPr>
            <w:tcW w:w="1276" w:type="dxa"/>
            <w:vAlign w:val="center"/>
          </w:tcPr>
          <w:p>
            <w:pPr>
              <w:pStyle w:val="11"/>
            </w:pPr>
            <w:r>
              <w:t>100%</w:t>
            </w:r>
          </w:p>
        </w:tc>
        <w:tc>
          <w:tcPr>
            <w:tcW w:w="1843" w:type="dxa"/>
            <w:vAlign w:val="center"/>
          </w:tcPr>
          <w:p>
            <w:pPr>
              <w:pStyle w:val="11"/>
            </w:pPr>
            <w:r>
              <w:t>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经费发放率</w:t>
            </w:r>
          </w:p>
        </w:tc>
        <w:tc>
          <w:tcPr>
            <w:tcW w:w="2891" w:type="dxa"/>
            <w:vAlign w:val="center"/>
          </w:tcPr>
          <w:p>
            <w:pPr>
              <w:pStyle w:val="11"/>
            </w:pPr>
            <w:r>
              <w:t>按照预算标准足额发放</w:t>
            </w:r>
          </w:p>
        </w:tc>
        <w:tc>
          <w:tcPr>
            <w:tcW w:w="1276" w:type="dxa"/>
            <w:vAlign w:val="center"/>
          </w:tcPr>
          <w:p>
            <w:pPr>
              <w:pStyle w:val="11"/>
            </w:pPr>
            <w:r>
              <w:t>100%</w:t>
            </w:r>
          </w:p>
        </w:tc>
        <w:tc>
          <w:tcPr>
            <w:tcW w:w="1843" w:type="dxa"/>
            <w:vAlign w:val="center"/>
          </w:tcPr>
          <w:p>
            <w:pPr>
              <w:pStyle w:val="11"/>
            </w:pPr>
            <w:r>
              <w:t>按照预算标准足额发放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经济效益指标</w:t>
            </w:r>
          </w:p>
        </w:tc>
        <w:tc>
          <w:tcPr>
            <w:tcW w:w="1332" w:type="dxa"/>
            <w:vAlign w:val="center"/>
          </w:tcPr>
          <w:p>
            <w:pPr>
              <w:pStyle w:val="11"/>
            </w:pPr>
            <w:r>
              <w:t>提高效率</w:t>
            </w:r>
          </w:p>
        </w:tc>
        <w:tc>
          <w:tcPr>
            <w:tcW w:w="2891" w:type="dxa"/>
            <w:vAlign w:val="center"/>
          </w:tcPr>
          <w:p>
            <w:pPr>
              <w:pStyle w:val="11"/>
            </w:pPr>
            <w:r>
              <w:t>提高效率</w:t>
            </w:r>
          </w:p>
        </w:tc>
        <w:tc>
          <w:tcPr>
            <w:tcW w:w="1276" w:type="dxa"/>
            <w:vAlign w:val="center"/>
          </w:tcPr>
          <w:p>
            <w:pPr>
              <w:pStyle w:val="11"/>
            </w:pPr>
            <w:r>
              <w:t>提高工作效率</w:t>
            </w:r>
          </w:p>
        </w:tc>
        <w:tc>
          <w:tcPr>
            <w:tcW w:w="1843" w:type="dxa"/>
            <w:vAlign w:val="center"/>
          </w:tcPr>
          <w:p>
            <w:pPr>
              <w:pStyle w:val="11"/>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业务保障能力</w:t>
            </w:r>
          </w:p>
        </w:tc>
        <w:tc>
          <w:tcPr>
            <w:tcW w:w="2891" w:type="dxa"/>
            <w:vAlign w:val="center"/>
          </w:tcPr>
          <w:p>
            <w:pPr>
              <w:pStyle w:val="11"/>
            </w:pPr>
            <w:r>
              <w:t>保障相关业务、工作等开展的情况</w:t>
            </w:r>
          </w:p>
        </w:tc>
        <w:tc>
          <w:tcPr>
            <w:tcW w:w="1276" w:type="dxa"/>
            <w:vAlign w:val="center"/>
          </w:tcPr>
          <w:p>
            <w:pPr>
              <w:pStyle w:val="11"/>
            </w:pPr>
            <w:r>
              <w:t>工作正常运转</w:t>
            </w:r>
          </w:p>
        </w:tc>
        <w:tc>
          <w:tcPr>
            <w:tcW w:w="1843" w:type="dxa"/>
            <w:vAlign w:val="center"/>
          </w:tcPr>
          <w:p>
            <w:pPr>
              <w:pStyle w:val="11"/>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服务满意度</w:t>
            </w:r>
          </w:p>
        </w:tc>
        <w:tc>
          <w:tcPr>
            <w:tcW w:w="2891" w:type="dxa"/>
            <w:vAlign w:val="center"/>
          </w:tcPr>
          <w:p>
            <w:pPr>
              <w:pStyle w:val="11"/>
            </w:pPr>
            <w:r>
              <w:t>满意度</w:t>
            </w:r>
          </w:p>
        </w:tc>
        <w:tc>
          <w:tcPr>
            <w:tcW w:w="1276" w:type="dxa"/>
            <w:vAlign w:val="center"/>
          </w:tcPr>
          <w:p>
            <w:pPr>
              <w:pStyle w:val="11"/>
            </w:pPr>
            <w:r>
              <w:t>≥95%</w:t>
            </w:r>
          </w:p>
        </w:tc>
        <w:tc>
          <w:tcPr>
            <w:tcW w:w="1843" w:type="dxa"/>
            <w:vAlign w:val="center"/>
          </w:tcPr>
          <w:p>
            <w:pPr>
              <w:pStyle w:val="11"/>
            </w:pPr>
            <w:r>
              <w:t>服务满意度</w:t>
            </w:r>
          </w:p>
        </w:tc>
      </w:tr>
    </w:tbl>
    <w:p>
      <w:pPr>
        <w:sectPr>
          <w:footerReference r:id="rId5" w:type="default"/>
          <w:footerReference r:id="rId6"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tc>
        <w:tc>
          <w:tcPr>
            <w:tcW w:w="1276" w:type="dxa"/>
            <w:vAlign w:val="center"/>
          </w:tcPr>
          <w:p>
            <w:pPr>
              <w:pStyle w:val="11"/>
            </w:pPr>
            <w:r>
              <w:t>可持续影响指标</w:t>
            </w:r>
          </w:p>
        </w:tc>
        <w:tc>
          <w:tcPr>
            <w:tcW w:w="1332" w:type="dxa"/>
            <w:vAlign w:val="center"/>
          </w:tcPr>
          <w:p>
            <w:pPr>
              <w:pStyle w:val="11"/>
            </w:pPr>
            <w:r>
              <w:t>保证学生的学习正常进行</w:t>
            </w:r>
          </w:p>
        </w:tc>
        <w:tc>
          <w:tcPr>
            <w:tcW w:w="2891" w:type="dxa"/>
            <w:vAlign w:val="center"/>
          </w:tcPr>
          <w:p>
            <w:pPr>
              <w:pStyle w:val="11"/>
            </w:pPr>
            <w:r>
              <w:t>实际接受资助学生数入学比列</w:t>
            </w:r>
          </w:p>
        </w:tc>
        <w:tc>
          <w:tcPr>
            <w:tcW w:w="1276" w:type="dxa"/>
            <w:vAlign w:val="center"/>
          </w:tcPr>
          <w:p>
            <w:pPr>
              <w:pStyle w:val="11"/>
            </w:pPr>
            <w:r>
              <w:t>100%</w:t>
            </w:r>
          </w:p>
        </w:tc>
        <w:tc>
          <w:tcPr>
            <w:tcW w:w="1843" w:type="dxa"/>
            <w:vAlign w:val="center"/>
          </w:tcPr>
          <w:p>
            <w:pPr>
              <w:pStyle w:val="11"/>
            </w:pPr>
            <w:r>
              <w:t>保证学生的学习正常进行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政策持续性</w:t>
            </w:r>
          </w:p>
        </w:tc>
        <w:tc>
          <w:tcPr>
            <w:tcW w:w="2891" w:type="dxa"/>
            <w:vAlign w:val="center"/>
          </w:tcPr>
          <w:p>
            <w:pPr>
              <w:pStyle w:val="11"/>
            </w:pPr>
            <w:r>
              <w:t>在政策实施期间的政策持续性</w:t>
            </w:r>
          </w:p>
        </w:tc>
        <w:tc>
          <w:tcPr>
            <w:tcW w:w="1276" w:type="dxa"/>
            <w:vAlign w:val="center"/>
          </w:tcPr>
          <w:p>
            <w:pPr>
              <w:pStyle w:val="11"/>
            </w:pPr>
            <w:r>
              <w:t>≥96%</w:t>
            </w:r>
          </w:p>
        </w:tc>
        <w:tc>
          <w:tcPr>
            <w:tcW w:w="1843" w:type="dxa"/>
            <w:vAlign w:val="center"/>
          </w:tcPr>
          <w:p>
            <w:pPr>
              <w:pStyle w:val="11"/>
            </w:pPr>
            <w:r>
              <w:t>政策持续性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资助学生的家长满意程度</w:t>
            </w:r>
          </w:p>
        </w:tc>
        <w:tc>
          <w:tcPr>
            <w:tcW w:w="2891" w:type="dxa"/>
            <w:vAlign w:val="center"/>
          </w:tcPr>
          <w:p>
            <w:pPr>
              <w:pStyle w:val="11"/>
            </w:pPr>
            <w:r>
              <w:t>家长满意度</w:t>
            </w:r>
          </w:p>
        </w:tc>
        <w:tc>
          <w:tcPr>
            <w:tcW w:w="1276" w:type="dxa"/>
            <w:vAlign w:val="center"/>
          </w:tcPr>
          <w:p>
            <w:pPr>
              <w:pStyle w:val="11"/>
            </w:pPr>
            <w:r>
              <w:t>≥90%</w:t>
            </w:r>
          </w:p>
        </w:tc>
        <w:tc>
          <w:tcPr>
            <w:tcW w:w="1843" w:type="dxa"/>
            <w:vAlign w:val="center"/>
          </w:tcPr>
          <w:p>
            <w:pPr>
              <w:pStyle w:val="11"/>
            </w:pPr>
            <w:r>
              <w:t>资助学生的家长满意程度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24"/>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.本级三保营养餐计划绩效目标表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360001唐山市开平区教育局本级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13020524P00000510001M</w:t>
            </w:r>
          </w:p>
        </w:tc>
        <w:tc>
          <w:tcPr>
            <w:tcW w:w="1587" w:type="dxa"/>
            <w:vAlign w:val="center"/>
          </w:tcPr>
          <w:p>
            <w:pPr>
              <w:pStyle w:val="10"/>
            </w:pPr>
            <w:r>
              <w:t>项目名称</w:t>
            </w:r>
          </w:p>
        </w:tc>
        <w:tc>
          <w:tcPr>
            <w:tcW w:w="4422" w:type="dxa"/>
            <w:gridSpan w:val="3"/>
            <w:vAlign w:val="center"/>
          </w:tcPr>
          <w:p>
            <w:pPr>
              <w:pStyle w:val="11"/>
            </w:pPr>
            <w:r>
              <w:t>本级三保营养餐计划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89.59</w:t>
            </w:r>
          </w:p>
        </w:tc>
        <w:tc>
          <w:tcPr>
            <w:tcW w:w="1587" w:type="dxa"/>
            <w:vAlign w:val="center"/>
          </w:tcPr>
          <w:p>
            <w:pPr>
              <w:pStyle w:val="10"/>
            </w:pPr>
            <w:r>
              <w:t>其中：财政    资金</w:t>
            </w:r>
          </w:p>
        </w:tc>
        <w:tc>
          <w:tcPr>
            <w:tcW w:w="1304" w:type="dxa"/>
            <w:vAlign w:val="center"/>
          </w:tcPr>
          <w:p>
            <w:pPr>
              <w:pStyle w:val="11"/>
            </w:pPr>
            <w:r>
              <w:t>89.59</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通过为学生提供营养膳食为基本手段采用营养加餐的方式提高农村学生健康水平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25%</w:t>
            </w:r>
          </w:p>
        </w:tc>
        <w:tc>
          <w:tcPr>
            <w:tcW w:w="1587" w:type="dxa"/>
            <w:vAlign w:val="center"/>
          </w:tcPr>
          <w:p>
            <w:pPr>
              <w:pStyle w:val="12"/>
            </w:pPr>
            <w:r>
              <w:t>50%</w:t>
            </w:r>
          </w:p>
        </w:tc>
        <w:tc>
          <w:tcPr>
            <w:tcW w:w="1304" w:type="dxa"/>
            <w:vAlign w:val="center"/>
          </w:tcPr>
          <w:p>
            <w:pPr>
              <w:pStyle w:val="12"/>
            </w:pPr>
            <w:r>
              <w:t>75%</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1.通过为学生提供营养膳食为基本手段采用营养加餐的方式提高农村学生健康水平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完成全区5000名农村小学课间供餐</w:t>
            </w:r>
          </w:p>
        </w:tc>
        <w:tc>
          <w:tcPr>
            <w:tcW w:w="2891" w:type="dxa"/>
            <w:vAlign w:val="center"/>
          </w:tcPr>
          <w:p>
            <w:pPr>
              <w:pStyle w:val="11"/>
            </w:pPr>
            <w:r>
              <w:t>完成蛋奶采购供应</w:t>
            </w:r>
          </w:p>
        </w:tc>
        <w:tc>
          <w:tcPr>
            <w:tcW w:w="1276" w:type="dxa"/>
            <w:vAlign w:val="center"/>
          </w:tcPr>
          <w:p>
            <w:pPr>
              <w:pStyle w:val="11"/>
            </w:pPr>
            <w:r>
              <w:t>≤5000人</w:t>
            </w:r>
          </w:p>
        </w:tc>
        <w:tc>
          <w:tcPr>
            <w:tcW w:w="1843" w:type="dxa"/>
            <w:vAlign w:val="center"/>
          </w:tcPr>
          <w:p>
            <w:pPr>
              <w:pStyle w:val="11"/>
            </w:pPr>
            <w:r>
              <w:t>唐财教（2019）11号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全年12月</w:t>
            </w:r>
          </w:p>
        </w:tc>
        <w:tc>
          <w:tcPr>
            <w:tcW w:w="2891" w:type="dxa"/>
            <w:vAlign w:val="center"/>
          </w:tcPr>
          <w:p>
            <w:pPr>
              <w:pStyle w:val="11"/>
            </w:pPr>
            <w:r>
              <w:t>年底12月完成</w:t>
            </w:r>
          </w:p>
        </w:tc>
        <w:tc>
          <w:tcPr>
            <w:tcW w:w="1276" w:type="dxa"/>
            <w:vAlign w:val="center"/>
          </w:tcPr>
          <w:p>
            <w:pPr>
              <w:pStyle w:val="11"/>
            </w:pPr>
            <w:r>
              <w:t>≤12月</w:t>
            </w:r>
          </w:p>
        </w:tc>
        <w:tc>
          <w:tcPr>
            <w:tcW w:w="1843" w:type="dxa"/>
            <w:vAlign w:val="center"/>
          </w:tcPr>
          <w:p>
            <w:pPr>
              <w:pStyle w:val="11"/>
            </w:pPr>
            <w:r>
              <w:t>唐财教（2019）11号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保障学生奶国家标准和鸡蛋营养指标</w:t>
            </w:r>
          </w:p>
        </w:tc>
        <w:tc>
          <w:tcPr>
            <w:tcW w:w="2891" w:type="dxa"/>
            <w:vAlign w:val="center"/>
          </w:tcPr>
          <w:p>
            <w:pPr>
              <w:pStyle w:val="11"/>
            </w:pPr>
            <w:r>
              <w:t>符合学生奶标准</w:t>
            </w:r>
          </w:p>
        </w:tc>
        <w:tc>
          <w:tcPr>
            <w:tcW w:w="1276" w:type="dxa"/>
            <w:vAlign w:val="center"/>
          </w:tcPr>
          <w:p>
            <w:pPr>
              <w:pStyle w:val="11"/>
            </w:pPr>
            <w:r>
              <w:t>100%</w:t>
            </w:r>
          </w:p>
        </w:tc>
        <w:tc>
          <w:tcPr>
            <w:tcW w:w="1843" w:type="dxa"/>
            <w:vAlign w:val="center"/>
          </w:tcPr>
          <w:p>
            <w:pPr>
              <w:pStyle w:val="11"/>
            </w:pPr>
            <w:r>
              <w:t>唐财教（2019）11号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保证营养餐经费到位及使用</w:t>
            </w:r>
          </w:p>
        </w:tc>
        <w:tc>
          <w:tcPr>
            <w:tcW w:w="2891" w:type="dxa"/>
            <w:vAlign w:val="center"/>
          </w:tcPr>
          <w:p>
            <w:pPr>
              <w:pStyle w:val="11"/>
            </w:pPr>
            <w:r>
              <w:t>营养餐经费使用率</w:t>
            </w:r>
          </w:p>
        </w:tc>
        <w:tc>
          <w:tcPr>
            <w:tcW w:w="1276" w:type="dxa"/>
            <w:vAlign w:val="center"/>
          </w:tcPr>
          <w:p>
            <w:pPr>
              <w:pStyle w:val="11"/>
            </w:pPr>
            <w:r>
              <w:t>100%</w:t>
            </w:r>
          </w:p>
        </w:tc>
        <w:tc>
          <w:tcPr>
            <w:tcW w:w="1843" w:type="dxa"/>
            <w:vAlign w:val="center"/>
          </w:tcPr>
          <w:p>
            <w:pPr>
              <w:pStyle w:val="11"/>
            </w:pPr>
            <w:r>
              <w:t>保障营养餐经费到位率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保障学生健康</w:t>
            </w:r>
          </w:p>
        </w:tc>
        <w:tc>
          <w:tcPr>
            <w:tcW w:w="2891" w:type="dxa"/>
            <w:vAlign w:val="center"/>
          </w:tcPr>
          <w:p>
            <w:pPr>
              <w:pStyle w:val="11"/>
            </w:pPr>
            <w:r>
              <w:t>不断增强学生健康水平</w:t>
            </w:r>
          </w:p>
        </w:tc>
        <w:tc>
          <w:tcPr>
            <w:tcW w:w="1276" w:type="dxa"/>
            <w:vAlign w:val="center"/>
          </w:tcPr>
          <w:p>
            <w:pPr>
              <w:pStyle w:val="11"/>
            </w:pPr>
            <w:r>
              <w:t>≥95%</w:t>
            </w:r>
          </w:p>
        </w:tc>
        <w:tc>
          <w:tcPr>
            <w:tcW w:w="1843" w:type="dxa"/>
            <w:vAlign w:val="center"/>
          </w:tcPr>
          <w:p>
            <w:pPr>
              <w:pStyle w:val="11"/>
            </w:pPr>
            <w:r>
              <w:t>提高学生健康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提升学生体质水平</w:t>
            </w:r>
          </w:p>
        </w:tc>
        <w:tc>
          <w:tcPr>
            <w:tcW w:w="2891" w:type="dxa"/>
            <w:vAlign w:val="center"/>
          </w:tcPr>
          <w:p>
            <w:pPr>
              <w:pStyle w:val="11"/>
            </w:pPr>
            <w:r>
              <w:t>提升学生体质</w:t>
            </w:r>
          </w:p>
        </w:tc>
        <w:tc>
          <w:tcPr>
            <w:tcW w:w="1276" w:type="dxa"/>
            <w:vAlign w:val="center"/>
          </w:tcPr>
          <w:p>
            <w:pPr>
              <w:pStyle w:val="11"/>
            </w:pPr>
            <w:r>
              <w:t>≥95%</w:t>
            </w:r>
          </w:p>
        </w:tc>
        <w:tc>
          <w:tcPr>
            <w:tcW w:w="1843" w:type="dxa"/>
            <w:vAlign w:val="center"/>
          </w:tcPr>
          <w:p>
            <w:pPr>
              <w:pStyle w:val="11"/>
            </w:pPr>
            <w:r>
              <w:t>提升学生体质水平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提高学生满意度和幸福指数</w:t>
            </w:r>
          </w:p>
        </w:tc>
        <w:tc>
          <w:tcPr>
            <w:tcW w:w="2891" w:type="dxa"/>
            <w:vAlign w:val="center"/>
          </w:tcPr>
          <w:p>
            <w:pPr>
              <w:pStyle w:val="11"/>
            </w:pPr>
            <w:r>
              <w:t>学生家长及学校管理人员满意度</w:t>
            </w:r>
          </w:p>
        </w:tc>
        <w:tc>
          <w:tcPr>
            <w:tcW w:w="1276" w:type="dxa"/>
            <w:vAlign w:val="center"/>
          </w:tcPr>
          <w:p>
            <w:pPr>
              <w:pStyle w:val="11"/>
            </w:pPr>
            <w:r>
              <w:t>≥95%</w:t>
            </w:r>
          </w:p>
        </w:tc>
        <w:tc>
          <w:tcPr>
            <w:tcW w:w="1843" w:type="dxa"/>
            <w:vAlign w:val="center"/>
          </w:tcPr>
          <w:p>
            <w:pPr>
              <w:pStyle w:val="11"/>
            </w:pPr>
            <w:r>
              <w:t>学生家长及学校管理人员满意度</w:t>
            </w:r>
          </w:p>
        </w:tc>
      </w:tr>
    </w:tbl>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本级2019-2023年中央水库移民扶持基金项目绩效目标表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326001唐山市开平区农业农村局本级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13020524P009079100068</w:t>
            </w:r>
          </w:p>
        </w:tc>
        <w:tc>
          <w:tcPr>
            <w:tcW w:w="1587" w:type="dxa"/>
            <w:vAlign w:val="center"/>
          </w:tcPr>
          <w:p>
            <w:pPr>
              <w:pStyle w:val="10"/>
            </w:pPr>
            <w:r>
              <w:t>项目名称</w:t>
            </w:r>
          </w:p>
        </w:tc>
        <w:tc>
          <w:tcPr>
            <w:tcW w:w="4422" w:type="dxa"/>
            <w:gridSpan w:val="3"/>
            <w:vAlign w:val="center"/>
          </w:tcPr>
          <w:p>
            <w:pPr>
              <w:pStyle w:val="11"/>
            </w:pPr>
            <w:r>
              <w:t>本级2019-2023年中央水库移民扶持基金项目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500.00</w:t>
            </w:r>
          </w:p>
        </w:tc>
        <w:tc>
          <w:tcPr>
            <w:tcW w:w="1587" w:type="dxa"/>
            <w:vAlign w:val="center"/>
          </w:tcPr>
          <w:p>
            <w:pPr>
              <w:pStyle w:val="10"/>
            </w:pPr>
            <w:r>
              <w:t>其中：财政    资金</w:t>
            </w:r>
          </w:p>
        </w:tc>
        <w:tc>
          <w:tcPr>
            <w:tcW w:w="1304" w:type="dxa"/>
            <w:vAlign w:val="center"/>
          </w:tcPr>
          <w:p>
            <w:pPr>
              <w:pStyle w:val="11"/>
            </w:pPr>
            <w:r>
              <w:t>500.00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用于水库移民村及相关村基础设施建设、医疗保险、生产开发项目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1.用于水库移民村及相关村基础设施建设、医疗保险、生产开发项目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建设任务完成率</w:t>
            </w:r>
          </w:p>
        </w:tc>
        <w:tc>
          <w:tcPr>
            <w:tcW w:w="2891" w:type="dxa"/>
            <w:vAlign w:val="center"/>
          </w:tcPr>
          <w:p>
            <w:pPr>
              <w:pStyle w:val="11"/>
            </w:pPr>
            <w:r>
              <w:t>建设任务完成率</w:t>
            </w:r>
          </w:p>
        </w:tc>
        <w:tc>
          <w:tcPr>
            <w:tcW w:w="1276" w:type="dxa"/>
            <w:vAlign w:val="center"/>
          </w:tcPr>
          <w:p>
            <w:pPr>
              <w:pStyle w:val="11"/>
            </w:pPr>
            <w:r>
              <w:t>≥80%</w:t>
            </w:r>
          </w:p>
        </w:tc>
        <w:tc>
          <w:tcPr>
            <w:tcW w:w="1843" w:type="dxa"/>
            <w:vAlign w:val="center"/>
          </w:tcPr>
          <w:p>
            <w:pPr>
              <w:pStyle w:val="11"/>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数量指标</w:t>
            </w:r>
          </w:p>
        </w:tc>
        <w:tc>
          <w:tcPr>
            <w:tcW w:w="1332" w:type="dxa"/>
            <w:vAlign w:val="center"/>
          </w:tcPr>
          <w:p>
            <w:pPr>
              <w:pStyle w:val="11"/>
            </w:pPr>
            <w:r>
              <w:t>医疗保险受益移民</w:t>
            </w:r>
          </w:p>
        </w:tc>
        <w:tc>
          <w:tcPr>
            <w:tcW w:w="2891" w:type="dxa"/>
            <w:vAlign w:val="center"/>
          </w:tcPr>
          <w:p>
            <w:pPr>
              <w:pStyle w:val="11"/>
            </w:pPr>
            <w:r>
              <w:t>受益人口</w:t>
            </w:r>
          </w:p>
        </w:tc>
        <w:tc>
          <w:tcPr>
            <w:tcW w:w="1276" w:type="dxa"/>
            <w:vAlign w:val="center"/>
          </w:tcPr>
          <w:p>
            <w:pPr>
              <w:pStyle w:val="11"/>
            </w:pPr>
            <w:r>
              <w:t>≤16665人</w:t>
            </w:r>
          </w:p>
        </w:tc>
        <w:tc>
          <w:tcPr>
            <w:tcW w:w="1843" w:type="dxa"/>
            <w:vAlign w:val="center"/>
          </w:tcPr>
          <w:p>
            <w:pPr>
              <w:pStyle w:val="11"/>
            </w:pPr>
            <w:r>
              <w:t>受益人口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验收合格率</w:t>
            </w:r>
          </w:p>
        </w:tc>
        <w:tc>
          <w:tcPr>
            <w:tcW w:w="2891" w:type="dxa"/>
            <w:vAlign w:val="center"/>
          </w:tcPr>
          <w:p>
            <w:pPr>
              <w:pStyle w:val="11"/>
            </w:pPr>
            <w:r>
              <w:t>验收合格比例</w:t>
            </w:r>
          </w:p>
        </w:tc>
        <w:tc>
          <w:tcPr>
            <w:tcW w:w="1276" w:type="dxa"/>
            <w:vAlign w:val="center"/>
          </w:tcPr>
          <w:p>
            <w:pPr>
              <w:pStyle w:val="11"/>
            </w:pPr>
            <w:r>
              <w:t>≥95%</w:t>
            </w:r>
          </w:p>
        </w:tc>
        <w:tc>
          <w:tcPr>
            <w:tcW w:w="1843" w:type="dxa"/>
            <w:vAlign w:val="center"/>
          </w:tcPr>
          <w:p>
            <w:pPr>
              <w:pStyle w:val="11"/>
            </w:pPr>
            <w:r>
              <w:t>验收合格比例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建设周期</w:t>
            </w:r>
          </w:p>
        </w:tc>
        <w:tc>
          <w:tcPr>
            <w:tcW w:w="2891" w:type="dxa"/>
            <w:vAlign w:val="center"/>
          </w:tcPr>
          <w:p>
            <w:pPr>
              <w:pStyle w:val="11"/>
            </w:pPr>
            <w:r>
              <w:t>在规定时间内完成建设内容</w:t>
            </w:r>
          </w:p>
        </w:tc>
        <w:tc>
          <w:tcPr>
            <w:tcW w:w="1276" w:type="dxa"/>
            <w:vAlign w:val="center"/>
          </w:tcPr>
          <w:p>
            <w:pPr>
              <w:pStyle w:val="11"/>
            </w:pPr>
            <w:r>
              <w:t>≤1年</w:t>
            </w:r>
          </w:p>
        </w:tc>
        <w:tc>
          <w:tcPr>
            <w:tcW w:w="1843" w:type="dxa"/>
            <w:vAlign w:val="center"/>
          </w:tcPr>
          <w:p>
            <w:pPr>
              <w:pStyle w:val="11"/>
            </w:pPr>
            <w:r>
              <w:t>在规定时间内完成建设内容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投入资金</w:t>
            </w:r>
          </w:p>
        </w:tc>
        <w:tc>
          <w:tcPr>
            <w:tcW w:w="2891" w:type="dxa"/>
            <w:vAlign w:val="center"/>
          </w:tcPr>
          <w:p>
            <w:pPr>
              <w:pStyle w:val="11"/>
            </w:pPr>
            <w:r>
              <w:t>用计划投资完成建设内容</w:t>
            </w:r>
          </w:p>
        </w:tc>
        <w:tc>
          <w:tcPr>
            <w:tcW w:w="1276" w:type="dxa"/>
            <w:vAlign w:val="center"/>
          </w:tcPr>
          <w:p>
            <w:pPr>
              <w:pStyle w:val="11"/>
            </w:pPr>
            <w:r>
              <w:t>≤5000000元</w:t>
            </w:r>
          </w:p>
        </w:tc>
        <w:tc>
          <w:tcPr>
            <w:tcW w:w="1843" w:type="dxa"/>
            <w:vAlign w:val="center"/>
          </w:tcPr>
          <w:p>
            <w:pPr>
              <w:pStyle w:val="11"/>
            </w:pPr>
            <w:r>
              <w:t>用计划投资完成建设内容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经济效益指标</w:t>
            </w:r>
          </w:p>
        </w:tc>
        <w:tc>
          <w:tcPr>
            <w:tcW w:w="1332" w:type="dxa"/>
            <w:vAlign w:val="center"/>
          </w:tcPr>
          <w:p>
            <w:pPr>
              <w:pStyle w:val="11"/>
            </w:pPr>
            <w:r>
              <w:t>促进移民增收</w:t>
            </w:r>
          </w:p>
        </w:tc>
        <w:tc>
          <w:tcPr>
            <w:tcW w:w="2891" w:type="dxa"/>
            <w:vAlign w:val="center"/>
          </w:tcPr>
          <w:p>
            <w:pPr>
              <w:pStyle w:val="11"/>
            </w:pPr>
            <w:r>
              <w:t>改善生活条件，改善移民收入</w:t>
            </w:r>
          </w:p>
        </w:tc>
        <w:tc>
          <w:tcPr>
            <w:tcW w:w="1276" w:type="dxa"/>
            <w:vAlign w:val="center"/>
          </w:tcPr>
          <w:p>
            <w:pPr>
              <w:pStyle w:val="11"/>
            </w:pPr>
            <w:r>
              <w:t>改善生活条件，改善移民收入</w:t>
            </w:r>
          </w:p>
        </w:tc>
        <w:tc>
          <w:tcPr>
            <w:tcW w:w="1843" w:type="dxa"/>
            <w:vAlign w:val="center"/>
          </w:tcPr>
          <w:p>
            <w:pPr>
              <w:pStyle w:val="11"/>
            </w:pPr>
            <w:r>
              <w:t>改善生活条件，改善移民收入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提高移民生活幸福指数</w:t>
            </w:r>
          </w:p>
        </w:tc>
        <w:tc>
          <w:tcPr>
            <w:tcW w:w="2891" w:type="dxa"/>
            <w:vAlign w:val="center"/>
          </w:tcPr>
          <w:p>
            <w:pPr>
              <w:pStyle w:val="11"/>
            </w:pPr>
            <w:r>
              <w:t>提高移民生活幸福指数</w:t>
            </w:r>
          </w:p>
        </w:tc>
        <w:tc>
          <w:tcPr>
            <w:tcW w:w="1276" w:type="dxa"/>
            <w:vAlign w:val="center"/>
          </w:tcPr>
          <w:p>
            <w:pPr>
              <w:pStyle w:val="11"/>
            </w:pPr>
            <w:r>
              <w:t>提高移民生活幸福指数</w:t>
            </w:r>
          </w:p>
        </w:tc>
        <w:tc>
          <w:tcPr>
            <w:tcW w:w="1843" w:type="dxa"/>
            <w:vAlign w:val="center"/>
          </w:tcPr>
          <w:p>
            <w:pPr>
              <w:pStyle w:val="11"/>
            </w:pPr>
            <w:r>
              <w:t>提高移民生活幸福指数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生态效益指标</w:t>
            </w:r>
          </w:p>
        </w:tc>
        <w:tc>
          <w:tcPr>
            <w:tcW w:w="1332" w:type="dxa"/>
            <w:vAlign w:val="center"/>
          </w:tcPr>
          <w:p>
            <w:pPr>
              <w:pStyle w:val="11"/>
            </w:pPr>
            <w:r>
              <w:t>提高移民村生活环境</w:t>
            </w:r>
          </w:p>
        </w:tc>
        <w:tc>
          <w:tcPr>
            <w:tcW w:w="2891" w:type="dxa"/>
            <w:vAlign w:val="center"/>
          </w:tcPr>
          <w:p>
            <w:pPr>
              <w:pStyle w:val="11"/>
            </w:pPr>
            <w:r>
              <w:t>提高移民村生活环境</w:t>
            </w:r>
          </w:p>
        </w:tc>
        <w:tc>
          <w:tcPr>
            <w:tcW w:w="1276" w:type="dxa"/>
            <w:vAlign w:val="center"/>
          </w:tcPr>
          <w:p>
            <w:pPr>
              <w:pStyle w:val="11"/>
            </w:pPr>
            <w:r>
              <w:t>提高移民村生活环境</w:t>
            </w:r>
          </w:p>
        </w:tc>
        <w:tc>
          <w:tcPr>
            <w:tcW w:w="1843" w:type="dxa"/>
            <w:vAlign w:val="center"/>
          </w:tcPr>
          <w:p>
            <w:pPr>
              <w:pStyle w:val="11"/>
            </w:pPr>
            <w:r>
              <w:t>提高移民村生活环境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可长期使用</w:t>
            </w:r>
          </w:p>
        </w:tc>
        <w:tc>
          <w:tcPr>
            <w:tcW w:w="2891" w:type="dxa"/>
            <w:vAlign w:val="center"/>
          </w:tcPr>
          <w:p>
            <w:pPr>
              <w:pStyle w:val="11"/>
            </w:pPr>
            <w:r>
              <w:t>建成项目在长期时间内正常使用</w:t>
            </w:r>
          </w:p>
        </w:tc>
        <w:tc>
          <w:tcPr>
            <w:tcW w:w="1276" w:type="dxa"/>
            <w:vAlign w:val="center"/>
          </w:tcPr>
          <w:p>
            <w:pPr>
              <w:pStyle w:val="11"/>
            </w:pPr>
            <w:r>
              <w:t>建成项目在长期时间内正常使用</w:t>
            </w:r>
          </w:p>
        </w:tc>
        <w:tc>
          <w:tcPr>
            <w:tcW w:w="1843" w:type="dxa"/>
            <w:vAlign w:val="center"/>
          </w:tcPr>
          <w:p>
            <w:pPr>
              <w:pStyle w:val="11"/>
            </w:pPr>
            <w:r>
              <w:t>建成项目在长期时间内正常使用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移民满意度</w:t>
            </w:r>
          </w:p>
        </w:tc>
        <w:tc>
          <w:tcPr>
            <w:tcW w:w="2891" w:type="dxa"/>
            <w:vAlign w:val="center"/>
          </w:tcPr>
          <w:p>
            <w:pPr>
              <w:pStyle w:val="11"/>
            </w:pPr>
            <w:r>
              <w:t>移民对项目的满意度</w:t>
            </w:r>
          </w:p>
        </w:tc>
        <w:tc>
          <w:tcPr>
            <w:tcW w:w="1276" w:type="dxa"/>
            <w:vAlign w:val="center"/>
          </w:tcPr>
          <w:p>
            <w:pPr>
              <w:pStyle w:val="11"/>
            </w:pPr>
            <w:r>
              <w:t>≥80%</w:t>
            </w:r>
          </w:p>
        </w:tc>
        <w:tc>
          <w:tcPr>
            <w:tcW w:w="1843" w:type="dxa"/>
            <w:vAlign w:val="center"/>
          </w:tcPr>
          <w:p>
            <w:pPr>
              <w:pStyle w:val="11"/>
            </w:pPr>
            <w:r>
              <w:t>移民对项目的满意度</w:t>
            </w:r>
          </w:p>
        </w:tc>
      </w:tr>
    </w:tbl>
    <w:p>
      <w:pPr>
        <w:sectPr>
          <w:footerReference r:id="rId7" w:type="default"/>
          <w:footerReference r:id="rId8"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11"/>
      <w:r>
        <w:rPr>
          <w:rFonts w:ascii="方正仿宋_GBK" w:hAnsi="方正仿宋_GBK" w:eastAsia="方正仿宋_GBK" w:cs="方正仿宋_GBK"/>
          <w:color w:val="000000"/>
          <w:sz w:val="28"/>
        </w:rPr>
        <w:t>8.本级改厕绩效目标表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8"/>
            </w:pPr>
            <w:r>
              <w:t>326001唐山市开平区农业农村局本级</w:t>
            </w:r>
          </w:p>
        </w:tc>
        <w:tc>
          <w:tcPr>
            <w:tcW w:w="1843"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1"/>
            </w:pPr>
            <w:r>
              <w:t>13020524P00907910008F</w:t>
            </w:r>
          </w:p>
        </w:tc>
        <w:tc>
          <w:tcPr>
            <w:tcW w:w="1587" w:type="dxa"/>
            <w:vAlign w:val="center"/>
          </w:tcPr>
          <w:p>
            <w:pPr>
              <w:pStyle w:val="10"/>
            </w:pPr>
            <w:r>
              <w:t>项目名称</w:t>
            </w:r>
          </w:p>
        </w:tc>
        <w:tc>
          <w:tcPr>
            <w:tcW w:w="4422" w:type="dxa"/>
            <w:gridSpan w:val="3"/>
            <w:vAlign w:val="center"/>
          </w:tcPr>
          <w:p>
            <w:pPr>
              <w:pStyle w:val="11"/>
            </w:pPr>
            <w:r>
              <w:t>本级改厕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1"/>
            </w:pPr>
            <w:r>
              <w:t>300.00</w:t>
            </w:r>
          </w:p>
        </w:tc>
        <w:tc>
          <w:tcPr>
            <w:tcW w:w="1587" w:type="dxa"/>
            <w:vAlign w:val="center"/>
          </w:tcPr>
          <w:p>
            <w:pPr>
              <w:pStyle w:val="10"/>
            </w:pPr>
            <w:r>
              <w:t>其中：财政    资金</w:t>
            </w:r>
          </w:p>
        </w:tc>
        <w:tc>
          <w:tcPr>
            <w:tcW w:w="1304" w:type="dxa"/>
            <w:vAlign w:val="center"/>
          </w:tcPr>
          <w:p>
            <w:pPr>
              <w:pStyle w:val="11"/>
            </w:pPr>
            <w:r>
              <w:t>300.00</w:t>
            </w:r>
          </w:p>
        </w:tc>
        <w:tc>
          <w:tcPr>
            <w:tcW w:w="1276" w:type="dxa"/>
            <w:vAlign w:val="center"/>
          </w:tcPr>
          <w:p>
            <w:pPr>
              <w:pStyle w:val="10"/>
            </w:pPr>
            <w:r>
              <w:t>其他资金</w:t>
            </w:r>
          </w:p>
        </w:tc>
        <w:tc>
          <w:tcPr>
            <w:tcW w:w="1843"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1"/>
            </w:pPr>
            <w:r>
              <w:t>改善农村卫生环境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2"/>
            </w:pPr>
            <w:r>
              <w:t xml:space="preserve"> </w:t>
            </w:r>
          </w:p>
        </w:tc>
        <w:tc>
          <w:tcPr>
            <w:tcW w:w="1587" w:type="dxa"/>
            <w:vAlign w:val="center"/>
          </w:tcPr>
          <w:p>
            <w:pPr>
              <w:pStyle w:val="12"/>
            </w:pPr>
            <w:r>
              <w:t xml:space="preserve"> </w:t>
            </w:r>
          </w:p>
        </w:tc>
        <w:tc>
          <w:tcPr>
            <w:tcW w:w="1304" w:type="dxa"/>
            <w:vAlign w:val="center"/>
          </w:tcPr>
          <w:p>
            <w:pPr>
              <w:pStyle w:val="12"/>
            </w:pPr>
            <w:r>
              <w:t xml:space="preserve"> </w:t>
            </w:r>
          </w:p>
        </w:tc>
        <w:tc>
          <w:tcPr>
            <w:tcW w:w="3118"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1"/>
            </w:pPr>
            <w:r>
              <w:t>1.改善农村卫生环境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粪污处理数量</w:t>
            </w:r>
          </w:p>
        </w:tc>
        <w:tc>
          <w:tcPr>
            <w:tcW w:w="2891" w:type="dxa"/>
            <w:vAlign w:val="center"/>
          </w:tcPr>
          <w:p>
            <w:pPr>
              <w:pStyle w:val="11"/>
            </w:pPr>
            <w:r>
              <w:t>全区6个镇全面开展粪污处理</w:t>
            </w:r>
          </w:p>
        </w:tc>
        <w:tc>
          <w:tcPr>
            <w:tcW w:w="1276" w:type="dxa"/>
            <w:vAlign w:val="center"/>
          </w:tcPr>
          <w:p>
            <w:pPr>
              <w:pStyle w:val="11"/>
            </w:pPr>
            <w:r>
              <w:t>6个镇</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质量达标率</w:t>
            </w:r>
          </w:p>
        </w:tc>
        <w:tc>
          <w:tcPr>
            <w:tcW w:w="2891" w:type="dxa"/>
            <w:vAlign w:val="center"/>
          </w:tcPr>
          <w:p>
            <w:pPr>
              <w:pStyle w:val="11"/>
            </w:pPr>
            <w:r>
              <w:t>质量合格率</w:t>
            </w:r>
          </w:p>
        </w:tc>
        <w:tc>
          <w:tcPr>
            <w:tcW w:w="1276" w:type="dxa"/>
            <w:vAlign w:val="center"/>
          </w:tcPr>
          <w:p>
            <w:pPr>
              <w:pStyle w:val="11"/>
            </w:pPr>
            <w:r>
              <w:t>≥80%</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按时完成</w:t>
            </w:r>
          </w:p>
        </w:tc>
        <w:tc>
          <w:tcPr>
            <w:tcW w:w="2891" w:type="dxa"/>
            <w:vAlign w:val="center"/>
          </w:tcPr>
          <w:p>
            <w:pPr>
              <w:pStyle w:val="11"/>
            </w:pPr>
            <w:r>
              <w:t>在预算年度内按时完工</w:t>
            </w:r>
          </w:p>
        </w:tc>
        <w:tc>
          <w:tcPr>
            <w:tcW w:w="1276" w:type="dxa"/>
            <w:vAlign w:val="center"/>
          </w:tcPr>
          <w:p>
            <w:pPr>
              <w:pStyle w:val="11"/>
            </w:pPr>
            <w:r>
              <w:t>≤1年</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投入资金</w:t>
            </w:r>
          </w:p>
        </w:tc>
        <w:tc>
          <w:tcPr>
            <w:tcW w:w="2891" w:type="dxa"/>
            <w:vAlign w:val="center"/>
          </w:tcPr>
          <w:p>
            <w:pPr>
              <w:pStyle w:val="11"/>
            </w:pPr>
            <w:r>
              <w:t>用计划投入资金完成工作任务</w:t>
            </w:r>
          </w:p>
        </w:tc>
        <w:tc>
          <w:tcPr>
            <w:tcW w:w="1276" w:type="dxa"/>
            <w:vAlign w:val="center"/>
          </w:tcPr>
          <w:p>
            <w:pPr>
              <w:pStyle w:val="11"/>
            </w:pPr>
            <w:r>
              <w:t>≤300万元</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效益指标</w:t>
            </w:r>
          </w:p>
        </w:tc>
        <w:tc>
          <w:tcPr>
            <w:tcW w:w="1276" w:type="dxa"/>
            <w:vAlign w:val="center"/>
          </w:tcPr>
          <w:p>
            <w:pPr>
              <w:pStyle w:val="11"/>
            </w:pPr>
            <w:r>
              <w:t>经济效益指标</w:t>
            </w:r>
          </w:p>
        </w:tc>
        <w:tc>
          <w:tcPr>
            <w:tcW w:w="1332" w:type="dxa"/>
            <w:vAlign w:val="center"/>
          </w:tcPr>
          <w:p>
            <w:pPr>
              <w:pStyle w:val="11"/>
            </w:pPr>
            <w:r>
              <w:t>提高农村综合收入</w:t>
            </w:r>
          </w:p>
        </w:tc>
        <w:tc>
          <w:tcPr>
            <w:tcW w:w="2891" w:type="dxa"/>
            <w:vAlign w:val="center"/>
          </w:tcPr>
          <w:p>
            <w:pPr>
              <w:pStyle w:val="11"/>
            </w:pPr>
            <w:r>
              <w:t>提高肥效，优化环境</w:t>
            </w:r>
          </w:p>
        </w:tc>
        <w:tc>
          <w:tcPr>
            <w:tcW w:w="1276" w:type="dxa"/>
            <w:vAlign w:val="center"/>
          </w:tcPr>
          <w:p>
            <w:pPr>
              <w:pStyle w:val="11"/>
            </w:pPr>
            <w:r>
              <w:t>提高肥效，优化环境</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可持续影响指标</w:t>
            </w:r>
          </w:p>
        </w:tc>
        <w:tc>
          <w:tcPr>
            <w:tcW w:w="1332" w:type="dxa"/>
            <w:vAlign w:val="center"/>
          </w:tcPr>
          <w:p>
            <w:pPr>
              <w:pStyle w:val="11"/>
            </w:pPr>
            <w:r>
              <w:t>成果长期有效</w:t>
            </w:r>
          </w:p>
        </w:tc>
        <w:tc>
          <w:tcPr>
            <w:tcW w:w="2891" w:type="dxa"/>
            <w:vAlign w:val="center"/>
          </w:tcPr>
          <w:p>
            <w:pPr>
              <w:pStyle w:val="11"/>
            </w:pPr>
            <w:r>
              <w:t>粪污处理成果长期有效</w:t>
            </w:r>
          </w:p>
        </w:tc>
        <w:tc>
          <w:tcPr>
            <w:tcW w:w="1276" w:type="dxa"/>
            <w:vAlign w:val="center"/>
          </w:tcPr>
          <w:p>
            <w:pPr>
              <w:pStyle w:val="11"/>
            </w:pPr>
            <w:r>
              <w:t>≥5年</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社会效益指标</w:t>
            </w:r>
          </w:p>
        </w:tc>
        <w:tc>
          <w:tcPr>
            <w:tcW w:w="1332" w:type="dxa"/>
            <w:vAlign w:val="center"/>
          </w:tcPr>
          <w:p>
            <w:pPr>
              <w:pStyle w:val="11"/>
            </w:pPr>
            <w:r>
              <w:t>持续改善农村环境</w:t>
            </w:r>
          </w:p>
        </w:tc>
        <w:tc>
          <w:tcPr>
            <w:tcW w:w="2891" w:type="dxa"/>
            <w:vAlign w:val="center"/>
          </w:tcPr>
          <w:p>
            <w:pPr>
              <w:pStyle w:val="11"/>
            </w:pPr>
            <w:r>
              <w:t>持续改善农村环境</w:t>
            </w:r>
          </w:p>
        </w:tc>
        <w:tc>
          <w:tcPr>
            <w:tcW w:w="1276" w:type="dxa"/>
            <w:vAlign w:val="center"/>
          </w:tcPr>
          <w:p>
            <w:pPr>
              <w:pStyle w:val="11"/>
            </w:pPr>
            <w:r>
              <w:t>持续改善农村环境</w:t>
            </w:r>
          </w:p>
        </w:tc>
        <w:tc>
          <w:tcPr>
            <w:tcW w:w="1843" w:type="dxa"/>
            <w:vAlign w:val="center"/>
          </w:tcPr>
          <w:p>
            <w:pPr>
              <w:pStyle w:val="11"/>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满意度</w:t>
            </w:r>
          </w:p>
        </w:tc>
        <w:tc>
          <w:tcPr>
            <w:tcW w:w="2891" w:type="dxa"/>
            <w:vAlign w:val="center"/>
          </w:tcPr>
          <w:p>
            <w:pPr>
              <w:pStyle w:val="11"/>
            </w:pPr>
            <w:r>
              <w:t>满意度</w:t>
            </w:r>
          </w:p>
        </w:tc>
        <w:tc>
          <w:tcPr>
            <w:tcW w:w="1276" w:type="dxa"/>
            <w:vAlign w:val="center"/>
          </w:tcPr>
          <w:p>
            <w:pPr>
              <w:pStyle w:val="11"/>
            </w:pPr>
            <w:r>
              <w:t>≥90%</w:t>
            </w:r>
          </w:p>
        </w:tc>
        <w:tc>
          <w:tcPr>
            <w:tcW w:w="1843" w:type="dxa"/>
            <w:vAlign w:val="center"/>
          </w:tcPr>
          <w:p>
            <w:pPr>
              <w:pStyle w:val="11"/>
            </w:pPr>
            <w:r>
              <w:t>满意度</w:t>
            </w:r>
          </w:p>
        </w:tc>
      </w:tr>
    </w:tbl>
    <w:p>
      <w:pPr>
        <w:widowControl/>
        <w:jc w:val="left"/>
        <w:rPr>
          <w:rFonts w:hint="eastAsia" w:ascii="仿宋_GB2312" w:hAnsi="宋体" w:eastAsia="仿宋_GB2312" w:cs="Arial"/>
          <w:color w:val="333333"/>
          <w:kern w:val="0"/>
          <w:sz w:val="32"/>
          <w:szCs w:val="32"/>
        </w:rPr>
      </w:pPr>
    </w:p>
    <w:p>
      <w:pPr>
        <w:widowControl/>
        <w:jc w:val="left"/>
        <w:rPr>
          <w:rFonts w:ascii="仿宋_GB2312" w:hAnsi="宋体" w:eastAsia="仿宋_GB2312" w:cs="宋体"/>
          <w:b/>
          <w:color w:val="333333"/>
          <w:kern w:val="0"/>
          <w:sz w:val="32"/>
          <w:szCs w:val="32"/>
        </w:rPr>
      </w:pPr>
      <w:r>
        <w:rPr>
          <w:rFonts w:hint="eastAsia" w:ascii="仿宋_GB2312" w:hAnsi="宋体" w:eastAsia="仿宋_GB2312" w:cs="Arial"/>
          <w:b/>
          <w:color w:val="333333"/>
          <w:kern w:val="0"/>
          <w:sz w:val="32"/>
          <w:szCs w:val="32"/>
        </w:rPr>
        <w:t>6、政府采购情况</w:t>
      </w:r>
    </w:p>
    <w:p>
      <w:pPr>
        <w:widowControl/>
        <w:jc w:val="left"/>
        <w:rPr>
          <w:rFonts w:hint="eastAsia" w:ascii="仿宋_GB2312" w:eastAsia="仿宋_GB2312"/>
          <w:sz w:val="32"/>
          <w:szCs w:val="32"/>
        </w:rPr>
      </w:pPr>
      <w:r>
        <w:rPr>
          <w:rFonts w:hint="eastAsia" w:ascii="仿宋_GB2312" w:eastAsia="仿宋_GB2312"/>
          <w:sz w:val="32"/>
          <w:szCs w:val="32"/>
        </w:rPr>
        <w:t>2024年市本级政府采购预算项目资金安排12923.6万元，按资金来源性质分：一般公共预算拨款安排5087万元、基金预算拨款7216万元，财政专户预算12.6万元，上年结转结余资金608万元。</w:t>
      </w:r>
    </w:p>
    <w:p>
      <w:pPr>
        <w:widowControl/>
        <w:jc w:val="left"/>
        <w:rPr>
          <w:rFonts w:ascii="仿宋_GB2312" w:hAnsi="宋体" w:eastAsia="仿宋_GB2312" w:cs="宋体"/>
          <w:b/>
          <w:color w:val="333333"/>
          <w:kern w:val="0"/>
          <w:sz w:val="32"/>
          <w:szCs w:val="32"/>
        </w:rPr>
      </w:pPr>
      <w:r>
        <w:rPr>
          <w:rFonts w:hint="eastAsia" w:ascii="仿宋_GB2312" w:hAnsi="宋体" w:eastAsia="仿宋_GB2312" w:cs="Arial"/>
          <w:b/>
          <w:color w:val="333333"/>
          <w:kern w:val="0"/>
          <w:sz w:val="32"/>
          <w:szCs w:val="32"/>
        </w:rPr>
        <w:t>7、名词解释</w:t>
      </w:r>
    </w:p>
    <w:p>
      <w:pPr>
        <w:widowControl/>
        <w:ind w:firstLine="640" w:firstLineChars="200"/>
        <w:jc w:val="left"/>
        <w:rPr>
          <w:rFonts w:ascii="仿宋_GB2312" w:hAnsi="宋体" w:eastAsia="仿宋_GB2312" w:cs="宋体"/>
          <w:color w:val="333333"/>
          <w:kern w:val="0"/>
          <w:sz w:val="32"/>
          <w:szCs w:val="32"/>
        </w:rPr>
      </w:pPr>
      <w:r>
        <w:rPr>
          <w:rFonts w:hint="eastAsia" w:ascii="仿宋_GB2312" w:hAnsi="Calibri" w:eastAsia="仿宋_GB2312" w:cs="宋体"/>
          <w:color w:val="333333"/>
          <w:kern w:val="0"/>
          <w:sz w:val="32"/>
          <w:szCs w:val="32"/>
        </w:rPr>
        <w:t>一般公共预算：一般公共预算是对以税收为主体的财政收入，安排用于保障和改善民生、推动经济社会发展、维护国家安全、维持国家机构正常运转等方面的收支预算。</w:t>
      </w:r>
    </w:p>
    <w:p>
      <w:pPr>
        <w:widowControl/>
        <w:jc w:val="left"/>
        <w:rPr>
          <w:rFonts w:ascii="仿宋_GB2312" w:hAnsi="宋体" w:eastAsia="仿宋_GB2312" w:cs="宋体"/>
          <w:color w:val="333333"/>
          <w:kern w:val="0"/>
          <w:sz w:val="32"/>
          <w:szCs w:val="32"/>
        </w:rPr>
      </w:pPr>
      <w:r>
        <w:rPr>
          <w:rFonts w:hint="eastAsia" w:ascii="仿宋_GB2312" w:hAnsi="Calibri" w:eastAsia="仿宋_GB2312" w:cs="宋体"/>
          <w:color w:val="333333"/>
          <w:kern w:val="0"/>
          <w:sz w:val="32"/>
          <w:szCs w:val="32"/>
        </w:rPr>
        <w:t xml:space="preserve">    </w:t>
      </w:r>
      <w:r>
        <w:rPr>
          <w:rFonts w:hint="eastAsia" w:ascii="仿宋_GB2312" w:hAnsi="黑体" w:eastAsia="仿宋_GB2312" w:cs="宋体"/>
          <w:color w:val="333333"/>
          <w:kern w:val="0"/>
          <w:sz w:val="32"/>
          <w:szCs w:val="32"/>
        </w:rPr>
        <w:t>政府性基金：</w:t>
      </w:r>
      <w:r>
        <w:rPr>
          <w:rFonts w:hint="eastAsia" w:ascii="仿宋_GB2312" w:hAnsi="Calibri" w:eastAsia="仿宋_GB2312" w:cs="宋体"/>
          <w:color w:val="333333"/>
          <w:kern w:val="0"/>
          <w:sz w:val="32"/>
          <w:szCs w:val="32"/>
        </w:rPr>
        <w:t>政府性基金，是指各级人民政府及其所属部门根据</w:t>
      </w:r>
      <w:r>
        <w:fldChar w:fldCharType="begin"/>
      </w:r>
      <w:r>
        <w:instrText xml:space="preserve"> HYPERLINK "https://baike.so.com/doc/1296429.html" \t "_blank" </w:instrText>
      </w:r>
      <w:r>
        <w:fldChar w:fldCharType="separate"/>
      </w:r>
      <w:r>
        <w:rPr>
          <w:rFonts w:hint="eastAsia" w:ascii="仿宋_GB2312" w:hAnsi="Calibri" w:eastAsia="仿宋_GB2312" w:cs="宋体"/>
          <w:kern w:val="0"/>
          <w:sz w:val="32"/>
          <w:szCs w:val="32"/>
        </w:rPr>
        <w:t>法律</w:t>
      </w:r>
      <w:r>
        <w:rPr>
          <w:rFonts w:hint="eastAsia" w:ascii="仿宋_GB2312" w:hAnsi="Calibri" w:eastAsia="仿宋_GB2312" w:cs="宋体"/>
          <w:kern w:val="0"/>
          <w:sz w:val="32"/>
          <w:szCs w:val="32"/>
        </w:rPr>
        <w:fldChar w:fldCharType="end"/>
      </w:r>
      <w:r>
        <w:rPr>
          <w:rFonts w:hint="eastAsia" w:ascii="仿宋_GB2312" w:hAnsi="Calibri" w:eastAsia="仿宋_GB2312" w:cs="宋体"/>
          <w:color w:val="333333"/>
          <w:kern w:val="0"/>
          <w:sz w:val="32"/>
          <w:szCs w:val="32"/>
        </w:rPr>
        <w:t>、国家行政法规和中共中央、国务院有关文件的规定，为支持某项事业</w:t>
      </w:r>
      <w:r>
        <w:fldChar w:fldCharType="begin"/>
      </w:r>
      <w:r>
        <w:instrText xml:space="preserve"> HYPERLINK "https://baike.so.com/doc/5397508.html" \t "_blank" </w:instrText>
      </w:r>
      <w:r>
        <w:fldChar w:fldCharType="separate"/>
      </w:r>
      <w:r>
        <w:rPr>
          <w:rFonts w:hint="eastAsia" w:ascii="仿宋_GB2312" w:hAnsi="Calibri" w:eastAsia="仿宋_GB2312" w:cs="宋体"/>
          <w:kern w:val="0"/>
          <w:sz w:val="32"/>
          <w:szCs w:val="32"/>
        </w:rPr>
        <w:t>发展</w:t>
      </w:r>
      <w:r>
        <w:rPr>
          <w:rFonts w:hint="eastAsia" w:ascii="仿宋_GB2312" w:hAnsi="Calibri" w:eastAsia="仿宋_GB2312" w:cs="宋体"/>
          <w:kern w:val="0"/>
          <w:sz w:val="32"/>
          <w:szCs w:val="32"/>
        </w:rPr>
        <w:fldChar w:fldCharType="end"/>
      </w:r>
      <w:r>
        <w:rPr>
          <w:rFonts w:hint="eastAsia" w:ascii="仿宋_GB2312" w:hAnsi="Calibri" w:eastAsia="仿宋_GB2312" w:cs="宋体"/>
          <w:color w:val="333333"/>
          <w:kern w:val="0"/>
          <w:sz w:val="32"/>
          <w:szCs w:val="32"/>
        </w:rPr>
        <w:t>，按照国家规定程序批准，向公民、法人和其他组织征收的具有专项用途的资金。包括各种基金、资金、附加和专项</w:t>
      </w:r>
      <w:r>
        <w:fldChar w:fldCharType="begin"/>
      </w:r>
      <w:r>
        <w:instrText xml:space="preserve"> HYPERLINK "https://baike.so.com/doc/1550352.html" \t "_blank" </w:instrText>
      </w:r>
      <w:r>
        <w:fldChar w:fldCharType="separate"/>
      </w:r>
      <w:r>
        <w:rPr>
          <w:rFonts w:hint="eastAsia" w:ascii="仿宋_GB2312" w:hAnsi="Calibri" w:eastAsia="仿宋_GB2312" w:cs="宋体"/>
          <w:kern w:val="0"/>
          <w:sz w:val="32"/>
          <w:szCs w:val="32"/>
        </w:rPr>
        <w:t>收费</w:t>
      </w:r>
      <w:r>
        <w:rPr>
          <w:rFonts w:hint="eastAsia" w:ascii="仿宋_GB2312" w:hAnsi="Calibri" w:eastAsia="仿宋_GB2312" w:cs="宋体"/>
          <w:kern w:val="0"/>
          <w:sz w:val="32"/>
          <w:szCs w:val="32"/>
        </w:rPr>
        <w:fldChar w:fldCharType="end"/>
      </w:r>
      <w:r>
        <w:rPr>
          <w:rFonts w:hint="eastAsia" w:ascii="仿宋_GB2312" w:hAnsi="Calibri" w:eastAsia="仿宋_GB2312" w:cs="宋体"/>
          <w:color w:val="333333"/>
          <w:kern w:val="0"/>
          <w:sz w:val="32"/>
          <w:szCs w:val="32"/>
        </w:rPr>
        <w:t>。</w:t>
      </w:r>
    </w:p>
    <w:p>
      <w:pPr>
        <w:widowControl/>
        <w:spacing w:before="150" w:after="150" w:line="435" w:lineRule="atLeast"/>
        <w:jc w:val="left"/>
        <w:rPr>
          <w:rFonts w:ascii="仿宋_GB2312" w:hAnsi="Calibri" w:eastAsia="仿宋_GB2312" w:cs="宋体"/>
          <w:color w:val="333333"/>
          <w:kern w:val="0"/>
          <w:sz w:val="32"/>
          <w:szCs w:val="32"/>
        </w:rPr>
      </w:pPr>
      <w:r>
        <w:rPr>
          <w:rFonts w:hint="eastAsia" w:ascii="仿宋_GB2312" w:hAnsi="微软雅黑" w:eastAsia="仿宋_GB2312" w:cs="宋体"/>
          <w:color w:val="333333"/>
          <w:kern w:val="0"/>
          <w:sz w:val="32"/>
          <w:szCs w:val="32"/>
        </w:rPr>
        <w:t xml:space="preserve">　    </w:t>
      </w:r>
      <w:r>
        <w:fldChar w:fldCharType="begin"/>
      </w:r>
      <w:r>
        <w:instrText xml:space="preserve"> HYPERLINK "https://www.baidu.com/s?wd=%E4%B8%89%E5%85%AC%E7%BB%8F%E8%B4%B9&amp;tn=44039180_cpr&amp;fenlei=mv6quAkxTZn0IZRqIHckPjm4nH00T1Y3mHTvuhm1mWb1Pj0dnjfd0ZwV5Hcvrjm3rH6sPfKWUMw85HfYnjn4nH6sgvPsT6KdThsqpZwYTjCEQLGCpyw9Uz4Bmy-bIi4WUvYETgN-TLwGUv3EnHTvPjm3P1DdPWmdn1R1nj0Y" \t "_blank" </w:instrText>
      </w:r>
      <w:r>
        <w:fldChar w:fldCharType="separate"/>
      </w:r>
      <w:r>
        <w:rPr>
          <w:rFonts w:hint="eastAsia" w:ascii="仿宋_GB2312" w:hAnsi="Calibri" w:eastAsia="仿宋_GB2312" w:cs="宋体"/>
          <w:kern w:val="0"/>
          <w:sz w:val="32"/>
          <w:szCs w:val="32"/>
        </w:rPr>
        <w:t>三公经费</w:t>
      </w:r>
      <w:r>
        <w:rPr>
          <w:rFonts w:hint="eastAsia" w:ascii="仿宋_GB2312" w:hAnsi="Calibri" w:eastAsia="仿宋_GB2312" w:cs="宋体"/>
          <w:kern w:val="0"/>
          <w:sz w:val="32"/>
          <w:szCs w:val="32"/>
        </w:rPr>
        <w:fldChar w:fldCharType="end"/>
      </w:r>
      <w:r>
        <w:rPr>
          <w:rFonts w:hint="eastAsia" w:ascii="仿宋_GB2312" w:hAnsi="Calibri" w:eastAsia="仿宋_GB2312" w:cs="宋体"/>
          <w:color w:val="333333"/>
          <w:kern w:val="0"/>
          <w:sz w:val="32"/>
          <w:szCs w:val="32"/>
        </w:rPr>
        <w:t>：三公经费指政府部门人员因公出国（境）经费、公务车购置及运行费、公务招待费。</w:t>
      </w:r>
    </w:p>
    <w:p>
      <w:pPr>
        <w:tabs>
          <w:tab w:val="left" w:pos="6111"/>
        </w:tabs>
        <w:jc w:val="left"/>
      </w:pPr>
      <w:r>
        <w:rPr>
          <w:rFonts w:hint="eastAsia"/>
        </w:rPr>
        <w:tab/>
      </w:r>
    </w:p>
    <w:p>
      <w:pPr>
        <w:widowControl/>
        <w:ind w:firstLine="320" w:firstLineChars="100"/>
        <w:jc w:val="left"/>
        <w:rPr>
          <w:rFonts w:ascii="仿宋_GB2312" w:hAnsi="宋体" w:eastAsia="仿宋_GB2312" w:cs="宋体"/>
          <w:b/>
          <w:color w:val="333333"/>
          <w:kern w:val="0"/>
          <w:sz w:val="32"/>
          <w:szCs w:val="32"/>
        </w:rPr>
      </w:pPr>
      <w:r>
        <w:rPr>
          <w:rFonts w:hint="eastAsia" w:ascii="仿宋_GB2312" w:hAnsi="Calibri" w:eastAsia="仿宋_GB2312" w:cs="宋体"/>
          <w:color w:val="333333"/>
          <w:kern w:val="0"/>
          <w:sz w:val="32"/>
          <w:szCs w:val="32"/>
        </w:rPr>
        <w:t>    专项资金：是指国家或有关部门或上级部门下拨</w:t>
      </w:r>
      <w:r>
        <w:fldChar w:fldCharType="begin"/>
      </w:r>
      <w:r>
        <w:instrText xml:space="preserve"> HYPERLINK "https://baike.so.com/doc/485034-513631.html" \t "_blank" </w:instrText>
      </w:r>
      <w:r>
        <w:fldChar w:fldCharType="separate"/>
      </w:r>
      <w:r>
        <w:rPr>
          <w:rFonts w:hint="eastAsia" w:ascii="仿宋_GB2312" w:hAnsi="宋体" w:eastAsia="仿宋_GB2312" w:cs="宋体"/>
          <w:kern w:val="0"/>
          <w:sz w:val="32"/>
          <w:szCs w:val="32"/>
        </w:rPr>
        <w:t>行政事业单位</w:t>
      </w:r>
      <w:r>
        <w:rPr>
          <w:rFonts w:hint="eastAsia" w:ascii="仿宋_GB2312" w:hAnsi="宋体" w:eastAsia="仿宋_GB2312" w:cs="宋体"/>
          <w:kern w:val="0"/>
          <w:sz w:val="32"/>
          <w:szCs w:val="32"/>
        </w:rPr>
        <w:fldChar w:fldCharType="end"/>
      </w:r>
      <w:r>
        <w:rPr>
          <w:rFonts w:hint="eastAsia" w:ascii="仿宋_GB2312" w:hAnsi="宋体" w:eastAsia="仿宋_GB2312" w:cs="宋体"/>
          <w:color w:val="333333"/>
          <w:kern w:val="0"/>
          <w:sz w:val="32"/>
          <w:szCs w:val="32"/>
        </w:rPr>
        <w:t>具有专门指定用途或特殊用途的资金。这种资金都会要求进行单独核算，</w:t>
      </w:r>
      <w:r>
        <w:fldChar w:fldCharType="begin"/>
      </w:r>
      <w:r>
        <w:instrText xml:space="preserve"> HYPERLINK "https://baike.so.com/doc/5394180-5631267.html" \t "_blank" </w:instrText>
      </w:r>
      <w:r>
        <w:fldChar w:fldCharType="separate"/>
      </w:r>
      <w:r>
        <w:rPr>
          <w:rFonts w:hint="eastAsia" w:ascii="仿宋_GB2312" w:hAnsi="宋体" w:eastAsia="仿宋_GB2312" w:cs="宋体"/>
          <w:kern w:val="0"/>
          <w:sz w:val="32"/>
          <w:szCs w:val="32"/>
        </w:rPr>
        <w:t>专款专用</w:t>
      </w:r>
      <w:r>
        <w:rPr>
          <w:rFonts w:hint="eastAsia" w:ascii="仿宋_GB2312" w:hAnsi="宋体" w:eastAsia="仿宋_GB2312" w:cs="宋体"/>
          <w:kern w:val="0"/>
          <w:sz w:val="32"/>
          <w:szCs w:val="32"/>
        </w:rPr>
        <w:fldChar w:fldCharType="end"/>
      </w:r>
      <w:r>
        <w:rPr>
          <w:rFonts w:hint="eastAsia" w:ascii="仿宋_GB2312" w:hAnsi="宋体" w:eastAsia="仿宋_GB2312" w:cs="宋体"/>
          <w:color w:val="333333"/>
          <w:kern w:val="0"/>
          <w:sz w:val="32"/>
          <w:szCs w:val="32"/>
        </w:rPr>
        <w:t>，不能挪作他用，又称专项支出、</w:t>
      </w:r>
      <w:r>
        <w:fldChar w:fldCharType="begin"/>
      </w:r>
      <w:r>
        <w:instrText xml:space="preserve"> HYPERLINK "https://baike.so.com/doc/1833296-1938767.html" \t "_blank" </w:instrText>
      </w:r>
      <w:r>
        <w:fldChar w:fldCharType="separate"/>
      </w: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rPr>
        <w:fldChar w:fldCharType="end"/>
      </w:r>
      <w:r>
        <w:rPr>
          <w:rFonts w:hint="eastAsia" w:ascii="仿宋_GB2312" w:hAnsi="宋体" w:eastAsia="仿宋_GB2312" w:cs="宋体"/>
          <w:color w:val="333333"/>
          <w:kern w:val="0"/>
          <w:sz w:val="32"/>
          <w:szCs w:val="32"/>
        </w:rPr>
        <w:t>、专款等。</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b/>
          <w:color w:val="333333"/>
          <w:kern w:val="0"/>
          <w:sz w:val="32"/>
          <w:szCs w:val="32"/>
        </w:rPr>
        <w:t>8、其他情况说明</w:t>
      </w:r>
      <w:r>
        <w:rPr>
          <w:rFonts w:hint="eastAsia" w:ascii="仿宋_GB2312" w:hAnsi="Calibri" w:eastAsia="仿宋_GB2312" w:cs="宋体"/>
          <w:b/>
          <w:color w:val="333333"/>
          <w:kern w:val="0"/>
          <w:sz w:val="32"/>
          <w:szCs w:val="32"/>
        </w:rPr>
        <w:t>   </w:t>
      </w:r>
    </w:p>
    <w:p>
      <w:pPr>
        <w:widowControl/>
        <w:jc w:val="left"/>
        <w:rPr>
          <w:rFonts w:ascii="仿宋_GB2312" w:eastAsia="仿宋_GB2312"/>
          <w:sz w:val="32"/>
          <w:szCs w:val="32"/>
        </w:rPr>
      </w:pPr>
      <w:r>
        <w:rPr>
          <w:rFonts w:hint="eastAsia" w:ascii="仿宋_GB2312" w:hAnsi="Calibri" w:eastAsia="仿宋_GB2312" w:cs="宋体"/>
          <w:color w:val="333333"/>
          <w:kern w:val="0"/>
          <w:sz w:val="32"/>
          <w:szCs w:val="32"/>
        </w:rPr>
        <w:t>    无其他情况说明。</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97954"/>
    <w:multiLevelType w:val="singleLevel"/>
    <w:tmpl w:val="FBC9795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7B"/>
    <w:rsid w:val="00031BE7"/>
    <w:rsid w:val="00050F96"/>
    <w:rsid w:val="0008517B"/>
    <w:rsid w:val="00121CA8"/>
    <w:rsid w:val="001762BC"/>
    <w:rsid w:val="00190A9F"/>
    <w:rsid w:val="001B5FB6"/>
    <w:rsid w:val="001D0377"/>
    <w:rsid w:val="00261833"/>
    <w:rsid w:val="003202EF"/>
    <w:rsid w:val="003839DB"/>
    <w:rsid w:val="003A5DDC"/>
    <w:rsid w:val="003F43EC"/>
    <w:rsid w:val="00426705"/>
    <w:rsid w:val="004409C1"/>
    <w:rsid w:val="00484EB9"/>
    <w:rsid w:val="004D4886"/>
    <w:rsid w:val="006E095E"/>
    <w:rsid w:val="007956F3"/>
    <w:rsid w:val="007E6710"/>
    <w:rsid w:val="0089480D"/>
    <w:rsid w:val="008A3791"/>
    <w:rsid w:val="00910C9A"/>
    <w:rsid w:val="00977AD7"/>
    <w:rsid w:val="00A43B52"/>
    <w:rsid w:val="00AF2733"/>
    <w:rsid w:val="00AF5F09"/>
    <w:rsid w:val="00B1596E"/>
    <w:rsid w:val="00C350D6"/>
    <w:rsid w:val="00C373B9"/>
    <w:rsid w:val="00CD1E79"/>
    <w:rsid w:val="00D245E4"/>
    <w:rsid w:val="00D75909"/>
    <w:rsid w:val="00DC21DA"/>
    <w:rsid w:val="00F732F3"/>
    <w:rsid w:val="00F837E4"/>
    <w:rsid w:val="15D06C17"/>
    <w:rsid w:val="1A24421D"/>
    <w:rsid w:val="1EC57B16"/>
    <w:rsid w:val="22373BE7"/>
    <w:rsid w:val="28922A28"/>
    <w:rsid w:val="30105D26"/>
    <w:rsid w:val="304D5F34"/>
    <w:rsid w:val="34D521C8"/>
    <w:rsid w:val="378C252C"/>
    <w:rsid w:val="40722195"/>
    <w:rsid w:val="42187A1A"/>
    <w:rsid w:val="49C755DF"/>
    <w:rsid w:val="57DD3973"/>
    <w:rsid w:val="5ED90B1A"/>
    <w:rsid w:val="7AF26EEA"/>
    <w:rsid w:val="7BE62225"/>
    <w:rsid w:val="7EB6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kern w:val="2"/>
      <w:sz w:val="18"/>
      <w:szCs w:val="18"/>
    </w:rPr>
  </w:style>
  <w:style w:type="character" w:customStyle="1" w:styleId="7">
    <w:name w:val="页脚 字符"/>
    <w:basedOn w:val="5"/>
    <w:link w:val="2"/>
    <w:semiHidden/>
    <w:qFormat/>
    <w:uiPriority w:val="99"/>
    <w:rPr>
      <w:kern w:val="2"/>
      <w:sz w:val="18"/>
      <w:szCs w:val="18"/>
    </w:rPr>
  </w:style>
  <w:style w:type="paragraph" w:customStyle="1" w:styleId="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315</Words>
  <Characters>1796</Characters>
  <Lines>14</Lines>
  <Paragraphs>4</Paragraphs>
  <TotalTime>1</TotalTime>
  <ScaleCrop>false</ScaleCrop>
  <LinksUpToDate>false</LinksUpToDate>
  <CharactersWithSpaces>2107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2018-03-19T12:01:00Z</dcterms:created>
  <dc:creator>Microsoft</dc:creator>
  <cp:lastModifiedBy>Love sunny</cp:lastModifiedBy>
  <cp:lastPrinted>2020-07-06T02:16:00Z</cp:lastPrinted>
  <dcterms:modified xsi:type="dcterms:W3CDTF">2024-08-14T09:34:16Z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3101A0B7E28242B9AA5A265A2988F081</vt:lpwstr>
  </property>
</Properties>
</file>