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880" w:firstLineChars="200"/>
        <w:jc w:val="left"/>
        <w:rPr>
          <w:rFonts w:ascii="黑体" w:hAnsi="黑体" w:eastAsia="黑体" w:cs="Arial"/>
          <w:color w:val="333333"/>
          <w:kern w:val="0"/>
          <w:sz w:val="44"/>
          <w:szCs w:val="44"/>
        </w:rPr>
      </w:pPr>
      <w:r>
        <w:rPr>
          <w:rFonts w:hint="eastAsia" w:ascii="黑体" w:hAnsi="黑体" w:eastAsia="黑体" w:cs="Arial"/>
          <w:color w:val="333333"/>
          <w:kern w:val="0"/>
          <w:sz w:val="44"/>
          <w:szCs w:val="44"/>
        </w:rPr>
        <w:t xml:space="preserve">2023年开平区政府总预算情况说明 </w:t>
      </w:r>
    </w:p>
    <w:p>
      <w:pPr>
        <w:widowControl/>
        <w:spacing w:line="270" w:lineRule="atLeast"/>
        <w:jc w:val="left"/>
        <w:rPr>
          <w:rFonts w:ascii="黑体" w:hAnsi="黑体" w:eastAsia="黑体" w:cs="宋体"/>
          <w:color w:val="333333"/>
          <w:kern w:val="0"/>
          <w:sz w:val="44"/>
          <w:szCs w:val="44"/>
        </w:rPr>
      </w:pPr>
      <w:r>
        <w:rPr>
          <w:rFonts w:hint="eastAsia" w:ascii="宋体" w:hAnsi="宋体" w:eastAsia="宋体" w:cs="宋体"/>
          <w:color w:val="333333"/>
          <w:kern w:val="0"/>
          <w:sz w:val="44"/>
          <w:szCs w:val="44"/>
        </w:rPr>
        <w:t> </w:t>
      </w:r>
    </w:p>
    <w:p>
      <w:pPr>
        <w:widowControl/>
        <w:jc w:val="left"/>
        <w:rPr>
          <w:rFonts w:ascii="仿宋_GB2312" w:hAnsi="宋体" w:eastAsia="仿宋_GB2312" w:cs="宋体"/>
          <w:b/>
          <w:bCs w:val="0"/>
          <w:color w:val="333333"/>
          <w:kern w:val="0"/>
          <w:sz w:val="32"/>
          <w:szCs w:val="32"/>
        </w:rPr>
      </w:pPr>
      <w:r>
        <w:rPr>
          <w:rFonts w:hint="eastAsia" w:ascii="仿宋_GB2312" w:hAnsi="宋体" w:eastAsia="仿宋_GB2312" w:cs="宋体"/>
          <w:b/>
          <w:bCs w:val="0"/>
          <w:color w:val="333333"/>
          <w:kern w:val="0"/>
          <w:sz w:val="32"/>
          <w:szCs w:val="32"/>
        </w:rPr>
        <w:t>1</w:t>
      </w:r>
      <w:r>
        <w:rPr>
          <w:rFonts w:hint="eastAsia" w:ascii="仿宋_GB2312" w:hAnsi="宋体" w:eastAsia="仿宋_GB2312" w:cs="Arial"/>
          <w:b/>
          <w:bCs w:val="0"/>
          <w:color w:val="333333"/>
          <w:kern w:val="0"/>
          <w:sz w:val="32"/>
          <w:szCs w:val="32"/>
        </w:rPr>
        <w:t>、转移支付情况说明</w:t>
      </w:r>
    </w:p>
    <w:p>
      <w:pPr>
        <w:widowControl/>
        <w:ind w:firstLine="560"/>
        <w:jc w:val="left"/>
        <w:rPr>
          <w:rFonts w:ascii="仿宋_GB2312" w:hAnsi="宋体" w:eastAsia="仿宋_GB2312" w:cs="Arial"/>
          <w:color w:val="333333"/>
          <w:kern w:val="0"/>
          <w:sz w:val="32"/>
          <w:szCs w:val="32"/>
        </w:rPr>
      </w:pPr>
      <w:r>
        <w:rPr>
          <w:rFonts w:hint="eastAsia" w:ascii="仿宋_GB2312" w:hAnsi="宋体" w:eastAsia="仿宋_GB2312" w:cs="宋体"/>
          <w:color w:val="333333"/>
          <w:kern w:val="0"/>
          <w:sz w:val="32"/>
          <w:szCs w:val="32"/>
        </w:rPr>
        <w:t>2023年</w:t>
      </w:r>
      <w:r>
        <w:rPr>
          <w:rFonts w:hint="eastAsia" w:ascii="仿宋_GB2312" w:hAnsi="宋体" w:eastAsia="仿宋_GB2312" w:cs="Arial"/>
          <w:color w:val="333333"/>
          <w:kern w:val="0"/>
          <w:sz w:val="32"/>
          <w:szCs w:val="32"/>
        </w:rPr>
        <w:t>一般公共预算上级转移支</w:t>
      </w:r>
      <w:r>
        <w:rPr>
          <w:rFonts w:hint="eastAsia" w:ascii="仿宋_GB2312" w:hAnsi="宋体" w:eastAsia="仿宋_GB2312" w:cs="宋体"/>
          <w:color w:val="333333"/>
          <w:kern w:val="0"/>
          <w:sz w:val="32"/>
          <w:szCs w:val="32"/>
        </w:rPr>
        <w:t>付</w:t>
      </w:r>
      <w:r>
        <w:rPr>
          <w:rFonts w:ascii="仿宋_GB2312" w:hAnsi="宋体" w:eastAsia="仿宋_GB2312" w:cs="宋体"/>
          <w:color w:val="333333"/>
          <w:kern w:val="0"/>
          <w:sz w:val="32"/>
          <w:szCs w:val="32"/>
        </w:rPr>
        <w:t>25479</w:t>
      </w:r>
      <w:r>
        <w:rPr>
          <w:rFonts w:hint="eastAsia" w:ascii="仿宋_GB2312" w:hAnsi="宋体" w:eastAsia="仿宋_GB2312" w:cs="宋体"/>
          <w:color w:val="333333"/>
          <w:kern w:val="0"/>
          <w:sz w:val="32"/>
          <w:szCs w:val="32"/>
        </w:rPr>
        <w:t>万元</w:t>
      </w:r>
      <w:r>
        <w:rPr>
          <w:rFonts w:hint="eastAsia" w:ascii="仿宋_GB2312" w:hAnsi="宋体" w:eastAsia="仿宋_GB2312" w:cs="Arial"/>
          <w:color w:val="333333"/>
          <w:kern w:val="0"/>
          <w:sz w:val="32"/>
          <w:szCs w:val="32"/>
        </w:rPr>
        <w:t>，其中：提前下达转移支付收入</w:t>
      </w:r>
      <w:r>
        <w:rPr>
          <w:rFonts w:ascii="仿宋_GB2312" w:hAnsi="宋体" w:eastAsia="仿宋_GB2312" w:cs="宋体"/>
          <w:color w:val="333333"/>
          <w:kern w:val="0"/>
          <w:sz w:val="32"/>
          <w:szCs w:val="32"/>
        </w:rPr>
        <w:t>25479</w:t>
      </w:r>
      <w:r>
        <w:rPr>
          <w:rFonts w:hint="eastAsia" w:ascii="仿宋_GB2312" w:hAnsi="宋体" w:eastAsia="仿宋_GB2312" w:cs="Arial"/>
          <w:color w:val="333333"/>
          <w:kern w:val="0"/>
          <w:sz w:val="32"/>
          <w:szCs w:val="32"/>
        </w:rPr>
        <w:t xml:space="preserve">万元。 </w:t>
      </w:r>
    </w:p>
    <w:p>
      <w:pPr>
        <w:widowControl/>
        <w:ind w:firstLine="560"/>
        <w:jc w:val="left"/>
        <w:rPr>
          <w:rFonts w:ascii="仿宋_GB2312" w:hAnsi="宋体" w:eastAsia="仿宋_GB2312" w:cs="Arial"/>
          <w:color w:val="333333"/>
          <w:kern w:val="0"/>
          <w:sz w:val="32"/>
          <w:szCs w:val="32"/>
        </w:rPr>
      </w:pPr>
      <w:r>
        <w:rPr>
          <w:rFonts w:hint="eastAsia" w:ascii="仿宋_GB2312" w:hAnsi="宋体" w:eastAsia="仿宋_GB2312" w:cs="宋体"/>
          <w:color w:val="333333"/>
          <w:kern w:val="0"/>
          <w:sz w:val="32"/>
          <w:szCs w:val="32"/>
        </w:rPr>
        <w:t>2023年</w:t>
      </w:r>
      <w:r>
        <w:rPr>
          <w:rFonts w:hint="eastAsia" w:ascii="仿宋_GB2312" w:hAnsi="宋体" w:eastAsia="仿宋_GB2312" w:cs="Arial"/>
          <w:color w:val="333333"/>
          <w:kern w:val="0"/>
          <w:sz w:val="32"/>
          <w:szCs w:val="32"/>
        </w:rPr>
        <w:t>政府性基金上级转移支</w:t>
      </w:r>
      <w:r>
        <w:rPr>
          <w:rFonts w:hint="eastAsia" w:ascii="仿宋_GB2312" w:hAnsi="宋体" w:eastAsia="仿宋_GB2312" w:cs="宋体"/>
          <w:color w:val="333333"/>
          <w:kern w:val="0"/>
          <w:sz w:val="32"/>
          <w:szCs w:val="32"/>
        </w:rPr>
        <w:t>付</w:t>
      </w:r>
      <w:r>
        <w:rPr>
          <w:rFonts w:ascii="仿宋_GB2312" w:hAnsi="宋体" w:eastAsia="仿宋_GB2312" w:cs="宋体"/>
          <w:color w:val="333333"/>
          <w:kern w:val="0"/>
          <w:sz w:val="32"/>
          <w:szCs w:val="32"/>
        </w:rPr>
        <w:t>2363</w:t>
      </w:r>
      <w:r>
        <w:rPr>
          <w:rFonts w:hint="eastAsia" w:ascii="仿宋_GB2312" w:hAnsi="宋体" w:eastAsia="仿宋_GB2312" w:cs="宋体"/>
          <w:color w:val="333333"/>
          <w:kern w:val="0"/>
          <w:sz w:val="32"/>
          <w:szCs w:val="32"/>
        </w:rPr>
        <w:t>万元，主要为</w:t>
      </w:r>
      <w:r>
        <w:rPr>
          <w:rFonts w:hint="eastAsia" w:ascii="仿宋_GB2312" w:hAnsi="宋体" w:eastAsia="仿宋_GB2312" w:cs="Arial"/>
          <w:color w:val="333333"/>
          <w:kern w:val="0"/>
          <w:sz w:val="32"/>
          <w:szCs w:val="32"/>
        </w:rPr>
        <w:t>彩票公益金转移支付110万元。</w:t>
      </w:r>
    </w:p>
    <w:p>
      <w:pPr>
        <w:widowControl/>
        <w:ind w:firstLine="560"/>
        <w:jc w:val="left"/>
        <w:rPr>
          <w:rFonts w:ascii="仿宋_GB2312" w:hAnsi="宋体" w:eastAsia="仿宋_GB2312" w:cs="Arial"/>
          <w:color w:val="333333"/>
          <w:kern w:val="0"/>
          <w:sz w:val="32"/>
          <w:szCs w:val="32"/>
        </w:rPr>
      </w:pPr>
      <w:r>
        <w:rPr>
          <w:rFonts w:hint="eastAsia" w:ascii="仿宋_GB2312" w:hAnsi="宋体" w:eastAsia="仿宋_GB2312" w:cs="Arial"/>
          <w:color w:val="333333"/>
          <w:kern w:val="0"/>
          <w:sz w:val="32"/>
          <w:szCs w:val="32"/>
        </w:rPr>
        <w:t>2023年国有资本经营预算上级转移支付</w:t>
      </w:r>
      <w:r>
        <w:rPr>
          <w:rFonts w:ascii="仿宋_GB2312" w:hAnsi="宋体" w:eastAsia="仿宋_GB2312" w:cs="Arial"/>
          <w:color w:val="333333"/>
          <w:kern w:val="0"/>
          <w:sz w:val="32"/>
          <w:szCs w:val="32"/>
        </w:rPr>
        <w:t>357</w:t>
      </w:r>
      <w:r>
        <w:rPr>
          <w:rFonts w:hint="eastAsia" w:ascii="仿宋_GB2312" w:hAnsi="宋体" w:eastAsia="仿宋_GB2312" w:cs="Arial"/>
          <w:color w:val="333333"/>
          <w:kern w:val="0"/>
          <w:sz w:val="32"/>
          <w:szCs w:val="32"/>
        </w:rPr>
        <w:t>万元，全部为解决历史遗留问题及改革成本支出。</w:t>
      </w:r>
    </w:p>
    <w:p>
      <w:pPr>
        <w:widowControl/>
        <w:ind w:firstLine="56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2023年一般公共预算专项转移支付无对下分地区专项转移支付。</w:t>
      </w:r>
    </w:p>
    <w:p>
      <w:pPr>
        <w:widowControl/>
        <w:jc w:val="left"/>
        <w:rPr>
          <w:rFonts w:ascii="仿宋_GB2312" w:eastAsia="仿宋_GB2312"/>
          <w:b/>
          <w:bCs/>
          <w:sz w:val="32"/>
          <w:szCs w:val="32"/>
        </w:rPr>
      </w:pPr>
      <w:r>
        <w:rPr>
          <w:rFonts w:hint="eastAsia" w:ascii="仿宋_GB2312" w:eastAsia="仿宋_GB2312"/>
          <w:b/>
          <w:bCs/>
          <w:sz w:val="32"/>
          <w:szCs w:val="32"/>
        </w:rPr>
        <w:t>2、三公经费预算安排情况说明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2023年，开平区“三公”经费预算合计安排655.09万元（包含一般公共预算、政府性基金预算、国有资本预算），比2022年“三公”经费预算数663.59万元，减少8.5万元，减少1.28%，其中：因公出国境费安排0万元，与上年持平。公务接待费安排0.3万元，与上年持平。公务用车购置费安排180万元，比上年减少4万元，基本与上年持平。公务用车运行维护费安排474.79万元，较上年减少4.5万元，部分单位根据需要进行了压减。</w:t>
      </w:r>
    </w:p>
    <w:p>
      <w:pPr>
        <w:widowControl/>
        <w:numPr>
          <w:ilvl w:val="0"/>
          <w:numId w:val="1"/>
        </w:numPr>
        <w:ind w:left="643" w:hanging="643" w:hangingChars="200"/>
        <w:jc w:val="left"/>
        <w:rPr>
          <w:rFonts w:ascii="仿宋_GB2312" w:hAnsi="宋体" w:eastAsia="仿宋_GB2312" w:cs="宋体"/>
          <w:b/>
          <w:color w:val="333333"/>
          <w:kern w:val="0"/>
          <w:sz w:val="32"/>
          <w:szCs w:val="32"/>
        </w:rPr>
      </w:pPr>
      <w:r>
        <w:rPr>
          <w:rFonts w:hint="eastAsia" w:ascii="仿宋_GB2312" w:hAnsi="宋体" w:eastAsia="仿宋_GB2312" w:cs="Arial"/>
          <w:b/>
          <w:color w:val="333333"/>
          <w:kern w:val="0"/>
          <w:sz w:val="32"/>
          <w:szCs w:val="32"/>
        </w:rPr>
        <w:t>国有资本经营预算说明</w:t>
      </w:r>
    </w:p>
    <w:p>
      <w:pPr>
        <w:widowControl/>
        <w:ind w:firstLine="640" w:firstLineChars="200"/>
        <w:jc w:val="left"/>
        <w:rPr>
          <w:rFonts w:ascii="仿宋_GB2312" w:hAnsi="宋体" w:eastAsia="仿宋_GB2312" w:cs="宋体"/>
          <w:b/>
          <w:color w:val="333333"/>
          <w:kern w:val="0"/>
          <w:sz w:val="32"/>
          <w:szCs w:val="32"/>
        </w:rPr>
      </w:pPr>
      <w:r>
        <w:rPr>
          <w:rFonts w:hint="eastAsia" w:ascii="仿宋_GB2312" w:hAnsi="宋体" w:eastAsia="仿宋_GB2312" w:cs="Arial"/>
          <w:color w:val="333333"/>
          <w:kern w:val="0"/>
          <w:sz w:val="32"/>
          <w:szCs w:val="32"/>
        </w:rPr>
        <w:t>我区国有资本经营预算</w:t>
      </w:r>
      <w:r>
        <w:rPr>
          <w:rFonts w:ascii="仿宋_GB2312" w:hAnsi="宋体" w:eastAsia="仿宋_GB2312" w:cs="Arial"/>
          <w:color w:val="333333"/>
          <w:kern w:val="0"/>
          <w:sz w:val="32"/>
          <w:szCs w:val="32"/>
        </w:rPr>
        <w:t>1200</w:t>
      </w:r>
      <w:r>
        <w:rPr>
          <w:rFonts w:hint="eastAsia" w:ascii="仿宋_GB2312" w:hAnsi="宋体" w:eastAsia="仿宋_GB2312" w:cs="Arial"/>
          <w:color w:val="333333"/>
          <w:kern w:val="0"/>
          <w:sz w:val="32"/>
          <w:szCs w:val="32"/>
        </w:rPr>
        <w:t>万元，全部为上级转移支付资金，为解决历史遗留问题及改革成本支出。</w:t>
      </w:r>
    </w:p>
    <w:p>
      <w:pPr>
        <w:widowControl/>
        <w:numPr>
          <w:ilvl w:val="0"/>
          <w:numId w:val="1"/>
        </w:numPr>
        <w:ind w:left="643" w:hanging="643" w:hangingChars="200"/>
        <w:jc w:val="left"/>
        <w:rPr>
          <w:rFonts w:ascii="仿宋_GB2312" w:hAnsi="宋体" w:eastAsia="仿宋_GB2312" w:cs="Arial"/>
          <w:color w:val="333333"/>
          <w:kern w:val="0"/>
          <w:sz w:val="32"/>
          <w:szCs w:val="32"/>
        </w:rPr>
      </w:pPr>
      <w:r>
        <w:rPr>
          <w:rFonts w:hint="eastAsia" w:ascii="仿宋_GB2312" w:hAnsi="宋体" w:eastAsia="仿宋_GB2312" w:cs="Arial"/>
          <w:b/>
          <w:color w:val="333333"/>
          <w:kern w:val="0"/>
          <w:sz w:val="32"/>
          <w:szCs w:val="32"/>
        </w:rPr>
        <w:t>地方政府债券还本付息情况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我区政府债务限额为66.94亿元，其中一般债务15.96亿元，专项债务50.98亿元。</w:t>
      </w:r>
    </w:p>
    <w:p>
      <w:pPr>
        <w:widowControl/>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截至2022年底，开平区政府债务余额71.82亿元,其中一般债务余额9.64亿元，专项债务余额62.18亿元。</w:t>
      </w:r>
    </w:p>
    <w:p>
      <w:pPr>
        <w:widowControl/>
        <w:jc w:val="left"/>
        <w:rPr>
          <w:rFonts w:ascii="仿宋_GB2312" w:hAnsi="宋体" w:eastAsia="仿宋_GB2312" w:cs="宋体"/>
          <w:b/>
          <w:color w:val="333333"/>
          <w:kern w:val="0"/>
          <w:sz w:val="32"/>
          <w:szCs w:val="32"/>
        </w:rPr>
      </w:pPr>
      <w:r>
        <w:rPr>
          <w:rFonts w:hint="eastAsia" w:ascii="仿宋_GB2312" w:hAnsi="宋体" w:eastAsia="仿宋_GB2312" w:cs="Arial"/>
          <w:b/>
          <w:color w:val="333333"/>
          <w:kern w:val="0"/>
          <w:sz w:val="32"/>
          <w:szCs w:val="32"/>
        </w:rPr>
        <w:t>5、绩效预算工作开展情况</w:t>
      </w:r>
    </w:p>
    <w:p>
      <w:pPr>
        <w:widowControl/>
        <w:ind w:firstLine="560"/>
        <w:jc w:val="left"/>
        <w:rPr>
          <w:rFonts w:hint="eastAsia" w:ascii="仿宋_GB2312" w:hAnsi="宋体" w:eastAsia="仿宋_GB2312" w:cs="Arial"/>
          <w:color w:val="333333"/>
          <w:kern w:val="0"/>
          <w:sz w:val="32"/>
          <w:szCs w:val="32"/>
        </w:rPr>
      </w:pPr>
      <w:r>
        <w:rPr>
          <w:rFonts w:hint="eastAsia" w:ascii="仿宋_GB2312" w:hAnsi="宋体" w:eastAsia="仿宋_GB2312" w:cs="Arial"/>
          <w:color w:val="333333"/>
          <w:kern w:val="0"/>
          <w:sz w:val="32"/>
          <w:szCs w:val="32"/>
        </w:rPr>
        <w:t>全面强化了绩效预算管理基础，根据省市关于2023年预算编制的工作部署，我区2023年预算编制严格按照省厅编制绩效预算的要求布置，使用财政部开发的预算管理信息系统2.0，并通过与各预算单位财务人员积极交流沟通，对绩效预算结构进行了梳理，进一步完善预算绩效管理制度办法和业务流程，参照分行业分领域分层次的核心绩效指标和标准体系制定切合实际的绩效目标指标。推动预算绩效管理扩围升级，按要求将绩效管理覆盖涉及财政资金，延伸到基层单位和资金使用终端，开展部门整体支出绩效评价试点。将预算绩效管理关口从事后评价向事前和事中延伸，提高预算编制的科学性和精准性，防止财政资源配置环节和使用过程中的损失浪费。充分调动部门和资金使用单位的积极性，促进财务和业务管理深度融合，推进预算和绩效管理一体化。</w:t>
      </w:r>
    </w:p>
    <w:p>
      <w:pPr>
        <w:spacing w:before="0" w:after="0"/>
        <w:ind w:firstLine="560"/>
        <w:jc w:val="left"/>
        <w:outlineLvl w:val="3"/>
      </w:pPr>
      <w:bookmarkStart w:id="0" w:name="_Toc_4_4_0000000004"/>
      <w:r>
        <w:rPr>
          <w:rFonts w:ascii="方正仿宋_GBK" w:hAnsi="方正仿宋_GBK" w:eastAsia="方正仿宋_GBK" w:cs="方正仿宋_GBK"/>
          <w:color w:val="000000"/>
          <w:sz w:val="28"/>
        </w:rPr>
        <w:t>1.本级房产服务绩效目标表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333001唐山市开平区住房和城乡建设局本级</w:t>
            </w:r>
          </w:p>
        </w:tc>
        <w:tc>
          <w:tcPr>
            <w:tcW w:w="1843"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13020523P00912810001M</w:t>
            </w:r>
          </w:p>
        </w:tc>
        <w:tc>
          <w:tcPr>
            <w:tcW w:w="1587" w:type="dxa"/>
            <w:vAlign w:val="center"/>
          </w:tcPr>
          <w:p>
            <w:pPr>
              <w:pStyle w:val="10"/>
            </w:pPr>
            <w:r>
              <w:t>项目名称</w:t>
            </w:r>
          </w:p>
        </w:tc>
        <w:tc>
          <w:tcPr>
            <w:tcW w:w="4422" w:type="dxa"/>
            <w:gridSpan w:val="3"/>
            <w:vAlign w:val="center"/>
          </w:tcPr>
          <w:p>
            <w:pPr>
              <w:pStyle w:val="11"/>
            </w:pPr>
            <w:r>
              <w:t>本级房产服务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9581131.00</w:t>
            </w:r>
          </w:p>
        </w:tc>
        <w:tc>
          <w:tcPr>
            <w:tcW w:w="1587" w:type="dxa"/>
            <w:vAlign w:val="center"/>
          </w:tcPr>
          <w:p>
            <w:pPr>
              <w:pStyle w:val="10"/>
            </w:pPr>
            <w:r>
              <w:t>其中：财政    资金</w:t>
            </w:r>
          </w:p>
        </w:tc>
        <w:tc>
          <w:tcPr>
            <w:tcW w:w="1304" w:type="dxa"/>
            <w:vAlign w:val="center"/>
          </w:tcPr>
          <w:p>
            <w:pPr>
              <w:pStyle w:val="11"/>
            </w:pPr>
            <w:r>
              <w:t>9581131.00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保证及时、足额发放工资及各项保险、补贴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1.保证及时、足额发放工资及各项保险、补贴</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实发人数比率</w:t>
            </w:r>
          </w:p>
        </w:tc>
        <w:tc>
          <w:tcPr>
            <w:tcW w:w="2891" w:type="dxa"/>
            <w:vAlign w:val="center"/>
          </w:tcPr>
          <w:p>
            <w:pPr>
              <w:pStyle w:val="11"/>
            </w:pPr>
            <w:r>
              <w:t>实发人数占应发人数比率</w:t>
            </w:r>
          </w:p>
        </w:tc>
        <w:tc>
          <w:tcPr>
            <w:tcW w:w="1276" w:type="dxa"/>
            <w:vAlign w:val="center"/>
          </w:tcPr>
          <w:p>
            <w:pPr>
              <w:pStyle w:val="11"/>
            </w:pPr>
            <w:r>
              <w:t>100%</w:t>
            </w:r>
          </w:p>
        </w:tc>
        <w:tc>
          <w:tcPr>
            <w:tcW w:w="1843" w:type="dxa"/>
            <w:vAlign w:val="center"/>
          </w:tcPr>
          <w:p>
            <w:pPr>
              <w:pStyle w:val="11"/>
            </w:pPr>
            <w:r>
              <w:t>实发人数占应发人数比率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资金到位率</w:t>
            </w:r>
          </w:p>
        </w:tc>
        <w:tc>
          <w:tcPr>
            <w:tcW w:w="2891" w:type="dxa"/>
            <w:vAlign w:val="center"/>
          </w:tcPr>
          <w:p>
            <w:pPr>
              <w:pStyle w:val="11"/>
            </w:pPr>
            <w:r>
              <w:t>资金到位率</w:t>
            </w:r>
          </w:p>
        </w:tc>
        <w:tc>
          <w:tcPr>
            <w:tcW w:w="1276" w:type="dxa"/>
            <w:vAlign w:val="center"/>
          </w:tcPr>
          <w:p>
            <w:pPr>
              <w:pStyle w:val="11"/>
            </w:pPr>
            <w:r>
              <w:t>100%</w:t>
            </w:r>
          </w:p>
        </w:tc>
        <w:tc>
          <w:tcPr>
            <w:tcW w:w="1843" w:type="dxa"/>
            <w:vAlign w:val="center"/>
          </w:tcPr>
          <w:p>
            <w:pPr>
              <w:pStyle w:val="11"/>
            </w:pPr>
            <w:r>
              <w:t>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支付及时率</w:t>
            </w:r>
          </w:p>
        </w:tc>
        <w:tc>
          <w:tcPr>
            <w:tcW w:w="2891" w:type="dxa"/>
            <w:vAlign w:val="center"/>
          </w:tcPr>
          <w:p>
            <w:pPr>
              <w:pStyle w:val="11"/>
            </w:pPr>
            <w:r>
              <w:t>资金是否按时拨付</w:t>
            </w:r>
          </w:p>
        </w:tc>
        <w:tc>
          <w:tcPr>
            <w:tcW w:w="1276" w:type="dxa"/>
            <w:vAlign w:val="center"/>
          </w:tcPr>
          <w:p>
            <w:pPr>
              <w:pStyle w:val="11"/>
            </w:pPr>
            <w:r>
              <w:t>100%</w:t>
            </w:r>
          </w:p>
        </w:tc>
        <w:tc>
          <w:tcPr>
            <w:tcW w:w="1843" w:type="dxa"/>
            <w:vAlign w:val="center"/>
          </w:tcPr>
          <w:p>
            <w:pPr>
              <w:pStyle w:val="11"/>
            </w:pPr>
            <w:r>
              <w:t>资金是否按时拨付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预算执行率</w:t>
            </w:r>
          </w:p>
        </w:tc>
        <w:tc>
          <w:tcPr>
            <w:tcW w:w="2891" w:type="dxa"/>
            <w:vAlign w:val="center"/>
          </w:tcPr>
          <w:p>
            <w:pPr>
              <w:pStyle w:val="11"/>
            </w:pPr>
            <w:r>
              <w:t>执行预算占全年预算的比例</w:t>
            </w:r>
          </w:p>
        </w:tc>
        <w:tc>
          <w:tcPr>
            <w:tcW w:w="1276" w:type="dxa"/>
            <w:vAlign w:val="center"/>
          </w:tcPr>
          <w:p>
            <w:pPr>
              <w:pStyle w:val="11"/>
            </w:pPr>
            <w:r>
              <w:t>100%</w:t>
            </w:r>
          </w:p>
        </w:tc>
        <w:tc>
          <w:tcPr>
            <w:tcW w:w="1843" w:type="dxa"/>
            <w:vAlign w:val="center"/>
          </w:tcPr>
          <w:p>
            <w:pPr>
              <w:pStyle w:val="11"/>
            </w:pPr>
            <w:r>
              <w:t>执行预算占全年预算的比例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社会效益指标</w:t>
            </w:r>
          </w:p>
        </w:tc>
        <w:tc>
          <w:tcPr>
            <w:tcW w:w="1332" w:type="dxa"/>
            <w:vAlign w:val="center"/>
          </w:tcPr>
          <w:p>
            <w:pPr>
              <w:pStyle w:val="11"/>
            </w:pPr>
            <w:r>
              <w:t>生活保障程度</w:t>
            </w:r>
          </w:p>
        </w:tc>
        <w:tc>
          <w:tcPr>
            <w:tcW w:w="2891" w:type="dxa"/>
            <w:vAlign w:val="center"/>
          </w:tcPr>
          <w:p>
            <w:pPr>
              <w:pStyle w:val="11"/>
            </w:pPr>
            <w:r>
              <w:t>保障职工正常生活</w:t>
            </w:r>
          </w:p>
        </w:tc>
        <w:tc>
          <w:tcPr>
            <w:tcW w:w="1276" w:type="dxa"/>
            <w:vAlign w:val="center"/>
          </w:tcPr>
          <w:p>
            <w:pPr>
              <w:pStyle w:val="11"/>
            </w:pPr>
            <w:r>
              <w:t>保障职工正常生活</w:t>
            </w:r>
          </w:p>
        </w:tc>
        <w:tc>
          <w:tcPr>
            <w:tcW w:w="1843" w:type="dxa"/>
            <w:vAlign w:val="center"/>
          </w:tcPr>
          <w:p>
            <w:pPr>
              <w:pStyle w:val="11"/>
            </w:pPr>
            <w:r>
              <w:t>保障职工正常生活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可持续性服务</w:t>
            </w:r>
          </w:p>
        </w:tc>
        <w:tc>
          <w:tcPr>
            <w:tcW w:w="2891" w:type="dxa"/>
            <w:vAlign w:val="center"/>
          </w:tcPr>
          <w:p>
            <w:pPr>
              <w:pStyle w:val="11"/>
            </w:pPr>
            <w:r>
              <w:t>可持续性服务</w:t>
            </w:r>
          </w:p>
        </w:tc>
        <w:tc>
          <w:tcPr>
            <w:tcW w:w="1276" w:type="dxa"/>
            <w:vAlign w:val="center"/>
          </w:tcPr>
          <w:p>
            <w:pPr>
              <w:pStyle w:val="11"/>
            </w:pPr>
            <w:r>
              <w:t>可持续性服务</w:t>
            </w:r>
          </w:p>
        </w:tc>
        <w:tc>
          <w:tcPr>
            <w:tcW w:w="1843" w:type="dxa"/>
            <w:vAlign w:val="center"/>
          </w:tcPr>
          <w:p>
            <w:pPr>
              <w:pStyle w:val="11"/>
            </w:pPr>
            <w:r>
              <w:t>是否可持续性服务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经济效益指标</w:t>
            </w:r>
          </w:p>
        </w:tc>
        <w:tc>
          <w:tcPr>
            <w:tcW w:w="1332" w:type="dxa"/>
            <w:vAlign w:val="center"/>
          </w:tcPr>
          <w:p>
            <w:pPr>
              <w:pStyle w:val="11"/>
            </w:pPr>
            <w:r>
              <w:t>资金的使用效率</w:t>
            </w:r>
          </w:p>
        </w:tc>
        <w:tc>
          <w:tcPr>
            <w:tcW w:w="2891" w:type="dxa"/>
            <w:vAlign w:val="center"/>
          </w:tcPr>
          <w:p>
            <w:pPr>
              <w:pStyle w:val="11"/>
            </w:pPr>
            <w:r>
              <w:t>资金的使用效率</w:t>
            </w:r>
          </w:p>
        </w:tc>
        <w:tc>
          <w:tcPr>
            <w:tcW w:w="1276" w:type="dxa"/>
            <w:vAlign w:val="center"/>
          </w:tcPr>
          <w:p>
            <w:pPr>
              <w:pStyle w:val="11"/>
            </w:pPr>
            <w:r>
              <w:t>100%</w:t>
            </w:r>
          </w:p>
        </w:tc>
        <w:tc>
          <w:tcPr>
            <w:tcW w:w="1843" w:type="dxa"/>
            <w:vAlign w:val="center"/>
          </w:tcPr>
          <w:p>
            <w:pPr>
              <w:pStyle w:val="11"/>
            </w:pPr>
            <w:r>
              <w:t>资金的使用效率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机关单位工作人员满意度</w:t>
            </w:r>
          </w:p>
        </w:tc>
        <w:tc>
          <w:tcPr>
            <w:tcW w:w="2891" w:type="dxa"/>
            <w:vAlign w:val="center"/>
          </w:tcPr>
          <w:p>
            <w:pPr>
              <w:pStyle w:val="11"/>
            </w:pPr>
            <w:r>
              <w:t>调查中机关单位人员对工资发放的满意度</w:t>
            </w:r>
          </w:p>
        </w:tc>
        <w:tc>
          <w:tcPr>
            <w:tcW w:w="1276" w:type="dxa"/>
            <w:vAlign w:val="center"/>
          </w:tcPr>
          <w:p>
            <w:pPr>
              <w:pStyle w:val="11"/>
            </w:pPr>
            <w:r>
              <w:t>≥95%</w:t>
            </w:r>
          </w:p>
        </w:tc>
        <w:tc>
          <w:tcPr>
            <w:tcW w:w="1843" w:type="dxa"/>
            <w:vAlign w:val="center"/>
          </w:tcPr>
          <w:p>
            <w:pPr>
              <w:pStyle w:val="11"/>
            </w:pPr>
            <w:r>
              <w:t>调查中机关单位人员对工资发放的满意度</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color w:val="000000"/>
          <w:sz w:val="28"/>
        </w:rPr>
        <w:t>2.本级房管小区运行项目绩效目标表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333001唐山市开平区住房和城乡建设局本级</w:t>
            </w:r>
          </w:p>
        </w:tc>
        <w:tc>
          <w:tcPr>
            <w:tcW w:w="1843"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13020523P00913310001G</w:t>
            </w:r>
          </w:p>
        </w:tc>
        <w:tc>
          <w:tcPr>
            <w:tcW w:w="1587" w:type="dxa"/>
            <w:vAlign w:val="center"/>
          </w:tcPr>
          <w:p>
            <w:pPr>
              <w:pStyle w:val="10"/>
            </w:pPr>
            <w:r>
              <w:t>项目名称</w:t>
            </w:r>
          </w:p>
        </w:tc>
        <w:tc>
          <w:tcPr>
            <w:tcW w:w="4422" w:type="dxa"/>
            <w:gridSpan w:val="3"/>
            <w:vAlign w:val="center"/>
          </w:tcPr>
          <w:p>
            <w:pPr>
              <w:pStyle w:val="11"/>
            </w:pPr>
            <w:r>
              <w:t>本级房管小区运行项目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5000000.00</w:t>
            </w:r>
          </w:p>
        </w:tc>
        <w:tc>
          <w:tcPr>
            <w:tcW w:w="1587" w:type="dxa"/>
            <w:vAlign w:val="center"/>
          </w:tcPr>
          <w:p>
            <w:pPr>
              <w:pStyle w:val="10"/>
            </w:pPr>
            <w:r>
              <w:t>其中：财政    资金</w:t>
            </w:r>
          </w:p>
        </w:tc>
        <w:tc>
          <w:tcPr>
            <w:tcW w:w="1304" w:type="dxa"/>
            <w:vAlign w:val="center"/>
          </w:tcPr>
          <w:p>
            <w:pPr>
              <w:pStyle w:val="11"/>
            </w:pPr>
            <w:r>
              <w:t>5000000.00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提高房管小区整体管理水平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20%</w:t>
            </w:r>
          </w:p>
        </w:tc>
        <w:tc>
          <w:tcPr>
            <w:tcW w:w="1587" w:type="dxa"/>
            <w:vAlign w:val="center"/>
          </w:tcPr>
          <w:p>
            <w:pPr>
              <w:pStyle w:val="12"/>
            </w:pPr>
            <w:r>
              <w:t>40%</w:t>
            </w:r>
          </w:p>
        </w:tc>
        <w:tc>
          <w:tcPr>
            <w:tcW w:w="1304" w:type="dxa"/>
            <w:vAlign w:val="center"/>
          </w:tcPr>
          <w:p>
            <w:pPr>
              <w:pStyle w:val="12"/>
            </w:pPr>
            <w:r>
              <w:t>60%</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1.提高房管小区整体管理水平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服务小区数量</w:t>
            </w:r>
          </w:p>
        </w:tc>
        <w:tc>
          <w:tcPr>
            <w:tcW w:w="2891" w:type="dxa"/>
            <w:vAlign w:val="center"/>
          </w:tcPr>
          <w:p>
            <w:pPr>
              <w:pStyle w:val="11"/>
            </w:pPr>
            <w:r>
              <w:t>服务小区数量</w:t>
            </w:r>
          </w:p>
        </w:tc>
        <w:tc>
          <w:tcPr>
            <w:tcW w:w="1276" w:type="dxa"/>
            <w:vAlign w:val="center"/>
          </w:tcPr>
          <w:p>
            <w:pPr>
              <w:pStyle w:val="11"/>
            </w:pPr>
            <w:r>
              <w:t>17个</w:t>
            </w:r>
          </w:p>
        </w:tc>
        <w:tc>
          <w:tcPr>
            <w:tcW w:w="1843" w:type="dxa"/>
            <w:vAlign w:val="center"/>
          </w:tcPr>
          <w:p>
            <w:pPr>
              <w:pStyle w:val="11"/>
            </w:pPr>
            <w:r>
              <w:t>服务小区数量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验收合格率</w:t>
            </w:r>
          </w:p>
        </w:tc>
        <w:tc>
          <w:tcPr>
            <w:tcW w:w="2891" w:type="dxa"/>
            <w:vAlign w:val="center"/>
          </w:tcPr>
          <w:p>
            <w:pPr>
              <w:pStyle w:val="11"/>
            </w:pPr>
            <w:r>
              <w:t>验收合格率</w:t>
            </w:r>
          </w:p>
        </w:tc>
        <w:tc>
          <w:tcPr>
            <w:tcW w:w="1276" w:type="dxa"/>
            <w:vAlign w:val="center"/>
          </w:tcPr>
          <w:p>
            <w:pPr>
              <w:pStyle w:val="11"/>
            </w:pPr>
            <w:r>
              <w:t>≥95%</w:t>
            </w:r>
          </w:p>
        </w:tc>
        <w:tc>
          <w:tcPr>
            <w:tcW w:w="1843" w:type="dxa"/>
            <w:vAlign w:val="center"/>
          </w:tcPr>
          <w:p>
            <w:pPr>
              <w:pStyle w:val="11"/>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付款及时率</w:t>
            </w:r>
          </w:p>
        </w:tc>
        <w:tc>
          <w:tcPr>
            <w:tcW w:w="2891" w:type="dxa"/>
            <w:vAlign w:val="center"/>
          </w:tcPr>
          <w:p>
            <w:pPr>
              <w:pStyle w:val="11"/>
            </w:pPr>
            <w:r>
              <w:t>付款及时率</w:t>
            </w:r>
          </w:p>
        </w:tc>
        <w:tc>
          <w:tcPr>
            <w:tcW w:w="1276" w:type="dxa"/>
            <w:vAlign w:val="center"/>
          </w:tcPr>
          <w:p>
            <w:pPr>
              <w:pStyle w:val="11"/>
            </w:pPr>
            <w:r>
              <w:t>≥95%</w:t>
            </w:r>
          </w:p>
        </w:tc>
        <w:tc>
          <w:tcPr>
            <w:tcW w:w="1843" w:type="dxa"/>
            <w:vAlign w:val="center"/>
          </w:tcPr>
          <w:p>
            <w:pPr>
              <w:pStyle w:val="11"/>
            </w:pPr>
            <w:r>
              <w:t>付款及时率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成本控制</w:t>
            </w:r>
          </w:p>
        </w:tc>
        <w:tc>
          <w:tcPr>
            <w:tcW w:w="2891" w:type="dxa"/>
            <w:vAlign w:val="center"/>
          </w:tcPr>
          <w:p>
            <w:pPr>
              <w:pStyle w:val="11"/>
            </w:pPr>
            <w:r>
              <w:t>成本控制</w:t>
            </w:r>
          </w:p>
        </w:tc>
        <w:tc>
          <w:tcPr>
            <w:tcW w:w="1276" w:type="dxa"/>
            <w:vAlign w:val="center"/>
          </w:tcPr>
          <w:p>
            <w:pPr>
              <w:pStyle w:val="11"/>
            </w:pPr>
            <w:r>
              <w:t>500万元</w:t>
            </w:r>
          </w:p>
        </w:tc>
        <w:tc>
          <w:tcPr>
            <w:tcW w:w="1843" w:type="dxa"/>
            <w:vAlign w:val="center"/>
          </w:tcPr>
          <w:p>
            <w:pPr>
              <w:pStyle w:val="11"/>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社会效益指标</w:t>
            </w:r>
          </w:p>
        </w:tc>
        <w:tc>
          <w:tcPr>
            <w:tcW w:w="1332" w:type="dxa"/>
            <w:vAlign w:val="center"/>
          </w:tcPr>
          <w:p>
            <w:pPr>
              <w:pStyle w:val="11"/>
            </w:pPr>
            <w:r>
              <w:t>提高百姓幸福指数</w:t>
            </w:r>
          </w:p>
        </w:tc>
        <w:tc>
          <w:tcPr>
            <w:tcW w:w="2891" w:type="dxa"/>
            <w:vAlign w:val="center"/>
          </w:tcPr>
          <w:p>
            <w:pPr>
              <w:pStyle w:val="11"/>
            </w:pPr>
            <w:r>
              <w:t>提高百姓幸福指数</w:t>
            </w:r>
          </w:p>
        </w:tc>
        <w:tc>
          <w:tcPr>
            <w:tcW w:w="1276" w:type="dxa"/>
            <w:vAlign w:val="center"/>
          </w:tcPr>
          <w:p>
            <w:pPr>
              <w:pStyle w:val="11"/>
            </w:pPr>
            <w:r>
              <w:t>提高百姓幸福指数</w:t>
            </w:r>
          </w:p>
        </w:tc>
        <w:tc>
          <w:tcPr>
            <w:tcW w:w="1843" w:type="dxa"/>
            <w:vAlign w:val="center"/>
          </w:tcPr>
          <w:p>
            <w:pPr>
              <w:pStyle w:val="11"/>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持续发生影响</w:t>
            </w:r>
          </w:p>
        </w:tc>
        <w:tc>
          <w:tcPr>
            <w:tcW w:w="2891" w:type="dxa"/>
            <w:vAlign w:val="center"/>
          </w:tcPr>
          <w:p>
            <w:pPr>
              <w:pStyle w:val="11"/>
            </w:pPr>
            <w:r>
              <w:t>持续发生影响</w:t>
            </w:r>
          </w:p>
        </w:tc>
        <w:tc>
          <w:tcPr>
            <w:tcW w:w="1276" w:type="dxa"/>
            <w:vAlign w:val="center"/>
          </w:tcPr>
          <w:p>
            <w:pPr>
              <w:pStyle w:val="11"/>
            </w:pPr>
            <w:r>
              <w:t>持续发生影响</w:t>
            </w:r>
          </w:p>
        </w:tc>
        <w:tc>
          <w:tcPr>
            <w:tcW w:w="1843" w:type="dxa"/>
            <w:vAlign w:val="center"/>
          </w:tcPr>
          <w:p>
            <w:pPr>
              <w:pStyle w:val="11"/>
            </w:pPr>
            <w:r>
              <w:t>持续发生影响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满意人数占调查人数比例</w:t>
            </w:r>
          </w:p>
        </w:tc>
        <w:tc>
          <w:tcPr>
            <w:tcW w:w="2891" w:type="dxa"/>
            <w:vAlign w:val="center"/>
          </w:tcPr>
          <w:p>
            <w:pPr>
              <w:pStyle w:val="11"/>
            </w:pPr>
            <w:r>
              <w:t>满意人数占调查人数比例</w:t>
            </w:r>
          </w:p>
        </w:tc>
        <w:tc>
          <w:tcPr>
            <w:tcW w:w="1276" w:type="dxa"/>
            <w:vAlign w:val="center"/>
          </w:tcPr>
          <w:p>
            <w:pPr>
              <w:pStyle w:val="11"/>
            </w:pPr>
            <w:r>
              <w:t>≥95%</w:t>
            </w:r>
          </w:p>
        </w:tc>
        <w:tc>
          <w:tcPr>
            <w:tcW w:w="1843" w:type="dxa"/>
            <w:vAlign w:val="center"/>
          </w:tcPr>
          <w:p>
            <w:pPr>
              <w:pStyle w:val="11"/>
            </w:pPr>
            <w:r>
              <w:t>满意人数占调查人数比例</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color w:val="000000"/>
          <w:sz w:val="28"/>
        </w:rPr>
        <w:t>3.本级农村保洁费用绩效目标表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333001唐山市开平区住房和城乡建设局本级</w:t>
            </w:r>
          </w:p>
        </w:tc>
        <w:tc>
          <w:tcPr>
            <w:tcW w:w="1843"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13020523P009096100015</w:t>
            </w:r>
          </w:p>
        </w:tc>
        <w:tc>
          <w:tcPr>
            <w:tcW w:w="1587" w:type="dxa"/>
            <w:vAlign w:val="center"/>
          </w:tcPr>
          <w:p>
            <w:pPr>
              <w:pStyle w:val="10"/>
            </w:pPr>
            <w:r>
              <w:t>项目名称</w:t>
            </w:r>
          </w:p>
        </w:tc>
        <w:tc>
          <w:tcPr>
            <w:tcW w:w="4422" w:type="dxa"/>
            <w:gridSpan w:val="3"/>
            <w:vAlign w:val="center"/>
          </w:tcPr>
          <w:p>
            <w:pPr>
              <w:pStyle w:val="11"/>
            </w:pPr>
            <w:r>
              <w:t>本级农村保洁费用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15000000.00</w:t>
            </w:r>
          </w:p>
        </w:tc>
        <w:tc>
          <w:tcPr>
            <w:tcW w:w="1587" w:type="dxa"/>
            <w:vAlign w:val="center"/>
          </w:tcPr>
          <w:p>
            <w:pPr>
              <w:pStyle w:val="10"/>
            </w:pPr>
            <w:r>
              <w:t>其中：财政    资金</w:t>
            </w:r>
          </w:p>
        </w:tc>
        <w:tc>
          <w:tcPr>
            <w:tcW w:w="1304" w:type="dxa"/>
            <w:vAlign w:val="center"/>
          </w:tcPr>
          <w:p>
            <w:pPr>
              <w:pStyle w:val="11"/>
            </w:pPr>
            <w:r>
              <w:t>15000000.00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用于我区农村保洁费用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20%</w:t>
            </w:r>
          </w:p>
        </w:tc>
        <w:tc>
          <w:tcPr>
            <w:tcW w:w="1587" w:type="dxa"/>
            <w:vAlign w:val="center"/>
          </w:tcPr>
          <w:p>
            <w:pPr>
              <w:pStyle w:val="12"/>
            </w:pPr>
            <w:r>
              <w:t>50%</w:t>
            </w:r>
          </w:p>
        </w:tc>
        <w:tc>
          <w:tcPr>
            <w:tcW w:w="1304" w:type="dxa"/>
            <w:vAlign w:val="center"/>
          </w:tcPr>
          <w:p>
            <w:pPr>
              <w:pStyle w:val="12"/>
            </w:pPr>
            <w:r>
              <w:t>70%</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1.保证我区农村保洁工作顺利进行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资金需求</w:t>
            </w:r>
          </w:p>
        </w:tc>
        <w:tc>
          <w:tcPr>
            <w:tcW w:w="2891" w:type="dxa"/>
            <w:vAlign w:val="center"/>
          </w:tcPr>
          <w:p>
            <w:pPr>
              <w:pStyle w:val="11"/>
            </w:pPr>
            <w:r>
              <w:t>资金需求</w:t>
            </w:r>
          </w:p>
        </w:tc>
        <w:tc>
          <w:tcPr>
            <w:tcW w:w="1276" w:type="dxa"/>
            <w:vAlign w:val="center"/>
          </w:tcPr>
          <w:p>
            <w:pPr>
              <w:pStyle w:val="11"/>
            </w:pPr>
            <w:r>
              <w:t>15000000元</w:t>
            </w:r>
          </w:p>
        </w:tc>
        <w:tc>
          <w:tcPr>
            <w:tcW w:w="1843" w:type="dxa"/>
            <w:vAlign w:val="center"/>
          </w:tcPr>
          <w:p>
            <w:pPr>
              <w:pStyle w:val="11"/>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验收合格率</w:t>
            </w:r>
          </w:p>
        </w:tc>
        <w:tc>
          <w:tcPr>
            <w:tcW w:w="2891" w:type="dxa"/>
            <w:vAlign w:val="center"/>
          </w:tcPr>
          <w:p>
            <w:pPr>
              <w:pStyle w:val="11"/>
            </w:pPr>
            <w:r>
              <w:t>验收合格率</w:t>
            </w:r>
          </w:p>
        </w:tc>
        <w:tc>
          <w:tcPr>
            <w:tcW w:w="1276" w:type="dxa"/>
            <w:vAlign w:val="center"/>
          </w:tcPr>
          <w:p>
            <w:pPr>
              <w:pStyle w:val="11"/>
            </w:pPr>
            <w:r>
              <w:t>≥95%</w:t>
            </w:r>
          </w:p>
        </w:tc>
        <w:tc>
          <w:tcPr>
            <w:tcW w:w="1843" w:type="dxa"/>
            <w:vAlign w:val="center"/>
          </w:tcPr>
          <w:p>
            <w:pPr>
              <w:pStyle w:val="11"/>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资金发放及时率</w:t>
            </w:r>
          </w:p>
        </w:tc>
        <w:tc>
          <w:tcPr>
            <w:tcW w:w="2891" w:type="dxa"/>
            <w:vAlign w:val="center"/>
          </w:tcPr>
          <w:p>
            <w:pPr>
              <w:pStyle w:val="11"/>
            </w:pPr>
            <w:r>
              <w:t>资金发放及时率</w:t>
            </w:r>
          </w:p>
        </w:tc>
        <w:tc>
          <w:tcPr>
            <w:tcW w:w="1276" w:type="dxa"/>
            <w:vAlign w:val="center"/>
          </w:tcPr>
          <w:p>
            <w:pPr>
              <w:pStyle w:val="11"/>
            </w:pPr>
            <w:r>
              <w:t>≥95%</w:t>
            </w:r>
          </w:p>
        </w:tc>
        <w:tc>
          <w:tcPr>
            <w:tcW w:w="1843" w:type="dxa"/>
            <w:vAlign w:val="center"/>
          </w:tcPr>
          <w:p>
            <w:pPr>
              <w:pStyle w:val="11"/>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节约成本，科学管理</w:t>
            </w:r>
          </w:p>
        </w:tc>
        <w:tc>
          <w:tcPr>
            <w:tcW w:w="2891" w:type="dxa"/>
            <w:vAlign w:val="center"/>
          </w:tcPr>
          <w:p>
            <w:pPr>
              <w:pStyle w:val="11"/>
            </w:pPr>
            <w:r>
              <w:t>节约成本，科学管理</w:t>
            </w:r>
          </w:p>
        </w:tc>
        <w:tc>
          <w:tcPr>
            <w:tcW w:w="1276" w:type="dxa"/>
            <w:vAlign w:val="center"/>
          </w:tcPr>
          <w:p>
            <w:pPr>
              <w:pStyle w:val="11"/>
            </w:pPr>
            <w:r>
              <w:t>节约成本，科学管理</w:t>
            </w:r>
          </w:p>
        </w:tc>
        <w:tc>
          <w:tcPr>
            <w:tcW w:w="1843" w:type="dxa"/>
            <w:vAlign w:val="center"/>
          </w:tcPr>
          <w:p>
            <w:pPr>
              <w:pStyle w:val="11"/>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社会效益指标</w:t>
            </w:r>
          </w:p>
        </w:tc>
        <w:tc>
          <w:tcPr>
            <w:tcW w:w="1332" w:type="dxa"/>
            <w:vAlign w:val="center"/>
          </w:tcPr>
          <w:p>
            <w:pPr>
              <w:pStyle w:val="11"/>
            </w:pPr>
            <w:r>
              <w:t>提高百姓幸福指数</w:t>
            </w:r>
          </w:p>
        </w:tc>
        <w:tc>
          <w:tcPr>
            <w:tcW w:w="2891" w:type="dxa"/>
            <w:vAlign w:val="center"/>
          </w:tcPr>
          <w:p>
            <w:pPr>
              <w:pStyle w:val="11"/>
            </w:pPr>
            <w:r>
              <w:t>提高百姓幸福指数</w:t>
            </w:r>
          </w:p>
        </w:tc>
        <w:tc>
          <w:tcPr>
            <w:tcW w:w="1276" w:type="dxa"/>
            <w:vAlign w:val="center"/>
          </w:tcPr>
          <w:p>
            <w:pPr>
              <w:pStyle w:val="11"/>
            </w:pPr>
            <w:r>
              <w:t>提高百姓幸福指数</w:t>
            </w:r>
          </w:p>
        </w:tc>
        <w:tc>
          <w:tcPr>
            <w:tcW w:w="1843" w:type="dxa"/>
            <w:vAlign w:val="center"/>
          </w:tcPr>
          <w:p>
            <w:pPr>
              <w:pStyle w:val="11"/>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持续发挥作用</w:t>
            </w:r>
          </w:p>
        </w:tc>
        <w:tc>
          <w:tcPr>
            <w:tcW w:w="2891" w:type="dxa"/>
            <w:vAlign w:val="center"/>
          </w:tcPr>
          <w:p>
            <w:pPr>
              <w:pStyle w:val="11"/>
            </w:pPr>
            <w:r>
              <w:t>持续发挥作用</w:t>
            </w:r>
          </w:p>
        </w:tc>
        <w:tc>
          <w:tcPr>
            <w:tcW w:w="1276" w:type="dxa"/>
            <w:vAlign w:val="center"/>
          </w:tcPr>
          <w:p>
            <w:pPr>
              <w:pStyle w:val="11"/>
            </w:pPr>
            <w:r>
              <w:t>持续发挥作用</w:t>
            </w:r>
          </w:p>
        </w:tc>
        <w:tc>
          <w:tcPr>
            <w:tcW w:w="1843" w:type="dxa"/>
            <w:vAlign w:val="center"/>
          </w:tcPr>
          <w:p>
            <w:pPr>
              <w:pStyle w:val="11"/>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满意人数占总人数比例</w:t>
            </w:r>
          </w:p>
        </w:tc>
        <w:tc>
          <w:tcPr>
            <w:tcW w:w="2891" w:type="dxa"/>
            <w:vAlign w:val="center"/>
          </w:tcPr>
          <w:p>
            <w:pPr>
              <w:pStyle w:val="11"/>
            </w:pPr>
            <w:r>
              <w:t>满意人数占总人数比例</w:t>
            </w:r>
          </w:p>
        </w:tc>
        <w:tc>
          <w:tcPr>
            <w:tcW w:w="1276" w:type="dxa"/>
            <w:vAlign w:val="center"/>
          </w:tcPr>
          <w:p>
            <w:pPr>
              <w:pStyle w:val="11"/>
            </w:pPr>
            <w:r>
              <w:t>≥95%</w:t>
            </w:r>
          </w:p>
        </w:tc>
        <w:tc>
          <w:tcPr>
            <w:tcW w:w="1843" w:type="dxa"/>
            <w:vAlign w:val="center"/>
          </w:tcPr>
          <w:p>
            <w:pPr>
              <w:pStyle w:val="11"/>
            </w:pPr>
            <w:r>
              <w:t>满意人数占总人数比例</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color w:val="000000"/>
          <w:sz w:val="28"/>
        </w:rPr>
        <w:t>4.本级三供一业补贴绩效目标表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333001唐山市开平区住房和城乡建设局本级</w:t>
            </w:r>
          </w:p>
        </w:tc>
        <w:tc>
          <w:tcPr>
            <w:tcW w:w="1843"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13020523P00913210001T</w:t>
            </w:r>
          </w:p>
        </w:tc>
        <w:tc>
          <w:tcPr>
            <w:tcW w:w="1587" w:type="dxa"/>
            <w:vAlign w:val="center"/>
          </w:tcPr>
          <w:p>
            <w:pPr>
              <w:pStyle w:val="10"/>
            </w:pPr>
            <w:r>
              <w:t>项目名称</w:t>
            </w:r>
          </w:p>
        </w:tc>
        <w:tc>
          <w:tcPr>
            <w:tcW w:w="4422" w:type="dxa"/>
            <w:gridSpan w:val="3"/>
            <w:vAlign w:val="center"/>
          </w:tcPr>
          <w:p>
            <w:pPr>
              <w:pStyle w:val="11"/>
            </w:pPr>
            <w:r>
              <w:t>本级三供一业补贴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9967666.00</w:t>
            </w:r>
          </w:p>
        </w:tc>
        <w:tc>
          <w:tcPr>
            <w:tcW w:w="1587" w:type="dxa"/>
            <w:vAlign w:val="center"/>
          </w:tcPr>
          <w:p>
            <w:pPr>
              <w:pStyle w:val="10"/>
            </w:pPr>
            <w:r>
              <w:t>其中：财政    资金</w:t>
            </w:r>
          </w:p>
        </w:tc>
        <w:tc>
          <w:tcPr>
            <w:tcW w:w="1304" w:type="dxa"/>
            <w:vAlign w:val="center"/>
          </w:tcPr>
          <w:p>
            <w:pPr>
              <w:pStyle w:val="11"/>
            </w:pPr>
            <w:r>
              <w:t>9967666.00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保证及时、足额发放工资及各项保险、补贴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1.保证及时、足额发放工资及各项保险、补贴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实发人数比率</w:t>
            </w:r>
          </w:p>
        </w:tc>
        <w:tc>
          <w:tcPr>
            <w:tcW w:w="2891" w:type="dxa"/>
            <w:vAlign w:val="center"/>
          </w:tcPr>
          <w:p>
            <w:pPr>
              <w:pStyle w:val="11"/>
            </w:pPr>
            <w:r>
              <w:t>实发人数占应发人数比率</w:t>
            </w:r>
          </w:p>
        </w:tc>
        <w:tc>
          <w:tcPr>
            <w:tcW w:w="1276" w:type="dxa"/>
            <w:vAlign w:val="center"/>
          </w:tcPr>
          <w:p>
            <w:pPr>
              <w:pStyle w:val="11"/>
            </w:pPr>
            <w:r>
              <w:t>100%</w:t>
            </w:r>
          </w:p>
        </w:tc>
        <w:tc>
          <w:tcPr>
            <w:tcW w:w="1843" w:type="dxa"/>
            <w:vAlign w:val="center"/>
          </w:tcPr>
          <w:p>
            <w:pPr>
              <w:pStyle w:val="11"/>
            </w:pPr>
            <w:r>
              <w:t>实发人数占应发人数比率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资金到位率</w:t>
            </w:r>
          </w:p>
        </w:tc>
        <w:tc>
          <w:tcPr>
            <w:tcW w:w="2891" w:type="dxa"/>
            <w:vAlign w:val="center"/>
          </w:tcPr>
          <w:p>
            <w:pPr>
              <w:pStyle w:val="11"/>
            </w:pPr>
            <w:r>
              <w:t>资金到位率</w:t>
            </w:r>
          </w:p>
        </w:tc>
        <w:tc>
          <w:tcPr>
            <w:tcW w:w="1276" w:type="dxa"/>
            <w:vAlign w:val="center"/>
          </w:tcPr>
          <w:p>
            <w:pPr>
              <w:pStyle w:val="11"/>
            </w:pPr>
            <w:r>
              <w:t>100%</w:t>
            </w:r>
          </w:p>
        </w:tc>
        <w:tc>
          <w:tcPr>
            <w:tcW w:w="1843" w:type="dxa"/>
            <w:vAlign w:val="center"/>
          </w:tcPr>
          <w:p>
            <w:pPr>
              <w:pStyle w:val="11"/>
            </w:pPr>
            <w:r>
              <w:t>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支付及时率</w:t>
            </w:r>
          </w:p>
        </w:tc>
        <w:tc>
          <w:tcPr>
            <w:tcW w:w="2891" w:type="dxa"/>
            <w:vAlign w:val="center"/>
          </w:tcPr>
          <w:p>
            <w:pPr>
              <w:pStyle w:val="11"/>
            </w:pPr>
            <w:r>
              <w:t>资金是否按时拨付</w:t>
            </w:r>
          </w:p>
        </w:tc>
        <w:tc>
          <w:tcPr>
            <w:tcW w:w="1276" w:type="dxa"/>
            <w:vAlign w:val="center"/>
          </w:tcPr>
          <w:p>
            <w:pPr>
              <w:pStyle w:val="11"/>
            </w:pPr>
            <w:r>
              <w:t>100%</w:t>
            </w:r>
          </w:p>
        </w:tc>
        <w:tc>
          <w:tcPr>
            <w:tcW w:w="1843" w:type="dxa"/>
            <w:vAlign w:val="center"/>
          </w:tcPr>
          <w:p>
            <w:pPr>
              <w:pStyle w:val="11"/>
            </w:pPr>
            <w:r>
              <w:t>资金是否按时拨付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预算执行率</w:t>
            </w:r>
          </w:p>
        </w:tc>
        <w:tc>
          <w:tcPr>
            <w:tcW w:w="2891" w:type="dxa"/>
            <w:vAlign w:val="center"/>
          </w:tcPr>
          <w:p>
            <w:pPr>
              <w:pStyle w:val="11"/>
            </w:pPr>
            <w:r>
              <w:t>执行预算占全年预算的比例</w:t>
            </w:r>
          </w:p>
        </w:tc>
        <w:tc>
          <w:tcPr>
            <w:tcW w:w="1276" w:type="dxa"/>
            <w:vAlign w:val="center"/>
          </w:tcPr>
          <w:p>
            <w:pPr>
              <w:pStyle w:val="11"/>
            </w:pPr>
            <w:r>
              <w:t>100%</w:t>
            </w:r>
          </w:p>
        </w:tc>
        <w:tc>
          <w:tcPr>
            <w:tcW w:w="1843" w:type="dxa"/>
            <w:vAlign w:val="center"/>
          </w:tcPr>
          <w:p>
            <w:pPr>
              <w:pStyle w:val="11"/>
            </w:pPr>
            <w:r>
              <w:t>执行预算占全年预算的比例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社会效益指标</w:t>
            </w:r>
          </w:p>
        </w:tc>
        <w:tc>
          <w:tcPr>
            <w:tcW w:w="1332" w:type="dxa"/>
            <w:vAlign w:val="center"/>
          </w:tcPr>
          <w:p>
            <w:pPr>
              <w:pStyle w:val="11"/>
            </w:pPr>
            <w:r>
              <w:t>生活保障程度</w:t>
            </w:r>
          </w:p>
        </w:tc>
        <w:tc>
          <w:tcPr>
            <w:tcW w:w="2891" w:type="dxa"/>
            <w:vAlign w:val="center"/>
          </w:tcPr>
          <w:p>
            <w:pPr>
              <w:pStyle w:val="11"/>
            </w:pPr>
            <w:r>
              <w:t>保障职工正常生活</w:t>
            </w:r>
          </w:p>
        </w:tc>
        <w:tc>
          <w:tcPr>
            <w:tcW w:w="1276" w:type="dxa"/>
            <w:vAlign w:val="center"/>
          </w:tcPr>
          <w:p>
            <w:pPr>
              <w:pStyle w:val="11"/>
            </w:pPr>
            <w:r>
              <w:t>保障职工正常生活</w:t>
            </w:r>
          </w:p>
        </w:tc>
        <w:tc>
          <w:tcPr>
            <w:tcW w:w="1843" w:type="dxa"/>
            <w:vAlign w:val="center"/>
          </w:tcPr>
          <w:p>
            <w:pPr>
              <w:pStyle w:val="11"/>
            </w:pPr>
            <w:r>
              <w:t>保障职工正常生活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可持续性服务</w:t>
            </w:r>
          </w:p>
        </w:tc>
        <w:tc>
          <w:tcPr>
            <w:tcW w:w="2891" w:type="dxa"/>
            <w:vAlign w:val="center"/>
          </w:tcPr>
          <w:p>
            <w:pPr>
              <w:pStyle w:val="11"/>
            </w:pPr>
            <w:r>
              <w:t>可持续性服务</w:t>
            </w:r>
          </w:p>
        </w:tc>
        <w:tc>
          <w:tcPr>
            <w:tcW w:w="1276" w:type="dxa"/>
            <w:vAlign w:val="center"/>
          </w:tcPr>
          <w:p>
            <w:pPr>
              <w:pStyle w:val="11"/>
            </w:pPr>
            <w:r>
              <w:t>可持续性服务</w:t>
            </w:r>
          </w:p>
        </w:tc>
        <w:tc>
          <w:tcPr>
            <w:tcW w:w="1843" w:type="dxa"/>
            <w:vAlign w:val="center"/>
          </w:tcPr>
          <w:p>
            <w:pPr>
              <w:pStyle w:val="11"/>
            </w:pPr>
            <w:r>
              <w:t>是否可持续性服务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经济效益指标</w:t>
            </w:r>
          </w:p>
        </w:tc>
        <w:tc>
          <w:tcPr>
            <w:tcW w:w="1332" w:type="dxa"/>
            <w:vAlign w:val="center"/>
          </w:tcPr>
          <w:p>
            <w:pPr>
              <w:pStyle w:val="11"/>
            </w:pPr>
            <w:r>
              <w:t>资金的使用效率</w:t>
            </w:r>
          </w:p>
        </w:tc>
        <w:tc>
          <w:tcPr>
            <w:tcW w:w="2891" w:type="dxa"/>
            <w:vAlign w:val="center"/>
          </w:tcPr>
          <w:p>
            <w:pPr>
              <w:pStyle w:val="11"/>
            </w:pPr>
            <w:r>
              <w:t>资金的使用效率</w:t>
            </w:r>
          </w:p>
        </w:tc>
        <w:tc>
          <w:tcPr>
            <w:tcW w:w="1276" w:type="dxa"/>
            <w:vAlign w:val="center"/>
          </w:tcPr>
          <w:p>
            <w:pPr>
              <w:pStyle w:val="11"/>
            </w:pPr>
            <w:r>
              <w:t>100%</w:t>
            </w:r>
          </w:p>
        </w:tc>
        <w:tc>
          <w:tcPr>
            <w:tcW w:w="1843" w:type="dxa"/>
            <w:vAlign w:val="center"/>
          </w:tcPr>
          <w:p>
            <w:pPr>
              <w:pStyle w:val="11"/>
            </w:pPr>
            <w:r>
              <w:t>资金的使用效率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机关单位工作人员满意度</w:t>
            </w:r>
          </w:p>
        </w:tc>
        <w:tc>
          <w:tcPr>
            <w:tcW w:w="2891" w:type="dxa"/>
            <w:vAlign w:val="center"/>
          </w:tcPr>
          <w:p>
            <w:pPr>
              <w:pStyle w:val="11"/>
            </w:pPr>
            <w:r>
              <w:t>调查中机关单位人员对工资发放的满意度</w:t>
            </w:r>
          </w:p>
        </w:tc>
        <w:tc>
          <w:tcPr>
            <w:tcW w:w="1276" w:type="dxa"/>
            <w:vAlign w:val="center"/>
          </w:tcPr>
          <w:p>
            <w:pPr>
              <w:pStyle w:val="11"/>
            </w:pPr>
            <w:r>
              <w:t>95%</w:t>
            </w:r>
          </w:p>
        </w:tc>
        <w:tc>
          <w:tcPr>
            <w:tcW w:w="1843" w:type="dxa"/>
            <w:vAlign w:val="center"/>
          </w:tcPr>
          <w:p>
            <w:pPr>
              <w:pStyle w:val="11"/>
            </w:pPr>
            <w:r>
              <w:t>调查中机关单位人员对工资发放的满意度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color w:val="000000"/>
          <w:sz w:val="28"/>
        </w:rPr>
        <w:t>5.本级唐山市开平区（城中村）棚户区改造项目绩效目标表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333001唐山市开平区住房和城乡建设局本级</w:t>
            </w:r>
          </w:p>
        </w:tc>
        <w:tc>
          <w:tcPr>
            <w:tcW w:w="1843"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13020523P00PNL2100047</w:t>
            </w:r>
          </w:p>
        </w:tc>
        <w:tc>
          <w:tcPr>
            <w:tcW w:w="1587" w:type="dxa"/>
            <w:vAlign w:val="center"/>
          </w:tcPr>
          <w:p>
            <w:pPr>
              <w:pStyle w:val="10"/>
            </w:pPr>
            <w:r>
              <w:t>项目名称</w:t>
            </w:r>
          </w:p>
        </w:tc>
        <w:tc>
          <w:tcPr>
            <w:tcW w:w="4422" w:type="dxa"/>
            <w:gridSpan w:val="3"/>
            <w:vAlign w:val="center"/>
          </w:tcPr>
          <w:p>
            <w:pPr>
              <w:pStyle w:val="11"/>
            </w:pPr>
            <w:r>
              <w:t>本级唐山市开平区（城中村）棚户区改造项目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500000000.00</w:t>
            </w:r>
          </w:p>
        </w:tc>
        <w:tc>
          <w:tcPr>
            <w:tcW w:w="1587" w:type="dxa"/>
            <w:vAlign w:val="center"/>
          </w:tcPr>
          <w:p>
            <w:pPr>
              <w:pStyle w:val="10"/>
            </w:pPr>
            <w:r>
              <w:t>其中：财政    资金</w:t>
            </w:r>
          </w:p>
        </w:tc>
        <w:tc>
          <w:tcPr>
            <w:tcW w:w="1304" w:type="dxa"/>
            <w:vAlign w:val="center"/>
          </w:tcPr>
          <w:p>
            <w:pPr>
              <w:pStyle w:val="11"/>
            </w:pPr>
            <w:r>
              <w:t>500000000.00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完成我区城中村改造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20%</w:t>
            </w:r>
          </w:p>
        </w:tc>
        <w:tc>
          <w:tcPr>
            <w:tcW w:w="1587" w:type="dxa"/>
            <w:vAlign w:val="center"/>
          </w:tcPr>
          <w:p>
            <w:pPr>
              <w:pStyle w:val="12"/>
            </w:pPr>
            <w:r>
              <w:t>40%</w:t>
            </w:r>
          </w:p>
        </w:tc>
        <w:tc>
          <w:tcPr>
            <w:tcW w:w="1304" w:type="dxa"/>
            <w:vAlign w:val="center"/>
          </w:tcPr>
          <w:p>
            <w:pPr>
              <w:pStyle w:val="12"/>
            </w:pPr>
            <w:r>
              <w:t>60%</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1.完成我区城中村改造</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资金需求</w:t>
            </w:r>
          </w:p>
        </w:tc>
        <w:tc>
          <w:tcPr>
            <w:tcW w:w="2891" w:type="dxa"/>
            <w:vAlign w:val="center"/>
          </w:tcPr>
          <w:p>
            <w:pPr>
              <w:pStyle w:val="11"/>
            </w:pPr>
            <w:r>
              <w:t>资金需求</w:t>
            </w:r>
          </w:p>
        </w:tc>
        <w:tc>
          <w:tcPr>
            <w:tcW w:w="1276" w:type="dxa"/>
            <w:vAlign w:val="center"/>
          </w:tcPr>
          <w:p>
            <w:pPr>
              <w:pStyle w:val="11"/>
            </w:pPr>
            <w:r>
              <w:t>50000万元</w:t>
            </w:r>
          </w:p>
        </w:tc>
        <w:tc>
          <w:tcPr>
            <w:tcW w:w="1843" w:type="dxa"/>
            <w:vAlign w:val="center"/>
          </w:tcPr>
          <w:p>
            <w:pPr>
              <w:pStyle w:val="11"/>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验收合格率</w:t>
            </w:r>
          </w:p>
        </w:tc>
        <w:tc>
          <w:tcPr>
            <w:tcW w:w="2891" w:type="dxa"/>
            <w:vAlign w:val="center"/>
          </w:tcPr>
          <w:p>
            <w:pPr>
              <w:pStyle w:val="11"/>
            </w:pPr>
            <w:r>
              <w:t>验收合格率</w:t>
            </w:r>
          </w:p>
        </w:tc>
        <w:tc>
          <w:tcPr>
            <w:tcW w:w="1276" w:type="dxa"/>
            <w:vAlign w:val="center"/>
          </w:tcPr>
          <w:p>
            <w:pPr>
              <w:pStyle w:val="11"/>
            </w:pPr>
            <w:r>
              <w:t>≥90%</w:t>
            </w:r>
          </w:p>
        </w:tc>
        <w:tc>
          <w:tcPr>
            <w:tcW w:w="1843" w:type="dxa"/>
            <w:vAlign w:val="center"/>
          </w:tcPr>
          <w:p>
            <w:pPr>
              <w:pStyle w:val="11"/>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资金发放及时率</w:t>
            </w:r>
          </w:p>
        </w:tc>
        <w:tc>
          <w:tcPr>
            <w:tcW w:w="2891" w:type="dxa"/>
            <w:vAlign w:val="center"/>
          </w:tcPr>
          <w:p>
            <w:pPr>
              <w:pStyle w:val="11"/>
            </w:pPr>
            <w:r>
              <w:t>资金发放及时率</w:t>
            </w:r>
          </w:p>
        </w:tc>
        <w:tc>
          <w:tcPr>
            <w:tcW w:w="1276" w:type="dxa"/>
            <w:vAlign w:val="center"/>
          </w:tcPr>
          <w:p>
            <w:pPr>
              <w:pStyle w:val="11"/>
            </w:pPr>
            <w:r>
              <w:t>≥90%</w:t>
            </w:r>
          </w:p>
        </w:tc>
        <w:tc>
          <w:tcPr>
            <w:tcW w:w="1843" w:type="dxa"/>
            <w:vAlign w:val="center"/>
          </w:tcPr>
          <w:p>
            <w:pPr>
              <w:pStyle w:val="11"/>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节约成本，科学管理</w:t>
            </w:r>
          </w:p>
        </w:tc>
        <w:tc>
          <w:tcPr>
            <w:tcW w:w="2891" w:type="dxa"/>
            <w:vAlign w:val="center"/>
          </w:tcPr>
          <w:p>
            <w:pPr>
              <w:pStyle w:val="11"/>
            </w:pPr>
            <w:r>
              <w:t>节约成本，科学管理</w:t>
            </w:r>
          </w:p>
        </w:tc>
        <w:tc>
          <w:tcPr>
            <w:tcW w:w="1276" w:type="dxa"/>
            <w:vAlign w:val="center"/>
          </w:tcPr>
          <w:p>
            <w:pPr>
              <w:pStyle w:val="11"/>
            </w:pPr>
            <w:r>
              <w:t>节约成本，科学管理</w:t>
            </w:r>
          </w:p>
        </w:tc>
        <w:tc>
          <w:tcPr>
            <w:tcW w:w="1843" w:type="dxa"/>
            <w:vAlign w:val="center"/>
          </w:tcPr>
          <w:p>
            <w:pPr>
              <w:pStyle w:val="11"/>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社会效益指标</w:t>
            </w:r>
          </w:p>
        </w:tc>
        <w:tc>
          <w:tcPr>
            <w:tcW w:w="1332" w:type="dxa"/>
            <w:vAlign w:val="center"/>
          </w:tcPr>
          <w:p>
            <w:pPr>
              <w:pStyle w:val="11"/>
            </w:pPr>
            <w:r>
              <w:t>提高百姓幸福指数</w:t>
            </w:r>
          </w:p>
        </w:tc>
        <w:tc>
          <w:tcPr>
            <w:tcW w:w="2891" w:type="dxa"/>
            <w:vAlign w:val="center"/>
          </w:tcPr>
          <w:p>
            <w:pPr>
              <w:pStyle w:val="11"/>
            </w:pPr>
            <w:r>
              <w:t>提高百姓幸福指数</w:t>
            </w:r>
          </w:p>
        </w:tc>
        <w:tc>
          <w:tcPr>
            <w:tcW w:w="1276" w:type="dxa"/>
            <w:vAlign w:val="center"/>
          </w:tcPr>
          <w:p>
            <w:pPr>
              <w:pStyle w:val="11"/>
            </w:pPr>
            <w:r>
              <w:t>提高百姓幸福指数</w:t>
            </w:r>
          </w:p>
        </w:tc>
        <w:tc>
          <w:tcPr>
            <w:tcW w:w="1843" w:type="dxa"/>
            <w:vAlign w:val="center"/>
          </w:tcPr>
          <w:p>
            <w:pPr>
              <w:pStyle w:val="11"/>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持续发挥作用</w:t>
            </w:r>
          </w:p>
        </w:tc>
        <w:tc>
          <w:tcPr>
            <w:tcW w:w="2891" w:type="dxa"/>
            <w:vAlign w:val="center"/>
          </w:tcPr>
          <w:p>
            <w:pPr>
              <w:pStyle w:val="11"/>
            </w:pPr>
            <w:r>
              <w:t>持续发挥作用</w:t>
            </w:r>
          </w:p>
        </w:tc>
        <w:tc>
          <w:tcPr>
            <w:tcW w:w="1276" w:type="dxa"/>
            <w:vAlign w:val="center"/>
          </w:tcPr>
          <w:p>
            <w:pPr>
              <w:pStyle w:val="11"/>
            </w:pPr>
            <w:r>
              <w:t>持续发挥作用</w:t>
            </w:r>
          </w:p>
        </w:tc>
        <w:tc>
          <w:tcPr>
            <w:tcW w:w="1843" w:type="dxa"/>
            <w:vAlign w:val="center"/>
          </w:tcPr>
          <w:p>
            <w:pPr>
              <w:pStyle w:val="11"/>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满意人数占总人数比例</w:t>
            </w:r>
          </w:p>
        </w:tc>
        <w:tc>
          <w:tcPr>
            <w:tcW w:w="2891" w:type="dxa"/>
            <w:vAlign w:val="center"/>
          </w:tcPr>
          <w:p>
            <w:pPr>
              <w:pStyle w:val="11"/>
            </w:pPr>
            <w:r>
              <w:t>满意人数占总人数比例</w:t>
            </w:r>
          </w:p>
        </w:tc>
        <w:tc>
          <w:tcPr>
            <w:tcW w:w="1276" w:type="dxa"/>
            <w:vAlign w:val="center"/>
          </w:tcPr>
          <w:p>
            <w:pPr>
              <w:pStyle w:val="11"/>
            </w:pPr>
            <w:r>
              <w:t>≥90%</w:t>
            </w:r>
          </w:p>
        </w:tc>
        <w:tc>
          <w:tcPr>
            <w:tcW w:w="1843" w:type="dxa"/>
            <w:vAlign w:val="center"/>
          </w:tcPr>
          <w:p>
            <w:pPr>
              <w:pStyle w:val="11"/>
            </w:pPr>
            <w:r>
              <w:t>满意人数占总人数比例</w:t>
            </w:r>
          </w:p>
        </w:tc>
      </w:tr>
    </w:tbl>
    <w:p>
      <w:pPr>
        <w:sectPr>
          <w:pgSz w:w="11900" w:h="16840"/>
          <w:pgMar w:top="1984" w:right="1304" w:bottom="1134" w:left="1304" w:header="720" w:footer="720" w:gutter="0"/>
          <w:cols w:space="720" w:num="1"/>
        </w:sectPr>
      </w:pPr>
    </w:p>
    <w:p>
      <w:pPr>
        <w:spacing w:before="0" w:after="0"/>
        <w:ind w:firstLine="560"/>
        <w:jc w:val="left"/>
        <w:outlineLvl w:val="3"/>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.本级安全信息平台软硬件建设（教育费附加）绩效目标表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360001唐山市开平区教育局本级</w:t>
            </w:r>
          </w:p>
        </w:tc>
        <w:tc>
          <w:tcPr>
            <w:tcW w:w="1843"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13020523P008899100340</w:t>
            </w:r>
          </w:p>
        </w:tc>
        <w:tc>
          <w:tcPr>
            <w:tcW w:w="1587" w:type="dxa"/>
            <w:vAlign w:val="center"/>
          </w:tcPr>
          <w:p>
            <w:pPr>
              <w:pStyle w:val="10"/>
            </w:pPr>
            <w:r>
              <w:t>项目名称</w:t>
            </w:r>
          </w:p>
        </w:tc>
        <w:tc>
          <w:tcPr>
            <w:tcW w:w="4422" w:type="dxa"/>
            <w:gridSpan w:val="3"/>
            <w:vAlign w:val="center"/>
          </w:tcPr>
          <w:p>
            <w:pPr>
              <w:pStyle w:val="11"/>
            </w:pPr>
            <w:r>
              <w:t>本级安全信息平台软硬件建设（教育费附加）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550000.00</w:t>
            </w:r>
          </w:p>
        </w:tc>
        <w:tc>
          <w:tcPr>
            <w:tcW w:w="1587" w:type="dxa"/>
            <w:vAlign w:val="center"/>
          </w:tcPr>
          <w:p>
            <w:pPr>
              <w:pStyle w:val="10"/>
            </w:pPr>
            <w:r>
              <w:t>其中：财政    资金</w:t>
            </w:r>
          </w:p>
        </w:tc>
        <w:tc>
          <w:tcPr>
            <w:tcW w:w="1304" w:type="dxa"/>
            <w:vAlign w:val="center"/>
          </w:tcPr>
          <w:p>
            <w:pPr>
              <w:pStyle w:val="11"/>
            </w:pPr>
            <w:r>
              <w:t>550000.00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建设区级应急指挥及安全监管中心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1.目标内容1建设区级应急指挥及安全监管中心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建设区级应急指挥及安全监管中心</w:t>
            </w:r>
          </w:p>
        </w:tc>
        <w:tc>
          <w:tcPr>
            <w:tcW w:w="2891" w:type="dxa"/>
            <w:vAlign w:val="center"/>
          </w:tcPr>
          <w:p>
            <w:pPr>
              <w:pStyle w:val="11"/>
            </w:pPr>
            <w:r>
              <w:t>完成建设</w:t>
            </w:r>
          </w:p>
        </w:tc>
        <w:tc>
          <w:tcPr>
            <w:tcW w:w="1276" w:type="dxa"/>
            <w:vAlign w:val="center"/>
          </w:tcPr>
          <w:p>
            <w:pPr>
              <w:pStyle w:val="11"/>
            </w:pPr>
            <w:r>
              <w:t>1个</w:t>
            </w:r>
          </w:p>
        </w:tc>
        <w:tc>
          <w:tcPr>
            <w:tcW w:w="1843" w:type="dxa"/>
            <w:vAlign w:val="center"/>
          </w:tcPr>
          <w:p>
            <w:pPr>
              <w:pStyle w:val="11"/>
            </w:pPr>
            <w:r>
              <w:t>建设区级应急指挥及安全监管中心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2023年3月份</w:t>
            </w:r>
          </w:p>
        </w:tc>
        <w:tc>
          <w:tcPr>
            <w:tcW w:w="2891" w:type="dxa"/>
            <w:vAlign w:val="center"/>
          </w:tcPr>
          <w:p>
            <w:pPr>
              <w:pStyle w:val="11"/>
            </w:pPr>
            <w:r>
              <w:t>2023年3月份完成</w:t>
            </w:r>
          </w:p>
        </w:tc>
        <w:tc>
          <w:tcPr>
            <w:tcW w:w="1276" w:type="dxa"/>
            <w:vAlign w:val="center"/>
          </w:tcPr>
          <w:p>
            <w:pPr>
              <w:pStyle w:val="11"/>
            </w:pPr>
            <w:r>
              <w:t>≤4月</w:t>
            </w:r>
          </w:p>
        </w:tc>
        <w:tc>
          <w:tcPr>
            <w:tcW w:w="1843" w:type="dxa"/>
            <w:vAlign w:val="center"/>
          </w:tcPr>
          <w:p>
            <w:pPr>
              <w:pStyle w:val="11"/>
            </w:pPr>
            <w:r>
              <w:t>2023年3月份完成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系统正常运转</w:t>
            </w:r>
          </w:p>
        </w:tc>
        <w:tc>
          <w:tcPr>
            <w:tcW w:w="2891" w:type="dxa"/>
            <w:vAlign w:val="center"/>
          </w:tcPr>
          <w:p>
            <w:pPr>
              <w:pStyle w:val="11"/>
            </w:pPr>
            <w:r>
              <w:t>系统正常运转</w:t>
            </w:r>
          </w:p>
        </w:tc>
        <w:tc>
          <w:tcPr>
            <w:tcW w:w="1276" w:type="dxa"/>
            <w:vAlign w:val="center"/>
          </w:tcPr>
          <w:p>
            <w:pPr>
              <w:pStyle w:val="11"/>
            </w:pPr>
            <w:r>
              <w:t>≥95%</w:t>
            </w:r>
          </w:p>
        </w:tc>
        <w:tc>
          <w:tcPr>
            <w:tcW w:w="1843" w:type="dxa"/>
            <w:vAlign w:val="center"/>
          </w:tcPr>
          <w:p>
            <w:pPr>
              <w:pStyle w:val="11"/>
            </w:pPr>
            <w:r>
              <w:t>系统正常运转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各学校通讯和视频互通互联</w:t>
            </w:r>
          </w:p>
        </w:tc>
        <w:tc>
          <w:tcPr>
            <w:tcW w:w="2891" w:type="dxa"/>
            <w:vAlign w:val="center"/>
          </w:tcPr>
          <w:p>
            <w:pPr>
              <w:pStyle w:val="11"/>
            </w:pPr>
            <w:r>
              <w:t>符合应急处置要求</w:t>
            </w:r>
          </w:p>
        </w:tc>
        <w:tc>
          <w:tcPr>
            <w:tcW w:w="1276" w:type="dxa"/>
            <w:vAlign w:val="center"/>
          </w:tcPr>
          <w:p>
            <w:pPr>
              <w:pStyle w:val="11"/>
            </w:pPr>
            <w:r>
              <w:t>≥95%</w:t>
            </w:r>
          </w:p>
        </w:tc>
        <w:tc>
          <w:tcPr>
            <w:tcW w:w="1843" w:type="dxa"/>
            <w:vAlign w:val="center"/>
          </w:tcPr>
          <w:p>
            <w:pPr>
              <w:pStyle w:val="11"/>
            </w:pPr>
            <w:r>
              <w:t>各学校通讯和视频互通互联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经济效益指标</w:t>
            </w:r>
          </w:p>
        </w:tc>
        <w:tc>
          <w:tcPr>
            <w:tcW w:w="1332" w:type="dxa"/>
            <w:vAlign w:val="center"/>
          </w:tcPr>
          <w:p>
            <w:pPr>
              <w:pStyle w:val="11"/>
            </w:pPr>
            <w:r>
              <w:t>提高通讯和检查督导效率</w:t>
            </w:r>
          </w:p>
        </w:tc>
        <w:tc>
          <w:tcPr>
            <w:tcW w:w="2891" w:type="dxa"/>
            <w:vAlign w:val="center"/>
          </w:tcPr>
          <w:p>
            <w:pPr>
              <w:pStyle w:val="11"/>
            </w:pPr>
            <w:r>
              <w:t>减压人工成本</w:t>
            </w:r>
          </w:p>
        </w:tc>
        <w:tc>
          <w:tcPr>
            <w:tcW w:w="1276" w:type="dxa"/>
            <w:vAlign w:val="center"/>
          </w:tcPr>
          <w:p>
            <w:pPr>
              <w:pStyle w:val="11"/>
            </w:pPr>
            <w:r>
              <w:t>≥95%</w:t>
            </w:r>
          </w:p>
        </w:tc>
        <w:tc>
          <w:tcPr>
            <w:tcW w:w="1843" w:type="dxa"/>
            <w:vAlign w:val="center"/>
          </w:tcPr>
          <w:p>
            <w:pPr>
              <w:pStyle w:val="11"/>
            </w:pPr>
            <w:r>
              <w:t>提高通讯和检查督导效率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社会效益指标</w:t>
            </w:r>
          </w:p>
        </w:tc>
        <w:tc>
          <w:tcPr>
            <w:tcW w:w="1332" w:type="dxa"/>
            <w:vAlign w:val="center"/>
          </w:tcPr>
          <w:p>
            <w:pPr>
              <w:pStyle w:val="11"/>
            </w:pPr>
            <w:r>
              <w:t>有效提高学校安全监督能力</w:t>
            </w:r>
          </w:p>
        </w:tc>
        <w:tc>
          <w:tcPr>
            <w:tcW w:w="2891" w:type="dxa"/>
            <w:vAlign w:val="center"/>
          </w:tcPr>
          <w:p>
            <w:pPr>
              <w:pStyle w:val="11"/>
            </w:pPr>
            <w:r>
              <w:t>做到实时监管</w:t>
            </w:r>
          </w:p>
        </w:tc>
        <w:tc>
          <w:tcPr>
            <w:tcW w:w="1276" w:type="dxa"/>
            <w:vAlign w:val="center"/>
          </w:tcPr>
          <w:p>
            <w:pPr>
              <w:pStyle w:val="11"/>
            </w:pPr>
            <w:r>
              <w:t>≥95%</w:t>
            </w:r>
          </w:p>
        </w:tc>
        <w:tc>
          <w:tcPr>
            <w:tcW w:w="1843" w:type="dxa"/>
            <w:vAlign w:val="center"/>
          </w:tcPr>
          <w:p>
            <w:pPr>
              <w:pStyle w:val="11"/>
            </w:pPr>
            <w:r>
              <w:t>有效提高学校安全监督能力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提升学校师生满意度</w:t>
            </w:r>
          </w:p>
        </w:tc>
        <w:tc>
          <w:tcPr>
            <w:tcW w:w="2891" w:type="dxa"/>
            <w:vAlign w:val="center"/>
          </w:tcPr>
          <w:p>
            <w:pPr>
              <w:pStyle w:val="11"/>
            </w:pPr>
            <w:r>
              <w:t>提升学校师生满意度</w:t>
            </w:r>
          </w:p>
        </w:tc>
        <w:tc>
          <w:tcPr>
            <w:tcW w:w="1276" w:type="dxa"/>
            <w:vAlign w:val="center"/>
          </w:tcPr>
          <w:p>
            <w:pPr>
              <w:pStyle w:val="11"/>
            </w:pPr>
            <w:r>
              <w:t>≥95%</w:t>
            </w:r>
          </w:p>
        </w:tc>
        <w:tc>
          <w:tcPr>
            <w:tcW w:w="1843" w:type="dxa"/>
            <w:vAlign w:val="center"/>
          </w:tcPr>
          <w:p>
            <w:pPr>
              <w:pStyle w:val="11"/>
            </w:pPr>
            <w:r>
              <w:t>提升学校师生满意度</w:t>
            </w:r>
          </w:p>
        </w:tc>
      </w:tr>
    </w:tbl>
    <w:p>
      <w:pPr>
        <w:sectPr>
          <w:footerReference r:id="rId5" w:type="default"/>
          <w:footerReference r:id="rId6" w:type="even"/>
          <w:pgSz w:w="11900" w:h="16840"/>
          <w:pgMar w:top="1984" w:right="1304" w:bottom="1134" w:left="1304" w:header="720" w:footer="720" w:gutter="0"/>
          <w:cols w:space="720" w:num="1"/>
        </w:sectPr>
      </w:pPr>
    </w:p>
    <w:p>
      <w:pPr>
        <w:spacing w:before="0" w:after="0"/>
        <w:ind w:firstLine="560"/>
        <w:jc w:val="left"/>
        <w:outlineLvl w:val="3"/>
      </w:pPr>
      <w:bookmarkStart w:id="5" w:name="_Toc_4_4_0000000009"/>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.本级教育城域网及云平台支撑（教育费附加）绩效目标表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360001唐山市开平区教育局本级</w:t>
            </w:r>
          </w:p>
        </w:tc>
        <w:tc>
          <w:tcPr>
            <w:tcW w:w="1843"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13020523P00889910030H</w:t>
            </w:r>
          </w:p>
        </w:tc>
        <w:tc>
          <w:tcPr>
            <w:tcW w:w="1587" w:type="dxa"/>
            <w:vAlign w:val="center"/>
          </w:tcPr>
          <w:p>
            <w:pPr>
              <w:pStyle w:val="10"/>
            </w:pPr>
            <w:r>
              <w:t>项目名称</w:t>
            </w:r>
          </w:p>
        </w:tc>
        <w:tc>
          <w:tcPr>
            <w:tcW w:w="4422" w:type="dxa"/>
            <w:gridSpan w:val="3"/>
            <w:vAlign w:val="center"/>
          </w:tcPr>
          <w:p>
            <w:pPr>
              <w:pStyle w:val="11"/>
            </w:pPr>
            <w:r>
              <w:t>本级教育城域网及云平台支撑（教育费附加）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1915000.00</w:t>
            </w:r>
          </w:p>
        </w:tc>
        <w:tc>
          <w:tcPr>
            <w:tcW w:w="1587" w:type="dxa"/>
            <w:vAlign w:val="center"/>
          </w:tcPr>
          <w:p>
            <w:pPr>
              <w:pStyle w:val="10"/>
            </w:pPr>
            <w:r>
              <w:t>其中：财政    资金</w:t>
            </w:r>
          </w:p>
        </w:tc>
        <w:tc>
          <w:tcPr>
            <w:tcW w:w="1304" w:type="dxa"/>
            <w:vAlign w:val="center"/>
          </w:tcPr>
          <w:p>
            <w:pPr>
              <w:pStyle w:val="11"/>
            </w:pPr>
            <w:r>
              <w:t>1915000.00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城域网络安全建设用于网络安全软硬件建设，提高城域网全面实时的安全防护能力，网络中心基础环境建设，用于更新城域网服务器，存储设备保障教育云平台有效运行。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1.目标内容1城域网络安全建设用于网络安全软硬件建设，提高城域网全面实时的安全防护能力，网络中心基础环境建设，用于更新城域网服务器，存储设备保障教育云平台有效运行。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网络中心基础环境网络安全平台建设</w:t>
            </w:r>
          </w:p>
        </w:tc>
        <w:tc>
          <w:tcPr>
            <w:tcW w:w="2891" w:type="dxa"/>
            <w:vAlign w:val="center"/>
          </w:tcPr>
          <w:p>
            <w:pPr>
              <w:pStyle w:val="11"/>
            </w:pPr>
            <w:r>
              <w:t>网络中心基础环境网络安全平台建设</w:t>
            </w:r>
          </w:p>
        </w:tc>
        <w:tc>
          <w:tcPr>
            <w:tcW w:w="1276" w:type="dxa"/>
            <w:vAlign w:val="center"/>
          </w:tcPr>
          <w:p>
            <w:pPr>
              <w:pStyle w:val="11"/>
            </w:pPr>
            <w:r>
              <w:t>≥95%</w:t>
            </w:r>
          </w:p>
        </w:tc>
        <w:tc>
          <w:tcPr>
            <w:tcW w:w="1843" w:type="dxa"/>
            <w:vAlign w:val="center"/>
          </w:tcPr>
          <w:p>
            <w:pPr>
              <w:pStyle w:val="11"/>
            </w:pPr>
            <w:r>
              <w:t>教育信息化应用环境建设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提高城域网全面实时防护能力</w:t>
            </w:r>
          </w:p>
        </w:tc>
        <w:tc>
          <w:tcPr>
            <w:tcW w:w="2891" w:type="dxa"/>
            <w:vAlign w:val="center"/>
          </w:tcPr>
          <w:p>
            <w:pPr>
              <w:pStyle w:val="11"/>
            </w:pPr>
            <w:r>
              <w:t>教育城域网维护及时率</w:t>
            </w:r>
          </w:p>
        </w:tc>
        <w:tc>
          <w:tcPr>
            <w:tcW w:w="1276" w:type="dxa"/>
            <w:vAlign w:val="center"/>
          </w:tcPr>
          <w:p>
            <w:pPr>
              <w:pStyle w:val="11"/>
            </w:pPr>
            <w:r>
              <w:t>≥95%</w:t>
            </w:r>
          </w:p>
        </w:tc>
        <w:tc>
          <w:tcPr>
            <w:tcW w:w="1843" w:type="dxa"/>
            <w:vAlign w:val="center"/>
          </w:tcPr>
          <w:p>
            <w:pPr>
              <w:pStyle w:val="11"/>
            </w:pPr>
            <w:r>
              <w:t>提高城域网全面实时防护能力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教学管理教师备授课</w:t>
            </w:r>
          </w:p>
        </w:tc>
        <w:tc>
          <w:tcPr>
            <w:tcW w:w="2891" w:type="dxa"/>
            <w:vAlign w:val="center"/>
          </w:tcPr>
          <w:p>
            <w:pPr>
              <w:pStyle w:val="11"/>
            </w:pPr>
            <w:r>
              <w:t>保障与平台安全有效运行</w:t>
            </w:r>
          </w:p>
        </w:tc>
        <w:tc>
          <w:tcPr>
            <w:tcW w:w="1276" w:type="dxa"/>
            <w:vAlign w:val="center"/>
          </w:tcPr>
          <w:p>
            <w:pPr>
              <w:pStyle w:val="11"/>
            </w:pPr>
            <w:r>
              <w:t>100%</w:t>
            </w:r>
          </w:p>
        </w:tc>
        <w:tc>
          <w:tcPr>
            <w:tcW w:w="1843" w:type="dxa"/>
            <w:vAlign w:val="center"/>
          </w:tcPr>
          <w:p>
            <w:pPr>
              <w:pStyle w:val="11"/>
            </w:pPr>
            <w:r>
              <w:t>保障与平台安全有效运行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抵御日益复杂的安全威胁</w:t>
            </w:r>
          </w:p>
        </w:tc>
        <w:tc>
          <w:tcPr>
            <w:tcW w:w="2891" w:type="dxa"/>
            <w:vAlign w:val="center"/>
          </w:tcPr>
          <w:p>
            <w:pPr>
              <w:pStyle w:val="11"/>
            </w:pPr>
            <w:r>
              <w:t>抵御日益复杂的安全威胁，优化资源</w:t>
            </w:r>
          </w:p>
        </w:tc>
        <w:tc>
          <w:tcPr>
            <w:tcW w:w="1276" w:type="dxa"/>
            <w:vAlign w:val="center"/>
          </w:tcPr>
          <w:p>
            <w:pPr>
              <w:pStyle w:val="11"/>
            </w:pPr>
            <w:r>
              <w:t>≥95%</w:t>
            </w:r>
          </w:p>
        </w:tc>
        <w:tc>
          <w:tcPr>
            <w:tcW w:w="1843" w:type="dxa"/>
            <w:vAlign w:val="center"/>
          </w:tcPr>
          <w:p>
            <w:pPr>
              <w:pStyle w:val="11"/>
            </w:pPr>
            <w:r>
              <w:t>优化资源建设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经济效益指标</w:t>
            </w:r>
          </w:p>
        </w:tc>
        <w:tc>
          <w:tcPr>
            <w:tcW w:w="1332" w:type="dxa"/>
            <w:vAlign w:val="center"/>
          </w:tcPr>
          <w:p>
            <w:pPr>
              <w:pStyle w:val="11"/>
            </w:pPr>
            <w:r>
              <w:t>保障云平台安全有效运转</w:t>
            </w:r>
          </w:p>
        </w:tc>
        <w:tc>
          <w:tcPr>
            <w:tcW w:w="2891" w:type="dxa"/>
            <w:vAlign w:val="center"/>
          </w:tcPr>
          <w:p>
            <w:pPr>
              <w:pStyle w:val="11"/>
            </w:pPr>
            <w:r>
              <w:t>云平台教学资源库及时升级维护</w:t>
            </w:r>
          </w:p>
        </w:tc>
        <w:tc>
          <w:tcPr>
            <w:tcW w:w="1276" w:type="dxa"/>
            <w:vAlign w:val="center"/>
          </w:tcPr>
          <w:p>
            <w:pPr>
              <w:pStyle w:val="11"/>
            </w:pPr>
            <w:r>
              <w:t>≥95%</w:t>
            </w:r>
          </w:p>
        </w:tc>
        <w:tc>
          <w:tcPr>
            <w:tcW w:w="1843" w:type="dxa"/>
            <w:vAlign w:val="center"/>
          </w:tcPr>
          <w:p>
            <w:pPr>
              <w:pStyle w:val="11"/>
            </w:pPr>
            <w:r>
              <w:t>保障云平台安全有效运转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社会效益指标</w:t>
            </w:r>
          </w:p>
        </w:tc>
        <w:tc>
          <w:tcPr>
            <w:tcW w:w="1332" w:type="dxa"/>
            <w:vAlign w:val="center"/>
          </w:tcPr>
          <w:p>
            <w:pPr>
              <w:pStyle w:val="11"/>
            </w:pPr>
            <w:r>
              <w:t>提高城域网长期使用性</w:t>
            </w:r>
          </w:p>
        </w:tc>
        <w:tc>
          <w:tcPr>
            <w:tcW w:w="2891" w:type="dxa"/>
            <w:vAlign w:val="center"/>
          </w:tcPr>
          <w:p>
            <w:pPr>
              <w:pStyle w:val="11"/>
            </w:pPr>
            <w:r>
              <w:t>能够长期较好的记录学生成长过程</w:t>
            </w:r>
          </w:p>
        </w:tc>
        <w:tc>
          <w:tcPr>
            <w:tcW w:w="1276" w:type="dxa"/>
            <w:vAlign w:val="center"/>
          </w:tcPr>
          <w:p>
            <w:pPr>
              <w:pStyle w:val="11"/>
            </w:pPr>
            <w:r>
              <w:t>≥95%</w:t>
            </w:r>
          </w:p>
        </w:tc>
        <w:tc>
          <w:tcPr>
            <w:tcW w:w="1843" w:type="dxa"/>
            <w:vAlign w:val="center"/>
          </w:tcPr>
          <w:p>
            <w:pPr>
              <w:pStyle w:val="11"/>
            </w:pPr>
            <w:r>
              <w:t>城域网长期使用性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学校抽查使用满意度</w:t>
            </w:r>
          </w:p>
        </w:tc>
        <w:tc>
          <w:tcPr>
            <w:tcW w:w="2891" w:type="dxa"/>
            <w:vAlign w:val="center"/>
          </w:tcPr>
          <w:p>
            <w:pPr>
              <w:pStyle w:val="11"/>
            </w:pPr>
            <w:r>
              <w:t>学校抽查使用满意度</w:t>
            </w:r>
          </w:p>
        </w:tc>
        <w:tc>
          <w:tcPr>
            <w:tcW w:w="1276" w:type="dxa"/>
            <w:vAlign w:val="center"/>
          </w:tcPr>
          <w:p>
            <w:pPr>
              <w:pStyle w:val="11"/>
            </w:pPr>
            <w:r>
              <w:t>≥95%</w:t>
            </w:r>
          </w:p>
        </w:tc>
        <w:tc>
          <w:tcPr>
            <w:tcW w:w="1843" w:type="dxa"/>
            <w:vAlign w:val="center"/>
          </w:tcPr>
          <w:p>
            <w:pPr>
              <w:pStyle w:val="11"/>
            </w:pPr>
            <w:r>
              <w:t>学校抽查使用满意度</w:t>
            </w:r>
          </w:p>
        </w:tc>
      </w:tr>
    </w:tbl>
    <w:p>
      <w:pPr>
        <w:spacing w:before="0" w:after="0"/>
        <w:ind w:firstLine="560"/>
        <w:jc w:val="left"/>
        <w:outlineLvl w:val="3"/>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 本级国土绿化绩效目标表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326001唐山市开平区农业农村局本级</w:t>
            </w:r>
          </w:p>
        </w:tc>
        <w:tc>
          <w:tcPr>
            <w:tcW w:w="1843"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13020523P00E644100038</w:t>
            </w:r>
          </w:p>
        </w:tc>
        <w:tc>
          <w:tcPr>
            <w:tcW w:w="1587" w:type="dxa"/>
            <w:vAlign w:val="center"/>
          </w:tcPr>
          <w:p>
            <w:pPr>
              <w:pStyle w:val="10"/>
            </w:pPr>
            <w:r>
              <w:t>项目名称</w:t>
            </w:r>
          </w:p>
        </w:tc>
        <w:tc>
          <w:tcPr>
            <w:tcW w:w="4422" w:type="dxa"/>
            <w:gridSpan w:val="3"/>
            <w:vAlign w:val="center"/>
          </w:tcPr>
          <w:p>
            <w:pPr>
              <w:pStyle w:val="11"/>
            </w:pPr>
            <w:r>
              <w:t xml:space="preserve"> 本级国土绿化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42000000.00</w:t>
            </w:r>
          </w:p>
        </w:tc>
        <w:tc>
          <w:tcPr>
            <w:tcW w:w="1587" w:type="dxa"/>
            <w:vAlign w:val="center"/>
          </w:tcPr>
          <w:p>
            <w:pPr>
              <w:pStyle w:val="10"/>
            </w:pPr>
            <w:r>
              <w:t>其中：财政    资金</w:t>
            </w:r>
          </w:p>
        </w:tc>
        <w:tc>
          <w:tcPr>
            <w:tcW w:w="1304" w:type="dxa"/>
            <w:vAlign w:val="center"/>
          </w:tcPr>
          <w:p>
            <w:pPr>
              <w:pStyle w:val="11"/>
            </w:pPr>
            <w:r>
              <w:t>42000000.00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及时发放占地补偿，维护社会稳定。增加森林覆盖率，创建森林城市。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30%</w:t>
            </w:r>
          </w:p>
        </w:tc>
        <w:tc>
          <w:tcPr>
            <w:tcW w:w="1587" w:type="dxa"/>
            <w:vAlign w:val="center"/>
          </w:tcPr>
          <w:p>
            <w:pPr>
              <w:pStyle w:val="12"/>
            </w:pPr>
            <w:r>
              <w:t>60%</w:t>
            </w:r>
          </w:p>
        </w:tc>
        <w:tc>
          <w:tcPr>
            <w:tcW w:w="1304" w:type="dxa"/>
            <w:vAlign w:val="center"/>
          </w:tcPr>
          <w:p>
            <w:pPr>
              <w:pStyle w:val="12"/>
            </w:pPr>
            <w:r>
              <w:t>90%</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1.及时发放占地补偿，维护社会稳定。增加森林覆盖率，创建森林城市。</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占地补偿面积</w:t>
            </w:r>
          </w:p>
        </w:tc>
        <w:tc>
          <w:tcPr>
            <w:tcW w:w="2891" w:type="dxa"/>
            <w:vAlign w:val="center"/>
          </w:tcPr>
          <w:p>
            <w:pPr>
              <w:pStyle w:val="11"/>
            </w:pPr>
            <w:r>
              <w:t>造林占地补偿</w:t>
            </w:r>
          </w:p>
        </w:tc>
        <w:tc>
          <w:tcPr>
            <w:tcW w:w="1276" w:type="dxa"/>
            <w:vAlign w:val="center"/>
          </w:tcPr>
          <w:p>
            <w:pPr>
              <w:pStyle w:val="11"/>
            </w:pPr>
            <w:r>
              <w:t>3260亩</w:t>
            </w:r>
          </w:p>
        </w:tc>
        <w:tc>
          <w:tcPr>
            <w:tcW w:w="1843" w:type="dxa"/>
            <w:vAlign w:val="center"/>
          </w:tcPr>
          <w:p>
            <w:pPr>
              <w:pStyle w:val="11"/>
            </w:pPr>
            <w:r>
              <w:t>造林占地补偿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造林成活率</w:t>
            </w:r>
          </w:p>
        </w:tc>
        <w:tc>
          <w:tcPr>
            <w:tcW w:w="2891" w:type="dxa"/>
            <w:vAlign w:val="center"/>
          </w:tcPr>
          <w:p>
            <w:pPr>
              <w:pStyle w:val="11"/>
            </w:pPr>
            <w:r>
              <w:t>当年成活占总数的比例</w:t>
            </w:r>
          </w:p>
        </w:tc>
        <w:tc>
          <w:tcPr>
            <w:tcW w:w="1276" w:type="dxa"/>
            <w:vAlign w:val="center"/>
          </w:tcPr>
          <w:p>
            <w:pPr>
              <w:pStyle w:val="11"/>
            </w:pPr>
            <w:r>
              <w:t>≥85%</w:t>
            </w:r>
          </w:p>
        </w:tc>
        <w:tc>
          <w:tcPr>
            <w:tcW w:w="1843" w:type="dxa"/>
            <w:vAlign w:val="center"/>
          </w:tcPr>
          <w:p>
            <w:pPr>
              <w:pStyle w:val="11"/>
            </w:pPr>
            <w:r>
              <w:t>当年成活占总数的比例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在年度内支付资金</w:t>
            </w:r>
          </w:p>
        </w:tc>
        <w:tc>
          <w:tcPr>
            <w:tcW w:w="2891" w:type="dxa"/>
            <w:vAlign w:val="center"/>
          </w:tcPr>
          <w:p>
            <w:pPr>
              <w:pStyle w:val="11"/>
            </w:pPr>
            <w:r>
              <w:t>在项目实施年度内支付工程款</w:t>
            </w:r>
          </w:p>
        </w:tc>
        <w:tc>
          <w:tcPr>
            <w:tcW w:w="1276" w:type="dxa"/>
            <w:vAlign w:val="center"/>
          </w:tcPr>
          <w:p>
            <w:pPr>
              <w:pStyle w:val="11"/>
            </w:pPr>
            <w:r>
              <w:t>在2020年底前支付全部应付工程款。</w:t>
            </w:r>
          </w:p>
        </w:tc>
        <w:tc>
          <w:tcPr>
            <w:tcW w:w="1843" w:type="dxa"/>
            <w:vAlign w:val="center"/>
          </w:tcPr>
          <w:p>
            <w:pPr>
              <w:pStyle w:val="11"/>
            </w:pPr>
            <w:r>
              <w:t>在项目实施年度内支付工程款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投入资金额</w:t>
            </w:r>
          </w:p>
        </w:tc>
        <w:tc>
          <w:tcPr>
            <w:tcW w:w="2891" w:type="dxa"/>
            <w:vAlign w:val="center"/>
          </w:tcPr>
          <w:p>
            <w:pPr>
              <w:pStyle w:val="11"/>
            </w:pPr>
            <w:r>
              <w:t>用计划投入资金完成工作任务</w:t>
            </w:r>
          </w:p>
        </w:tc>
        <w:tc>
          <w:tcPr>
            <w:tcW w:w="1276" w:type="dxa"/>
            <w:vAlign w:val="center"/>
          </w:tcPr>
          <w:p>
            <w:pPr>
              <w:pStyle w:val="11"/>
            </w:pPr>
            <w:r>
              <w:t>≤4200万元</w:t>
            </w:r>
          </w:p>
        </w:tc>
        <w:tc>
          <w:tcPr>
            <w:tcW w:w="1843" w:type="dxa"/>
            <w:vAlign w:val="center"/>
          </w:tcPr>
          <w:p>
            <w:pPr>
              <w:pStyle w:val="11"/>
            </w:pPr>
            <w:r>
              <w:t>用计划投入资金完成工作任务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可持续影响指标</w:t>
            </w:r>
          </w:p>
        </w:tc>
        <w:tc>
          <w:tcPr>
            <w:tcW w:w="1332" w:type="dxa"/>
            <w:vAlign w:val="center"/>
          </w:tcPr>
          <w:p>
            <w:pPr>
              <w:pStyle w:val="11"/>
            </w:pPr>
            <w:r>
              <w:t>林木保存率</w:t>
            </w:r>
          </w:p>
        </w:tc>
        <w:tc>
          <w:tcPr>
            <w:tcW w:w="2891" w:type="dxa"/>
            <w:vAlign w:val="center"/>
          </w:tcPr>
          <w:p>
            <w:pPr>
              <w:pStyle w:val="11"/>
            </w:pPr>
            <w:r>
              <w:t>林木保存面积</w:t>
            </w:r>
          </w:p>
        </w:tc>
        <w:tc>
          <w:tcPr>
            <w:tcW w:w="1276" w:type="dxa"/>
            <w:vAlign w:val="center"/>
          </w:tcPr>
          <w:p>
            <w:pPr>
              <w:pStyle w:val="11"/>
            </w:pPr>
            <w:r>
              <w:t>≥85%</w:t>
            </w:r>
          </w:p>
        </w:tc>
        <w:tc>
          <w:tcPr>
            <w:tcW w:w="1843" w:type="dxa"/>
            <w:vAlign w:val="center"/>
          </w:tcPr>
          <w:p>
            <w:pPr>
              <w:pStyle w:val="11"/>
            </w:pPr>
            <w:r>
              <w:t>林木保存面积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经济效益指标</w:t>
            </w:r>
          </w:p>
        </w:tc>
        <w:tc>
          <w:tcPr>
            <w:tcW w:w="1332" w:type="dxa"/>
            <w:vAlign w:val="center"/>
          </w:tcPr>
          <w:p>
            <w:pPr>
              <w:pStyle w:val="11"/>
            </w:pPr>
            <w:r>
              <w:t>土地补偿</w:t>
            </w:r>
          </w:p>
        </w:tc>
        <w:tc>
          <w:tcPr>
            <w:tcW w:w="2891" w:type="dxa"/>
            <w:vAlign w:val="center"/>
          </w:tcPr>
          <w:p>
            <w:pPr>
              <w:pStyle w:val="11"/>
            </w:pPr>
            <w:r>
              <w:t>造林占地补偿</w:t>
            </w:r>
          </w:p>
        </w:tc>
        <w:tc>
          <w:tcPr>
            <w:tcW w:w="1276" w:type="dxa"/>
            <w:vAlign w:val="center"/>
          </w:tcPr>
          <w:p>
            <w:pPr>
              <w:pStyle w:val="11"/>
            </w:pPr>
            <w:r>
              <w:t>每年每亩不少于1000元。</w:t>
            </w:r>
          </w:p>
        </w:tc>
        <w:tc>
          <w:tcPr>
            <w:tcW w:w="1843" w:type="dxa"/>
            <w:vAlign w:val="center"/>
          </w:tcPr>
          <w:p>
            <w:pPr>
              <w:pStyle w:val="11"/>
            </w:pPr>
            <w:r>
              <w:t>造林占地补偿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生态效益指标</w:t>
            </w:r>
          </w:p>
        </w:tc>
        <w:tc>
          <w:tcPr>
            <w:tcW w:w="1332" w:type="dxa"/>
            <w:vAlign w:val="center"/>
          </w:tcPr>
          <w:p>
            <w:pPr>
              <w:pStyle w:val="11"/>
            </w:pPr>
            <w:r>
              <w:t>绿地增加量</w:t>
            </w:r>
          </w:p>
        </w:tc>
        <w:tc>
          <w:tcPr>
            <w:tcW w:w="2891" w:type="dxa"/>
            <w:vAlign w:val="center"/>
          </w:tcPr>
          <w:p>
            <w:pPr>
              <w:pStyle w:val="11"/>
            </w:pPr>
            <w:r>
              <w:t>增加绿地的数量</w:t>
            </w:r>
          </w:p>
        </w:tc>
        <w:tc>
          <w:tcPr>
            <w:tcW w:w="1276" w:type="dxa"/>
            <w:vAlign w:val="center"/>
          </w:tcPr>
          <w:p>
            <w:pPr>
              <w:pStyle w:val="11"/>
            </w:pPr>
            <w:r>
              <w:t>≥10000亩</w:t>
            </w:r>
          </w:p>
        </w:tc>
        <w:tc>
          <w:tcPr>
            <w:tcW w:w="1843" w:type="dxa"/>
            <w:vAlign w:val="center"/>
          </w:tcPr>
          <w:p>
            <w:pPr>
              <w:pStyle w:val="11"/>
            </w:pPr>
            <w:r>
              <w:t>增加绿地的数量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群众满意度</w:t>
            </w:r>
          </w:p>
        </w:tc>
        <w:tc>
          <w:tcPr>
            <w:tcW w:w="2891" w:type="dxa"/>
            <w:vAlign w:val="center"/>
          </w:tcPr>
          <w:p>
            <w:pPr>
              <w:pStyle w:val="11"/>
            </w:pPr>
            <w:r>
              <w:t>群众对占地补偿的满意度</w:t>
            </w:r>
          </w:p>
        </w:tc>
        <w:tc>
          <w:tcPr>
            <w:tcW w:w="1276" w:type="dxa"/>
            <w:vAlign w:val="center"/>
          </w:tcPr>
          <w:p>
            <w:pPr>
              <w:pStyle w:val="11"/>
            </w:pPr>
            <w:r>
              <w:t>≥90%</w:t>
            </w:r>
          </w:p>
        </w:tc>
        <w:tc>
          <w:tcPr>
            <w:tcW w:w="1843" w:type="dxa"/>
            <w:vAlign w:val="center"/>
          </w:tcPr>
          <w:p>
            <w:pPr>
              <w:pStyle w:val="11"/>
            </w:pPr>
            <w:r>
              <w:t>群众对占地补偿的满意度</w:t>
            </w:r>
          </w:p>
        </w:tc>
      </w:tr>
    </w:tbl>
    <w:p>
      <w:pPr>
        <w:sectPr>
          <w:footerReference r:id="rId7" w:type="default"/>
          <w:footerReference r:id="rId8"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r>
        <w:rPr>
          <w:rFonts w:hint="eastAsia" w:ascii="方正仿宋_GBK" w:hAnsi="方正仿宋_GBK" w:eastAsia="方正仿宋_GBK" w:cs="方正仿宋_GBK"/>
          <w:color w:val="000000"/>
          <w:sz w:val="28"/>
          <w:lang w:val="en-US" w:eastAsia="zh-CN"/>
        </w:rPr>
        <w:t>9</w:t>
      </w:r>
      <w:bookmarkStart w:id="6" w:name="_GoBack"/>
      <w:bookmarkEnd w:id="6"/>
      <w:r>
        <w:rPr>
          <w:rFonts w:ascii="方正仿宋_GBK" w:hAnsi="方正仿宋_GBK" w:eastAsia="方正仿宋_GBK" w:cs="方正仿宋_GBK"/>
          <w:color w:val="000000"/>
          <w:sz w:val="28"/>
        </w:rPr>
        <w:t>.本级防贫专项工作经费绩效目标表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326001唐山市开平区农业农村局本级</w:t>
            </w:r>
          </w:p>
        </w:tc>
        <w:tc>
          <w:tcPr>
            <w:tcW w:w="1843"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13020523P00020210003W</w:t>
            </w:r>
          </w:p>
        </w:tc>
        <w:tc>
          <w:tcPr>
            <w:tcW w:w="1587" w:type="dxa"/>
            <w:vAlign w:val="center"/>
          </w:tcPr>
          <w:p>
            <w:pPr>
              <w:pStyle w:val="10"/>
            </w:pPr>
            <w:r>
              <w:t>项目名称</w:t>
            </w:r>
          </w:p>
        </w:tc>
        <w:tc>
          <w:tcPr>
            <w:tcW w:w="4422" w:type="dxa"/>
            <w:gridSpan w:val="3"/>
            <w:vAlign w:val="center"/>
          </w:tcPr>
          <w:p>
            <w:pPr>
              <w:pStyle w:val="11"/>
            </w:pPr>
            <w:r>
              <w:t>本级防贫专项工作经费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100602.99</w:t>
            </w:r>
          </w:p>
        </w:tc>
        <w:tc>
          <w:tcPr>
            <w:tcW w:w="1587" w:type="dxa"/>
            <w:vAlign w:val="center"/>
          </w:tcPr>
          <w:p>
            <w:pPr>
              <w:pStyle w:val="10"/>
            </w:pPr>
            <w:r>
              <w:t>其中：财政    资金</w:t>
            </w:r>
          </w:p>
        </w:tc>
        <w:tc>
          <w:tcPr>
            <w:tcW w:w="1304" w:type="dxa"/>
            <w:vAlign w:val="center"/>
          </w:tcPr>
          <w:p>
            <w:pPr>
              <w:pStyle w:val="11"/>
            </w:pPr>
            <w:r>
              <w:t>100602.99</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印刷材料，慰问脱贫户，工作经费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1.印刷材料，慰问脱贫户，工作经费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培训次数</w:t>
            </w:r>
          </w:p>
        </w:tc>
        <w:tc>
          <w:tcPr>
            <w:tcW w:w="2891" w:type="dxa"/>
            <w:vAlign w:val="center"/>
          </w:tcPr>
          <w:p>
            <w:pPr>
              <w:pStyle w:val="11"/>
            </w:pPr>
            <w:r>
              <w:t>一年两次防贫业务培训</w:t>
            </w:r>
          </w:p>
        </w:tc>
        <w:tc>
          <w:tcPr>
            <w:tcW w:w="1276" w:type="dxa"/>
            <w:vAlign w:val="center"/>
          </w:tcPr>
          <w:p>
            <w:pPr>
              <w:pStyle w:val="11"/>
            </w:pPr>
            <w:r>
              <w:t>≥2培训次数</w:t>
            </w:r>
          </w:p>
        </w:tc>
        <w:tc>
          <w:tcPr>
            <w:tcW w:w="1843" w:type="dxa"/>
            <w:vAlign w:val="center"/>
          </w:tcPr>
          <w:p>
            <w:pPr>
              <w:pStyle w:val="11"/>
            </w:pPr>
            <w:r>
              <w:t>一年两次防贫业务培训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质量符合要求标准</w:t>
            </w:r>
          </w:p>
        </w:tc>
        <w:tc>
          <w:tcPr>
            <w:tcW w:w="2891" w:type="dxa"/>
            <w:vAlign w:val="center"/>
          </w:tcPr>
          <w:p>
            <w:pPr>
              <w:pStyle w:val="11"/>
            </w:pPr>
            <w:r>
              <w:t>质量符合要求标准</w:t>
            </w:r>
          </w:p>
        </w:tc>
        <w:tc>
          <w:tcPr>
            <w:tcW w:w="1276" w:type="dxa"/>
            <w:vAlign w:val="center"/>
          </w:tcPr>
          <w:p>
            <w:pPr>
              <w:pStyle w:val="11"/>
            </w:pPr>
            <w:r>
              <w:t>质量符合要求标准</w:t>
            </w:r>
          </w:p>
        </w:tc>
        <w:tc>
          <w:tcPr>
            <w:tcW w:w="1843" w:type="dxa"/>
            <w:vAlign w:val="center"/>
          </w:tcPr>
          <w:p>
            <w:pPr>
              <w:pStyle w:val="11"/>
            </w:pPr>
            <w:r>
              <w:t>质量符合要求标准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拨付速度</w:t>
            </w:r>
          </w:p>
        </w:tc>
        <w:tc>
          <w:tcPr>
            <w:tcW w:w="2891" w:type="dxa"/>
            <w:vAlign w:val="center"/>
          </w:tcPr>
          <w:p>
            <w:pPr>
              <w:pStyle w:val="11"/>
            </w:pPr>
            <w:r>
              <w:t>拨付及时</w:t>
            </w:r>
          </w:p>
        </w:tc>
        <w:tc>
          <w:tcPr>
            <w:tcW w:w="1276" w:type="dxa"/>
            <w:vAlign w:val="center"/>
          </w:tcPr>
          <w:p>
            <w:pPr>
              <w:pStyle w:val="11"/>
            </w:pPr>
            <w:r>
              <w:t>拨付及时</w:t>
            </w:r>
          </w:p>
        </w:tc>
        <w:tc>
          <w:tcPr>
            <w:tcW w:w="1843" w:type="dxa"/>
            <w:vAlign w:val="center"/>
          </w:tcPr>
          <w:p>
            <w:pPr>
              <w:pStyle w:val="11"/>
            </w:pPr>
            <w:r>
              <w:t>拨付及时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总成本</w:t>
            </w:r>
          </w:p>
        </w:tc>
        <w:tc>
          <w:tcPr>
            <w:tcW w:w="2891" w:type="dxa"/>
            <w:vAlign w:val="center"/>
          </w:tcPr>
          <w:p>
            <w:pPr>
              <w:pStyle w:val="11"/>
            </w:pPr>
            <w:r>
              <w:t>总预算控制额度</w:t>
            </w:r>
          </w:p>
        </w:tc>
        <w:tc>
          <w:tcPr>
            <w:tcW w:w="1276" w:type="dxa"/>
            <w:vAlign w:val="center"/>
          </w:tcPr>
          <w:p>
            <w:pPr>
              <w:pStyle w:val="11"/>
            </w:pPr>
            <w:r>
              <w:t>≤100602.99总预算控制额度</w:t>
            </w:r>
          </w:p>
        </w:tc>
        <w:tc>
          <w:tcPr>
            <w:tcW w:w="1843" w:type="dxa"/>
            <w:vAlign w:val="center"/>
          </w:tcPr>
          <w:p>
            <w:pPr>
              <w:pStyle w:val="11"/>
            </w:pPr>
            <w:r>
              <w:t>总预算控制额度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社会效益指标</w:t>
            </w:r>
          </w:p>
        </w:tc>
        <w:tc>
          <w:tcPr>
            <w:tcW w:w="1332" w:type="dxa"/>
            <w:vAlign w:val="center"/>
          </w:tcPr>
          <w:p>
            <w:pPr>
              <w:pStyle w:val="11"/>
            </w:pPr>
            <w:r>
              <w:t>脱贫户生产生活水平提高</w:t>
            </w:r>
          </w:p>
        </w:tc>
        <w:tc>
          <w:tcPr>
            <w:tcW w:w="2891" w:type="dxa"/>
            <w:vAlign w:val="center"/>
          </w:tcPr>
          <w:p>
            <w:pPr>
              <w:pStyle w:val="11"/>
            </w:pPr>
            <w:r>
              <w:t>脱贫户生产生活水平提高</w:t>
            </w:r>
          </w:p>
        </w:tc>
        <w:tc>
          <w:tcPr>
            <w:tcW w:w="1276" w:type="dxa"/>
            <w:vAlign w:val="center"/>
          </w:tcPr>
          <w:p>
            <w:pPr>
              <w:pStyle w:val="11"/>
            </w:pPr>
            <w:r>
              <w:t>脱贫户生产生活水平提高</w:t>
            </w:r>
          </w:p>
        </w:tc>
        <w:tc>
          <w:tcPr>
            <w:tcW w:w="1843" w:type="dxa"/>
            <w:vAlign w:val="center"/>
          </w:tcPr>
          <w:p>
            <w:pPr>
              <w:pStyle w:val="11"/>
            </w:pPr>
            <w:r>
              <w:t>脱贫户生产生活水平提高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持续稳定开展工作</w:t>
            </w:r>
          </w:p>
        </w:tc>
        <w:tc>
          <w:tcPr>
            <w:tcW w:w="2891" w:type="dxa"/>
            <w:vAlign w:val="center"/>
          </w:tcPr>
          <w:p>
            <w:pPr>
              <w:pStyle w:val="11"/>
            </w:pPr>
            <w:r>
              <w:t>持续稳定开展工作</w:t>
            </w:r>
          </w:p>
        </w:tc>
        <w:tc>
          <w:tcPr>
            <w:tcW w:w="1276" w:type="dxa"/>
            <w:vAlign w:val="center"/>
          </w:tcPr>
          <w:p>
            <w:pPr>
              <w:pStyle w:val="11"/>
            </w:pPr>
            <w:r>
              <w:t>持续稳定开展工作</w:t>
            </w:r>
          </w:p>
        </w:tc>
        <w:tc>
          <w:tcPr>
            <w:tcW w:w="1843" w:type="dxa"/>
            <w:vAlign w:val="center"/>
          </w:tcPr>
          <w:p>
            <w:pPr>
              <w:pStyle w:val="11"/>
            </w:pPr>
            <w:r>
              <w:t>持续稳定开展工作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服务对象满意度</w:t>
            </w:r>
          </w:p>
        </w:tc>
        <w:tc>
          <w:tcPr>
            <w:tcW w:w="2891" w:type="dxa"/>
            <w:vAlign w:val="center"/>
          </w:tcPr>
          <w:p>
            <w:pPr>
              <w:pStyle w:val="11"/>
            </w:pPr>
            <w:r>
              <w:t>服务对象满意度</w:t>
            </w:r>
          </w:p>
        </w:tc>
        <w:tc>
          <w:tcPr>
            <w:tcW w:w="1276" w:type="dxa"/>
            <w:vAlign w:val="center"/>
          </w:tcPr>
          <w:p>
            <w:pPr>
              <w:pStyle w:val="11"/>
            </w:pPr>
            <w:r>
              <w:t>≥85%</w:t>
            </w:r>
          </w:p>
        </w:tc>
        <w:tc>
          <w:tcPr>
            <w:tcW w:w="1843" w:type="dxa"/>
            <w:vAlign w:val="center"/>
          </w:tcPr>
          <w:p>
            <w:pPr>
              <w:pStyle w:val="11"/>
            </w:pPr>
            <w:r>
              <w:t>服务对象满意度</w:t>
            </w:r>
          </w:p>
        </w:tc>
      </w:tr>
    </w:tbl>
    <w:p>
      <w:pPr>
        <w:widowControl/>
        <w:ind w:firstLine="560"/>
        <w:jc w:val="left"/>
        <w:rPr>
          <w:rFonts w:hint="eastAsia" w:ascii="仿宋_GB2312" w:hAnsi="宋体" w:eastAsia="仿宋_GB2312" w:cs="Arial"/>
          <w:color w:val="333333"/>
          <w:kern w:val="0"/>
          <w:sz w:val="32"/>
          <w:szCs w:val="32"/>
        </w:rPr>
      </w:pPr>
    </w:p>
    <w:p>
      <w:pPr>
        <w:widowControl/>
        <w:jc w:val="left"/>
        <w:rPr>
          <w:rFonts w:ascii="仿宋_GB2312" w:hAnsi="宋体" w:eastAsia="仿宋_GB2312" w:cs="宋体"/>
          <w:b/>
          <w:color w:val="333333"/>
          <w:kern w:val="0"/>
          <w:sz w:val="32"/>
          <w:szCs w:val="32"/>
        </w:rPr>
      </w:pPr>
      <w:r>
        <w:rPr>
          <w:rFonts w:hint="eastAsia" w:ascii="仿宋_GB2312" w:hAnsi="宋体" w:eastAsia="仿宋_GB2312" w:cs="Arial"/>
          <w:b/>
          <w:color w:val="333333"/>
          <w:kern w:val="0"/>
          <w:sz w:val="32"/>
          <w:szCs w:val="32"/>
        </w:rPr>
        <w:t>6、政府采购情况</w:t>
      </w:r>
    </w:p>
    <w:p>
      <w:pPr>
        <w:widowControl/>
        <w:ind w:firstLine="640" w:firstLineChars="200"/>
        <w:jc w:val="left"/>
        <w:rPr>
          <w:rFonts w:ascii="仿宋_GB2312" w:eastAsia="仿宋_GB2312"/>
          <w:sz w:val="32"/>
          <w:szCs w:val="32"/>
        </w:rPr>
      </w:pPr>
      <w:r>
        <w:rPr>
          <w:rFonts w:hint="eastAsia" w:ascii="仿宋_GB2312" w:eastAsia="仿宋_GB2312"/>
          <w:sz w:val="32"/>
          <w:szCs w:val="32"/>
        </w:rPr>
        <w:t>2023年市本级政府采购预算项目资金安排63987万元，按资金来源性质分：一般公共预算拨款安排3878万元、基金预算拨款安排57851万元，单位自有资金183万元，结余结转资金2075万元。</w:t>
      </w:r>
    </w:p>
    <w:p>
      <w:pPr>
        <w:widowControl/>
        <w:jc w:val="left"/>
        <w:rPr>
          <w:rFonts w:ascii="仿宋_GB2312" w:hAnsi="宋体" w:eastAsia="仿宋_GB2312" w:cs="宋体"/>
          <w:b/>
          <w:color w:val="333333"/>
          <w:kern w:val="0"/>
          <w:sz w:val="32"/>
          <w:szCs w:val="32"/>
        </w:rPr>
      </w:pPr>
      <w:r>
        <w:rPr>
          <w:rFonts w:hint="eastAsia" w:ascii="仿宋_GB2312" w:hAnsi="宋体" w:eastAsia="仿宋_GB2312" w:cs="Arial"/>
          <w:b/>
          <w:color w:val="333333"/>
          <w:kern w:val="0"/>
          <w:sz w:val="32"/>
          <w:szCs w:val="32"/>
        </w:rPr>
        <w:t>7、名词解释</w:t>
      </w:r>
    </w:p>
    <w:p>
      <w:pPr>
        <w:widowControl/>
        <w:ind w:firstLine="640" w:firstLineChars="200"/>
        <w:jc w:val="left"/>
        <w:rPr>
          <w:rFonts w:ascii="仿宋_GB2312" w:hAnsi="宋体" w:eastAsia="仿宋_GB2312" w:cs="宋体"/>
          <w:color w:val="333333"/>
          <w:kern w:val="0"/>
          <w:sz w:val="32"/>
          <w:szCs w:val="32"/>
        </w:rPr>
      </w:pPr>
      <w:r>
        <w:rPr>
          <w:rFonts w:hint="eastAsia" w:ascii="仿宋_GB2312" w:hAnsi="Calibri" w:eastAsia="仿宋_GB2312" w:cs="宋体"/>
          <w:color w:val="333333"/>
          <w:kern w:val="0"/>
          <w:sz w:val="32"/>
          <w:szCs w:val="32"/>
        </w:rPr>
        <w:t>一般公共预算：一般公共预算是对以税收为主体的财政收入，安排用于保障和改善民生、推动经济社会发展、维护国家安全、维持国家机构正常运转等方面的收支预算。</w:t>
      </w:r>
    </w:p>
    <w:p>
      <w:pPr>
        <w:widowControl/>
        <w:jc w:val="left"/>
        <w:rPr>
          <w:rFonts w:ascii="仿宋_GB2312" w:hAnsi="宋体" w:eastAsia="仿宋_GB2312" w:cs="宋体"/>
          <w:color w:val="333333"/>
          <w:kern w:val="0"/>
          <w:sz w:val="32"/>
          <w:szCs w:val="32"/>
        </w:rPr>
      </w:pPr>
      <w:r>
        <w:rPr>
          <w:rFonts w:hint="eastAsia" w:ascii="仿宋_GB2312" w:hAnsi="Calibri" w:eastAsia="仿宋_GB2312" w:cs="宋体"/>
          <w:color w:val="333333"/>
          <w:kern w:val="0"/>
          <w:sz w:val="32"/>
          <w:szCs w:val="32"/>
        </w:rPr>
        <w:t xml:space="preserve">    </w:t>
      </w:r>
      <w:r>
        <w:rPr>
          <w:rFonts w:hint="eastAsia" w:ascii="仿宋_GB2312" w:hAnsi="黑体" w:eastAsia="仿宋_GB2312" w:cs="宋体"/>
          <w:color w:val="333333"/>
          <w:kern w:val="0"/>
          <w:sz w:val="32"/>
          <w:szCs w:val="32"/>
        </w:rPr>
        <w:t>政府性基金：</w:t>
      </w:r>
      <w:r>
        <w:rPr>
          <w:rFonts w:hint="eastAsia" w:ascii="仿宋_GB2312" w:hAnsi="Calibri" w:eastAsia="仿宋_GB2312" w:cs="宋体"/>
          <w:color w:val="333333"/>
          <w:kern w:val="0"/>
          <w:sz w:val="32"/>
          <w:szCs w:val="32"/>
        </w:rPr>
        <w:t>政府性基金，是指各级人民政府及其所属部门根据</w:t>
      </w:r>
      <w:r>
        <w:fldChar w:fldCharType="begin"/>
      </w:r>
      <w:r>
        <w:instrText xml:space="preserve"> HYPERLINK "https://baike.so.com/doc/1296429.html" \t "_blank" </w:instrText>
      </w:r>
      <w:r>
        <w:fldChar w:fldCharType="separate"/>
      </w:r>
      <w:r>
        <w:rPr>
          <w:rFonts w:hint="eastAsia" w:ascii="仿宋_GB2312" w:hAnsi="Calibri" w:eastAsia="仿宋_GB2312" w:cs="宋体"/>
          <w:kern w:val="0"/>
          <w:sz w:val="32"/>
          <w:szCs w:val="32"/>
        </w:rPr>
        <w:t>法律</w:t>
      </w:r>
      <w:r>
        <w:rPr>
          <w:rFonts w:hint="eastAsia" w:ascii="仿宋_GB2312" w:hAnsi="Calibri" w:eastAsia="仿宋_GB2312" w:cs="宋体"/>
          <w:kern w:val="0"/>
          <w:sz w:val="32"/>
          <w:szCs w:val="32"/>
        </w:rPr>
        <w:fldChar w:fldCharType="end"/>
      </w:r>
      <w:r>
        <w:rPr>
          <w:rFonts w:hint="eastAsia" w:ascii="仿宋_GB2312" w:hAnsi="Calibri" w:eastAsia="仿宋_GB2312" w:cs="宋体"/>
          <w:color w:val="333333"/>
          <w:kern w:val="0"/>
          <w:sz w:val="32"/>
          <w:szCs w:val="32"/>
        </w:rPr>
        <w:t>、国家行政法规和中共中央、国务院有关文件的规定，为支持某项事业</w:t>
      </w:r>
      <w:r>
        <w:fldChar w:fldCharType="begin"/>
      </w:r>
      <w:r>
        <w:instrText xml:space="preserve"> HYPERLINK "https://baike.so.com/doc/5397508.html" \t "_blank" </w:instrText>
      </w:r>
      <w:r>
        <w:fldChar w:fldCharType="separate"/>
      </w:r>
      <w:r>
        <w:rPr>
          <w:rFonts w:hint="eastAsia" w:ascii="仿宋_GB2312" w:hAnsi="Calibri" w:eastAsia="仿宋_GB2312" w:cs="宋体"/>
          <w:kern w:val="0"/>
          <w:sz w:val="32"/>
          <w:szCs w:val="32"/>
        </w:rPr>
        <w:t>发展</w:t>
      </w:r>
      <w:r>
        <w:rPr>
          <w:rFonts w:hint="eastAsia" w:ascii="仿宋_GB2312" w:hAnsi="Calibri" w:eastAsia="仿宋_GB2312" w:cs="宋体"/>
          <w:kern w:val="0"/>
          <w:sz w:val="32"/>
          <w:szCs w:val="32"/>
        </w:rPr>
        <w:fldChar w:fldCharType="end"/>
      </w:r>
      <w:r>
        <w:rPr>
          <w:rFonts w:hint="eastAsia" w:ascii="仿宋_GB2312" w:hAnsi="Calibri" w:eastAsia="仿宋_GB2312" w:cs="宋体"/>
          <w:color w:val="333333"/>
          <w:kern w:val="0"/>
          <w:sz w:val="32"/>
          <w:szCs w:val="32"/>
        </w:rPr>
        <w:t>，按照国家规定程序批准，向公民、法人和其他组织征收的具有专项用途的资金。包括各种基金、资金、附加和专项</w:t>
      </w:r>
      <w:r>
        <w:fldChar w:fldCharType="begin"/>
      </w:r>
      <w:r>
        <w:instrText xml:space="preserve"> HYPERLINK "https://baike.so.com/doc/1550352.html" \t "_blank" </w:instrText>
      </w:r>
      <w:r>
        <w:fldChar w:fldCharType="separate"/>
      </w:r>
      <w:r>
        <w:rPr>
          <w:rFonts w:hint="eastAsia" w:ascii="仿宋_GB2312" w:hAnsi="Calibri" w:eastAsia="仿宋_GB2312" w:cs="宋体"/>
          <w:kern w:val="0"/>
          <w:sz w:val="32"/>
          <w:szCs w:val="32"/>
        </w:rPr>
        <w:t>收费</w:t>
      </w:r>
      <w:r>
        <w:rPr>
          <w:rFonts w:hint="eastAsia" w:ascii="仿宋_GB2312" w:hAnsi="Calibri" w:eastAsia="仿宋_GB2312" w:cs="宋体"/>
          <w:kern w:val="0"/>
          <w:sz w:val="32"/>
          <w:szCs w:val="32"/>
        </w:rPr>
        <w:fldChar w:fldCharType="end"/>
      </w:r>
      <w:r>
        <w:rPr>
          <w:rFonts w:hint="eastAsia" w:ascii="仿宋_GB2312" w:hAnsi="Calibri" w:eastAsia="仿宋_GB2312" w:cs="宋体"/>
          <w:color w:val="333333"/>
          <w:kern w:val="0"/>
          <w:sz w:val="32"/>
          <w:szCs w:val="32"/>
        </w:rPr>
        <w:t>。</w:t>
      </w:r>
    </w:p>
    <w:p>
      <w:pPr>
        <w:widowControl/>
        <w:spacing w:before="150" w:after="150" w:line="435" w:lineRule="atLeast"/>
        <w:jc w:val="left"/>
        <w:rPr>
          <w:rFonts w:ascii="仿宋_GB2312" w:hAnsi="Calibri" w:eastAsia="仿宋_GB2312" w:cs="宋体"/>
          <w:color w:val="333333"/>
          <w:kern w:val="0"/>
          <w:sz w:val="32"/>
          <w:szCs w:val="32"/>
        </w:rPr>
      </w:pPr>
      <w:r>
        <w:rPr>
          <w:rFonts w:hint="eastAsia" w:ascii="仿宋_GB2312" w:hAnsi="微软雅黑" w:eastAsia="仿宋_GB2312" w:cs="宋体"/>
          <w:color w:val="333333"/>
          <w:kern w:val="0"/>
          <w:sz w:val="32"/>
          <w:szCs w:val="32"/>
        </w:rPr>
        <w:t xml:space="preserve">　    </w:t>
      </w:r>
      <w:r>
        <w:fldChar w:fldCharType="begin"/>
      </w:r>
      <w:r>
        <w:instrText xml:space="preserve"> HYPERLINK "https://www.baidu.com/s?wd=%E4%B8%89%E5%85%AC%E7%BB%8F%E8%B4%B9&amp;tn=44039180_cpr&amp;fenlei=mv6quAkxTZn0IZRqIHckPjm4nH00T1Y3mHTvuhm1mWb1Pj0dnjfd0ZwV5Hcvrjm3rH6sPfKWUMw85HfYnjn4nH6sgvPsT6KdThsqpZwYTjCEQLGCpyw9Uz4Bmy-bIi4WUvYETgN-TLwGUv3EnHTvPjm3P1DdPWmdn1R1nj0Y" \t "_blank" </w:instrText>
      </w:r>
      <w:r>
        <w:fldChar w:fldCharType="separate"/>
      </w:r>
      <w:r>
        <w:rPr>
          <w:rFonts w:hint="eastAsia" w:ascii="仿宋_GB2312" w:hAnsi="Calibri" w:eastAsia="仿宋_GB2312" w:cs="宋体"/>
          <w:kern w:val="0"/>
          <w:sz w:val="32"/>
          <w:szCs w:val="32"/>
        </w:rPr>
        <w:t>三公经费</w:t>
      </w:r>
      <w:r>
        <w:rPr>
          <w:rFonts w:hint="eastAsia" w:ascii="仿宋_GB2312" w:hAnsi="Calibri" w:eastAsia="仿宋_GB2312" w:cs="宋体"/>
          <w:kern w:val="0"/>
          <w:sz w:val="32"/>
          <w:szCs w:val="32"/>
        </w:rPr>
        <w:fldChar w:fldCharType="end"/>
      </w:r>
      <w:r>
        <w:rPr>
          <w:rFonts w:hint="eastAsia" w:ascii="仿宋_GB2312" w:hAnsi="Calibri" w:eastAsia="仿宋_GB2312" w:cs="宋体"/>
          <w:color w:val="333333"/>
          <w:kern w:val="0"/>
          <w:sz w:val="32"/>
          <w:szCs w:val="32"/>
        </w:rPr>
        <w:t>：三公经费指政府部门人员因公出国（境）经费、公务车购置及运行费、公务招待费。</w:t>
      </w:r>
    </w:p>
    <w:p>
      <w:pPr>
        <w:tabs>
          <w:tab w:val="left" w:pos="6111"/>
        </w:tabs>
        <w:jc w:val="left"/>
      </w:pPr>
      <w:r>
        <w:rPr>
          <w:rFonts w:hint="eastAsia"/>
        </w:rPr>
        <w:tab/>
      </w:r>
    </w:p>
    <w:p>
      <w:pPr>
        <w:widowControl/>
        <w:ind w:firstLine="320" w:firstLineChars="100"/>
        <w:jc w:val="left"/>
        <w:rPr>
          <w:rFonts w:ascii="仿宋_GB2312" w:hAnsi="宋体" w:eastAsia="仿宋_GB2312" w:cs="宋体"/>
          <w:b/>
          <w:color w:val="333333"/>
          <w:kern w:val="0"/>
          <w:sz w:val="32"/>
          <w:szCs w:val="32"/>
        </w:rPr>
      </w:pPr>
      <w:r>
        <w:rPr>
          <w:rFonts w:hint="eastAsia" w:ascii="仿宋_GB2312" w:hAnsi="Calibri" w:eastAsia="仿宋_GB2312" w:cs="宋体"/>
          <w:color w:val="333333"/>
          <w:kern w:val="0"/>
          <w:sz w:val="32"/>
          <w:szCs w:val="32"/>
        </w:rPr>
        <w:t>    专项资金：是指国家或有关部门或上级部门下拨</w:t>
      </w:r>
      <w:r>
        <w:fldChar w:fldCharType="begin"/>
      </w:r>
      <w:r>
        <w:instrText xml:space="preserve"> HYPERLINK "https://baike.so.com/doc/485034-513631.html" \t "_blank" </w:instrText>
      </w:r>
      <w:r>
        <w:fldChar w:fldCharType="separate"/>
      </w:r>
      <w:r>
        <w:rPr>
          <w:rFonts w:hint="eastAsia" w:ascii="仿宋_GB2312" w:hAnsi="宋体" w:eastAsia="仿宋_GB2312" w:cs="宋体"/>
          <w:kern w:val="0"/>
          <w:sz w:val="32"/>
          <w:szCs w:val="32"/>
        </w:rPr>
        <w:t>行政事业单位</w:t>
      </w:r>
      <w:r>
        <w:rPr>
          <w:rFonts w:hint="eastAsia" w:ascii="仿宋_GB2312" w:hAnsi="宋体" w:eastAsia="仿宋_GB2312" w:cs="宋体"/>
          <w:kern w:val="0"/>
          <w:sz w:val="32"/>
          <w:szCs w:val="32"/>
        </w:rPr>
        <w:fldChar w:fldCharType="end"/>
      </w:r>
      <w:r>
        <w:rPr>
          <w:rFonts w:hint="eastAsia" w:ascii="仿宋_GB2312" w:hAnsi="宋体" w:eastAsia="仿宋_GB2312" w:cs="宋体"/>
          <w:color w:val="333333"/>
          <w:kern w:val="0"/>
          <w:sz w:val="32"/>
          <w:szCs w:val="32"/>
        </w:rPr>
        <w:t>具有专门指定用途或特殊用途的资金。这种资金都会要求进行单独核算，</w:t>
      </w:r>
      <w:r>
        <w:fldChar w:fldCharType="begin"/>
      </w:r>
      <w:r>
        <w:instrText xml:space="preserve"> HYPERLINK "https://baike.so.com/doc/5394180-5631267.html" \t "_blank" </w:instrText>
      </w:r>
      <w:r>
        <w:fldChar w:fldCharType="separate"/>
      </w:r>
      <w:r>
        <w:rPr>
          <w:rFonts w:hint="eastAsia" w:ascii="仿宋_GB2312" w:hAnsi="宋体" w:eastAsia="仿宋_GB2312" w:cs="宋体"/>
          <w:kern w:val="0"/>
          <w:sz w:val="32"/>
          <w:szCs w:val="32"/>
        </w:rPr>
        <w:t>专款专用</w:t>
      </w:r>
      <w:r>
        <w:rPr>
          <w:rFonts w:hint="eastAsia" w:ascii="仿宋_GB2312" w:hAnsi="宋体" w:eastAsia="仿宋_GB2312" w:cs="宋体"/>
          <w:kern w:val="0"/>
          <w:sz w:val="32"/>
          <w:szCs w:val="32"/>
        </w:rPr>
        <w:fldChar w:fldCharType="end"/>
      </w:r>
      <w:r>
        <w:rPr>
          <w:rFonts w:hint="eastAsia" w:ascii="仿宋_GB2312" w:hAnsi="宋体" w:eastAsia="仿宋_GB2312" w:cs="宋体"/>
          <w:color w:val="333333"/>
          <w:kern w:val="0"/>
          <w:sz w:val="32"/>
          <w:szCs w:val="32"/>
        </w:rPr>
        <w:t>，不能挪作他用，又称专项支出、</w:t>
      </w:r>
      <w:r>
        <w:fldChar w:fldCharType="begin"/>
      </w:r>
      <w:r>
        <w:instrText xml:space="preserve"> HYPERLINK "https://baike.so.com/doc/1833296-1938767.html" \t "_blank" </w:instrText>
      </w:r>
      <w:r>
        <w:fldChar w:fldCharType="separate"/>
      </w: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rPr>
        <w:fldChar w:fldCharType="end"/>
      </w:r>
      <w:r>
        <w:rPr>
          <w:rFonts w:hint="eastAsia" w:ascii="仿宋_GB2312" w:hAnsi="宋体" w:eastAsia="仿宋_GB2312" w:cs="宋体"/>
          <w:color w:val="333333"/>
          <w:kern w:val="0"/>
          <w:sz w:val="32"/>
          <w:szCs w:val="32"/>
        </w:rPr>
        <w:t>、专款等。</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b/>
          <w:color w:val="333333"/>
          <w:kern w:val="0"/>
          <w:sz w:val="32"/>
          <w:szCs w:val="32"/>
        </w:rPr>
        <w:t>8、其他情况说明</w:t>
      </w:r>
      <w:r>
        <w:rPr>
          <w:rFonts w:hint="eastAsia" w:ascii="仿宋_GB2312" w:hAnsi="Calibri" w:eastAsia="仿宋_GB2312" w:cs="宋体"/>
          <w:b/>
          <w:color w:val="333333"/>
          <w:kern w:val="0"/>
          <w:sz w:val="32"/>
          <w:szCs w:val="32"/>
        </w:rPr>
        <w:t>   </w:t>
      </w:r>
    </w:p>
    <w:p>
      <w:pPr>
        <w:widowControl/>
        <w:jc w:val="left"/>
        <w:rPr>
          <w:rFonts w:ascii="仿宋_GB2312" w:eastAsia="仿宋_GB2312"/>
          <w:sz w:val="32"/>
          <w:szCs w:val="32"/>
        </w:rPr>
      </w:pPr>
      <w:r>
        <w:rPr>
          <w:rFonts w:hint="eastAsia" w:ascii="仿宋_GB2312" w:hAnsi="Calibri" w:eastAsia="仿宋_GB2312" w:cs="宋体"/>
          <w:color w:val="333333"/>
          <w:kern w:val="0"/>
          <w:sz w:val="32"/>
          <w:szCs w:val="32"/>
        </w:rPr>
        <w:t>    无其他情况说明。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2E84D7"/>
    <w:multiLevelType w:val="singleLevel"/>
    <w:tmpl w:val="172E84D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17B"/>
    <w:rsid w:val="00031BE7"/>
    <w:rsid w:val="00050F96"/>
    <w:rsid w:val="0008517B"/>
    <w:rsid w:val="00121CA8"/>
    <w:rsid w:val="001762BC"/>
    <w:rsid w:val="00190A9F"/>
    <w:rsid w:val="001B5FB6"/>
    <w:rsid w:val="001D0377"/>
    <w:rsid w:val="00261833"/>
    <w:rsid w:val="003202EF"/>
    <w:rsid w:val="003839DB"/>
    <w:rsid w:val="003A5DDC"/>
    <w:rsid w:val="003F43EC"/>
    <w:rsid w:val="00426705"/>
    <w:rsid w:val="004409C1"/>
    <w:rsid w:val="00484EB9"/>
    <w:rsid w:val="004D4886"/>
    <w:rsid w:val="006E095E"/>
    <w:rsid w:val="007956F3"/>
    <w:rsid w:val="007E6710"/>
    <w:rsid w:val="0089480D"/>
    <w:rsid w:val="008A3791"/>
    <w:rsid w:val="00910C9A"/>
    <w:rsid w:val="00977AD7"/>
    <w:rsid w:val="00A43B52"/>
    <w:rsid w:val="00AF2733"/>
    <w:rsid w:val="00AF5F09"/>
    <w:rsid w:val="00B1596E"/>
    <w:rsid w:val="00C350D6"/>
    <w:rsid w:val="00C373B9"/>
    <w:rsid w:val="00CD1E79"/>
    <w:rsid w:val="00D245E4"/>
    <w:rsid w:val="00D75909"/>
    <w:rsid w:val="00DC21DA"/>
    <w:rsid w:val="00F732F3"/>
    <w:rsid w:val="00F837E4"/>
    <w:rsid w:val="15D06C17"/>
    <w:rsid w:val="1A24421D"/>
    <w:rsid w:val="1EC57B16"/>
    <w:rsid w:val="22373BE7"/>
    <w:rsid w:val="28922A28"/>
    <w:rsid w:val="30105D26"/>
    <w:rsid w:val="304D5F34"/>
    <w:rsid w:val="34D521C8"/>
    <w:rsid w:val="378C252C"/>
    <w:rsid w:val="40722195"/>
    <w:rsid w:val="42187A1A"/>
    <w:rsid w:val="49C755DF"/>
    <w:rsid w:val="5ED90B1A"/>
    <w:rsid w:val="7AF26EEA"/>
    <w:rsid w:val="7BE62225"/>
    <w:rsid w:val="7EB64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kern w:val="2"/>
      <w:sz w:val="18"/>
      <w:szCs w:val="18"/>
    </w:rPr>
  </w:style>
  <w:style w:type="character" w:customStyle="1" w:styleId="7">
    <w:name w:val="页脚 字符"/>
    <w:basedOn w:val="5"/>
    <w:link w:val="2"/>
    <w:semiHidden/>
    <w:qFormat/>
    <w:uiPriority w:val="99"/>
    <w:rPr>
      <w:kern w:val="2"/>
      <w:sz w:val="18"/>
      <w:szCs w:val="18"/>
    </w:rPr>
  </w:style>
  <w:style w:type="paragraph" w:customStyle="1" w:styleId="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2">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315</Words>
  <Characters>1796</Characters>
  <Lines>14</Lines>
  <Paragraphs>4</Paragraphs>
  <TotalTime>1</TotalTime>
  <ScaleCrop>false</ScaleCrop>
  <LinksUpToDate>false</LinksUpToDate>
  <CharactersWithSpaces>2107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2018-03-19T12:01:00Z</dcterms:created>
  <dc:creator>Microsoft</dc:creator>
  <cp:lastModifiedBy>Love sunny</cp:lastModifiedBy>
  <cp:lastPrinted>2020-07-06T02:16:00Z</cp:lastPrinted>
  <dcterms:modified xsi:type="dcterms:W3CDTF">2024-08-14T09:15:16Z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3101A0B7E28242B9AA5A265A2988F081</vt:lpwstr>
  </property>
</Properties>
</file>