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92" w:lineRule="auto"/>
        <w:rPr>
          <w:rFonts w:hint="eastAsia"/>
          <w:spacing w:val="-20"/>
          <w:w w:val="90"/>
          <w:sz w:val="72"/>
          <w:szCs w:val="72"/>
        </w:rPr>
      </w:pPr>
      <w:bookmarkStart w:id="0" w:name="_GoBack"/>
      <w:bookmarkEnd w:id="0"/>
    </w:p>
    <w:p>
      <w:pPr>
        <w:spacing w:line="792" w:lineRule="auto"/>
        <w:rPr>
          <w:rFonts w:hint="eastAsia"/>
          <w:spacing w:val="-20"/>
          <w:w w:val="90"/>
          <w:sz w:val="72"/>
          <w:szCs w:val="72"/>
        </w:rPr>
      </w:pPr>
    </w:p>
    <w:p>
      <w:pPr>
        <w:rPr>
          <w:rFonts w:hint="eastAsia" w:ascii="方正小标宋简体" w:eastAsia="方正小标宋简体"/>
          <w:sz w:val="90"/>
          <w:szCs w:val="90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480" w:firstLineChars="150"/>
        <w:rPr>
          <w:rFonts w:hint="eastAsia" w:ascii="楷体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开交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双随机办</w:t>
      </w:r>
      <w:r>
        <w:rPr>
          <w:rFonts w:hint="eastAsia" w:ascii="仿宋_GB2312" w:eastAsia="仿宋_GB2312"/>
          <w:sz w:val="32"/>
          <w:szCs w:val="32"/>
        </w:rPr>
        <w:t>字〔202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号          签发人：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李建双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开平区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交通运输局</w:t>
      </w: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年</w:t>
      </w:r>
    </w:p>
    <w:p>
      <w:pPr>
        <w:spacing w:line="57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“双随机、一公开”跨部门联合抽查方案</w:t>
      </w:r>
    </w:p>
    <w:p>
      <w:pPr>
        <w:spacing w:line="57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微软雅黑" w:hAnsi="微软雅黑" w:eastAsia="仿宋_GB2312"/>
          <w:color w:val="000000"/>
          <w:sz w:val="32"/>
          <w:szCs w:val="32"/>
        </w:rPr>
        <w:t> </w:t>
      </w:r>
      <w:r>
        <w:rPr>
          <w:rFonts w:hint="eastAsia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按照开平区“双随机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一公开”工作领导小组决定对全区汽车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修理厂</w:t>
      </w:r>
      <w:r>
        <w:rPr>
          <w:rFonts w:hint="eastAsia" w:ascii="仿宋_GB2312" w:hAnsi="仿宋" w:eastAsia="仿宋_GB2312" w:cs="仿宋"/>
          <w:sz w:val="32"/>
          <w:szCs w:val="32"/>
        </w:rPr>
        <w:t>行业开展一次跨部门双随机联合抽查，现将有关事宜通知如下：</w:t>
      </w:r>
    </w:p>
    <w:p>
      <w:pPr>
        <w:ind w:firstLine="640" w:firstLineChars="20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一、时间安排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拟组织开展 “双随机、一公开”跨部门联合抽查时间：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月-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月。</w:t>
      </w:r>
    </w:p>
    <w:p>
      <w:pPr>
        <w:ind w:firstLine="640" w:firstLineChars="20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二、抽查范围、内容及参与部门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抽查的范围：汽车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修理厂</w:t>
      </w:r>
      <w:r>
        <w:rPr>
          <w:rFonts w:hint="eastAsia" w:ascii="仿宋_GB2312" w:hAnsi="仿宋" w:eastAsia="仿宋_GB2312" w:cs="仿宋"/>
          <w:sz w:val="32"/>
          <w:szCs w:val="32"/>
        </w:rPr>
        <w:t>，按照确定的抽查范围不低于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%的比例进行抽取，不足1户的按1户计，1户以上小数点后面四舍五入。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抽查内容：依据《开平区随机抽查事项清单》产生。</w:t>
      </w:r>
    </w:p>
    <w:p>
      <w:pPr>
        <w:ind w:firstLine="640" w:firstLineChars="200"/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抽查参与部门：开平区市场监督管理局、开平区自然资源规划局、开平区交通运输局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三、名单抽取及派发</w:t>
      </w: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一）通过河北省“双随机双告知系统”，采取系统随机抽取的方式，从抽查对象名录库中确定被检查对象，由河北省“双随机双告知系统”自动派发到各监管部门，由各单位管理员在两个工作日内完成比对和确认。</w:t>
      </w: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（二）通过河北省“双随机双告知系统”从执法人员名录库中随机抽取执法人员。</w:t>
      </w: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（三）被检查对象和检查人员确定后，由河北省“双随机双告知系统”随机匹配，自动生成一户企业一份随机联合检查记录表（简称“一企一表”），并自动派发到执法检查人员。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四、组织实施</w:t>
      </w: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（一）任务分工。</w:t>
      </w: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随机抽取的执法人员，无法独立完成专业抽查事项的，由执法检查人员所在部门选派专业人员协助指导完成工作。</w:t>
      </w:r>
    </w:p>
    <w:p>
      <w:pPr>
        <w:spacing w:line="570" w:lineRule="exact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（二）检查方式。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1、被检查对象实施现场检查一般采取信息比对、实地核查等方法进行。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2、对企业进行实地核查时，检查人员不少于2人，并应当出示执法证，检查人员应当填写“一企一表”，并由被检查企业法定代表人签字盖章确认；被检查对象拒绝签字的应当在“一企一表”上如实记录。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3、对企业实施联合抽查时，由区政府统一组织，一次性完成。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4、检查过程全程记录。</w:t>
      </w:r>
    </w:p>
    <w:p>
      <w:pPr>
        <w:spacing w:line="57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（三）抽查结果公示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执法检查人员要自完成联合抽查工作后5个工作日内，将抽查结果回填河北省“双随机双告知系统”，抽查结果由系统完成数据交换自动归集到市场主体名下，通过“国家市场主体信用信息公示系统（河北）”向社会公示。</w:t>
      </w:r>
    </w:p>
    <w:p>
      <w:pPr>
        <w:spacing w:line="570" w:lineRule="exact"/>
        <w:ind w:firstLine="960" w:firstLineChars="30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五、工作要求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（一）周密制定计划，认真抓好落实。各有关单位要高度重视“双随机”联合抽查工作，按照区政府统一部署，积极策划，精心组织，加强宣传，严格按照《开平区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“双随机、一公开”</w:t>
      </w:r>
      <w:r>
        <w:rPr>
          <w:rFonts w:hint="eastAsia" w:ascii="仿宋_GB2312" w:hAnsi="仿宋" w:eastAsia="仿宋_GB2312" w:cs="仿宋"/>
          <w:sz w:val="32"/>
          <w:szCs w:val="32"/>
        </w:rPr>
        <w:t>联合抽查工作细则》要求，各部门要优先保障抽查人员的执法车辆，避免因车辆问题导致跨部门联合抽查进度，确保按时完成抽查任务。</w:t>
      </w: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（二）加强沟通联系，密切协调配合。各有关部门要按照联合抽查的工作安排，密切协作，做好联合抽查的组织实施，确保联合抽查有序开展。</w:t>
      </w: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（三）统一监管服务，减轻企业负担。在联合抽查工作中，各级各有关部门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（四）做好信息公示，促进信用监管。联合抽查工作要做好检查结果的公示，严格按照《开平区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“双随机、一公开”</w:t>
      </w:r>
      <w:r>
        <w:rPr>
          <w:rFonts w:hint="eastAsia" w:ascii="仿宋_GB2312" w:hAnsi="仿宋" w:eastAsia="仿宋_GB2312" w:cs="仿宋"/>
          <w:sz w:val="32"/>
          <w:szCs w:val="32"/>
        </w:rPr>
        <w:t>联合抽查工作细则》的要求，及时回填检查结果，抽查结果由系统完成数据交换自动归集到市场主体名下，通过“国家市场主体信息公示系统（河北）”向社会公示，促进形成企业诚信自律的社会氛围。</w:t>
      </w:r>
    </w:p>
    <w:p>
      <w:pPr>
        <w:spacing w:line="570" w:lineRule="exact"/>
        <w:ind w:firstLine="64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5251010</w:t>
      </w:r>
    </w:p>
    <w:p>
      <w:pPr>
        <w:spacing w:line="57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开平区交通运输局</w:t>
      </w:r>
    </w:p>
    <w:p>
      <w:pPr>
        <w:spacing w:line="570" w:lineRule="exact"/>
        <w:ind w:firstLine="5440" w:firstLineChars="17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2023年4月9日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唐山市开平区交通运输局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>202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u w:val="single"/>
        </w:rPr>
        <w:t>印发</w:t>
      </w: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3520" w:firstLineChars="11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3520" w:firstLineChars="1100"/>
        <w:rPr>
          <w:rFonts w:hint="eastAsia" w:ascii="仿宋_GB2312" w:hAnsi="仿宋" w:eastAsia="仿宋_GB2312" w:cs="仿宋"/>
          <w:sz w:val="32"/>
          <w:szCs w:val="32"/>
        </w:rPr>
      </w:pPr>
    </w:p>
    <w:p>
      <w:r>
        <w:rPr>
          <w:rFonts w:hint="eastAsia" w:ascii="仿宋_GB2312" w:hAnsi="仿宋" w:eastAsia="仿宋_GB2312" w:cs="仿宋"/>
          <w:sz w:val="32"/>
          <w:szCs w:val="32"/>
        </w:rPr>
        <w:tab/>
      </w:r>
    </w:p>
    <w:sectPr>
      <w:pgSz w:w="11906" w:h="16838"/>
      <w:pgMar w:top="1440" w:right="1797" w:bottom="1440" w:left="179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3EC3"/>
    <w:rsid w:val="0C19791D"/>
    <w:rsid w:val="13B474FB"/>
    <w:rsid w:val="21F8512E"/>
    <w:rsid w:val="2C0753B8"/>
    <w:rsid w:val="32DB0B18"/>
    <w:rsid w:val="4C7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1331</Words>
  <Characters>1353</Characters>
  <Lines>0</Lines>
  <Paragraphs>0</Paragraphs>
  <TotalTime>12</TotalTime>
  <ScaleCrop>false</ScaleCrop>
  <LinksUpToDate>false</LinksUpToDate>
  <CharactersWithSpaces>1426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2021-09-09T05:25:00Z</dcterms:created>
  <dc:creator>user</dc:creator>
  <cp:lastModifiedBy>hp</cp:lastModifiedBy>
  <cp:lastPrinted>2021-12-21T06:51:00Z</cp:lastPrinted>
  <dcterms:modified xsi:type="dcterms:W3CDTF">2024-07-15T01:22:16Z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15D4A983A83D4E119F55B3F4095E2EE2</vt:lpwstr>
  </property>
</Properties>
</file>